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3AE5A" w14:textId="7B7334F4" w:rsidR="001B1968" w:rsidRPr="000E50F1" w:rsidRDefault="001B1968" w:rsidP="001B1968">
      <w:pPr>
        <w:jc w:val="center"/>
        <w:rPr>
          <w:rFonts w:ascii="Times" w:hAnsi="Times" w:cs="Arial"/>
          <w:b/>
        </w:rPr>
      </w:pPr>
    </w:p>
    <w:p w14:paraId="1172A3D5" w14:textId="7603E24B" w:rsidR="001B1968" w:rsidRPr="000E50F1" w:rsidRDefault="001B1968" w:rsidP="001B1968">
      <w:pPr>
        <w:jc w:val="center"/>
        <w:rPr>
          <w:rFonts w:ascii="Times" w:hAnsi="Times" w:cs="Arial"/>
          <w:b/>
        </w:rPr>
      </w:pPr>
    </w:p>
    <w:p w14:paraId="0E0D45C5" w14:textId="2E3A470C" w:rsidR="001B1968" w:rsidRPr="000E50F1" w:rsidRDefault="001B1968" w:rsidP="001B1968">
      <w:pPr>
        <w:jc w:val="center"/>
        <w:rPr>
          <w:rFonts w:ascii="Times" w:hAnsi="Times" w:cs="Arial"/>
          <w:b/>
        </w:rPr>
      </w:pPr>
    </w:p>
    <w:p w14:paraId="0CC45ED8" w14:textId="647742E2" w:rsidR="001B1968" w:rsidRPr="000E50F1" w:rsidRDefault="001B1968" w:rsidP="001B1968">
      <w:pPr>
        <w:jc w:val="center"/>
        <w:rPr>
          <w:rFonts w:ascii="Times" w:hAnsi="Times" w:cs="Arial"/>
          <w:b/>
        </w:rPr>
      </w:pPr>
    </w:p>
    <w:p w14:paraId="3E2E82D6" w14:textId="77777777" w:rsidR="006F51B5" w:rsidRPr="000E50F1" w:rsidRDefault="006F51B5" w:rsidP="00117DB1">
      <w:pPr>
        <w:tabs>
          <w:tab w:val="left" w:pos="2433"/>
        </w:tabs>
        <w:rPr>
          <w:rFonts w:ascii="Times" w:hAnsi="Times" w:cs="Arial"/>
          <w:b/>
        </w:rPr>
      </w:pPr>
    </w:p>
    <w:p w14:paraId="0D162E6A" w14:textId="184CD23B" w:rsidR="006E42DE" w:rsidRPr="000E50F1" w:rsidRDefault="006E42DE" w:rsidP="00626562">
      <w:pPr>
        <w:rPr>
          <w:rFonts w:ascii="Times" w:hAnsi="Times" w:cs="Arial"/>
          <w:b/>
        </w:rPr>
      </w:pPr>
    </w:p>
    <w:p w14:paraId="4663F74F" w14:textId="7CBED725" w:rsidR="00467285" w:rsidRPr="000E50F1" w:rsidRDefault="00ED1995" w:rsidP="00467285">
      <w:pPr>
        <w:jc w:val="center"/>
        <w:rPr>
          <w:rFonts w:ascii="Times" w:hAnsi="Times" w:cs="Arial"/>
          <w:b/>
          <w:bCs/>
        </w:rPr>
      </w:pPr>
      <w:r w:rsidRPr="000E50F1">
        <w:rPr>
          <w:rFonts w:ascii="Times" w:hAnsi="Times" w:cs="Arial"/>
          <w:b/>
          <w:bCs/>
        </w:rPr>
        <w:t xml:space="preserve">PLACING </w:t>
      </w:r>
      <w:r w:rsidR="00467285" w:rsidRPr="000E50F1">
        <w:rPr>
          <w:rFonts w:ascii="Times" w:hAnsi="Times" w:cs="Arial"/>
          <w:b/>
          <w:bCs/>
        </w:rPr>
        <w:t xml:space="preserve">IMMIGRATION, SETTLEMENT AND </w:t>
      </w:r>
      <w:r w:rsidRPr="000E50F1">
        <w:rPr>
          <w:rFonts w:ascii="Times" w:hAnsi="Times" w:cs="Arial"/>
          <w:b/>
          <w:bCs/>
        </w:rPr>
        <w:t xml:space="preserve">                   </w:t>
      </w:r>
      <w:r w:rsidR="00467285" w:rsidRPr="000E50F1">
        <w:rPr>
          <w:rFonts w:ascii="Times" w:hAnsi="Times" w:cs="Arial"/>
          <w:b/>
          <w:bCs/>
        </w:rPr>
        <w:t>INTEGRATION</w:t>
      </w:r>
      <w:r w:rsidRPr="000E50F1">
        <w:rPr>
          <w:rFonts w:ascii="Times" w:hAnsi="Times" w:cs="Arial"/>
          <w:b/>
          <w:bCs/>
        </w:rPr>
        <w:t xml:space="preserve"> IN </w:t>
      </w:r>
      <w:r w:rsidR="00EE64EF" w:rsidRPr="000E50F1">
        <w:rPr>
          <w:rFonts w:ascii="Times" w:hAnsi="Times" w:cs="Arial"/>
          <w:b/>
          <w:bCs/>
        </w:rPr>
        <w:t>A</w:t>
      </w:r>
      <w:r w:rsidRPr="000E50F1">
        <w:rPr>
          <w:rFonts w:ascii="Times" w:hAnsi="Times" w:cs="Arial"/>
          <w:b/>
          <w:bCs/>
        </w:rPr>
        <w:t xml:space="preserve"> CANADIAN CITY </w:t>
      </w:r>
    </w:p>
    <w:p w14:paraId="27DDA9F2" w14:textId="27DEA8CC" w:rsidR="001B1968" w:rsidRPr="000E50F1" w:rsidRDefault="001B1968" w:rsidP="001D04D9">
      <w:pPr>
        <w:rPr>
          <w:rFonts w:ascii="Times" w:hAnsi="Times" w:cs="Arial"/>
          <w:b/>
          <w:bCs/>
        </w:rPr>
      </w:pPr>
    </w:p>
    <w:p w14:paraId="4F18638E" w14:textId="77777777" w:rsidR="001B1968" w:rsidRPr="000E50F1" w:rsidRDefault="001B1968" w:rsidP="006E42DE">
      <w:pPr>
        <w:jc w:val="center"/>
        <w:rPr>
          <w:rFonts w:ascii="Times" w:hAnsi="Times" w:cs="Arial"/>
          <w:b/>
          <w:bCs/>
        </w:rPr>
      </w:pPr>
    </w:p>
    <w:p w14:paraId="7E4CEEC9" w14:textId="77777777" w:rsidR="001B1968" w:rsidRPr="000E50F1" w:rsidRDefault="001B1968" w:rsidP="00117DB1">
      <w:pPr>
        <w:rPr>
          <w:rFonts w:ascii="Times" w:hAnsi="Times" w:cs="Arial"/>
          <w:b/>
          <w:bCs/>
        </w:rPr>
      </w:pPr>
    </w:p>
    <w:p w14:paraId="67CA0536" w14:textId="530ABCD8" w:rsidR="001B1968" w:rsidRPr="000E50F1" w:rsidRDefault="001B1968" w:rsidP="006E42DE">
      <w:pPr>
        <w:jc w:val="center"/>
        <w:rPr>
          <w:rFonts w:ascii="Times" w:hAnsi="Times" w:cs="Arial"/>
          <w:b/>
          <w:bCs/>
        </w:rPr>
      </w:pPr>
    </w:p>
    <w:p w14:paraId="5DFB8462" w14:textId="77777777" w:rsidR="00117DB1" w:rsidRPr="000E50F1" w:rsidRDefault="00117DB1" w:rsidP="006E42DE">
      <w:pPr>
        <w:jc w:val="center"/>
        <w:rPr>
          <w:rFonts w:ascii="Times" w:hAnsi="Times" w:cs="Arial"/>
          <w:b/>
          <w:bCs/>
        </w:rPr>
      </w:pPr>
    </w:p>
    <w:p w14:paraId="3F39049B" w14:textId="14BCF073" w:rsidR="00F93268" w:rsidRPr="000E50F1" w:rsidRDefault="00F93268">
      <w:pPr>
        <w:rPr>
          <w:rFonts w:ascii="Times" w:hAnsi="Times" w:cs="Arial"/>
          <w:b/>
          <w:bCs/>
        </w:rPr>
      </w:pPr>
    </w:p>
    <w:p w14:paraId="08FAE415" w14:textId="77777777" w:rsidR="00F93268" w:rsidRPr="000E50F1" w:rsidRDefault="00F93268" w:rsidP="006E42DE">
      <w:pPr>
        <w:jc w:val="center"/>
        <w:rPr>
          <w:rFonts w:ascii="Times" w:hAnsi="Times" w:cs="Arial"/>
          <w:b/>
          <w:bCs/>
        </w:rPr>
      </w:pPr>
    </w:p>
    <w:p w14:paraId="2F5C3F55" w14:textId="77777777" w:rsidR="00F93268" w:rsidRPr="000E50F1" w:rsidRDefault="00F93268" w:rsidP="006E42DE">
      <w:pPr>
        <w:jc w:val="center"/>
        <w:rPr>
          <w:rFonts w:ascii="Times" w:hAnsi="Times" w:cs="Arial"/>
          <w:b/>
          <w:bCs/>
        </w:rPr>
      </w:pPr>
    </w:p>
    <w:p w14:paraId="0946C96D" w14:textId="77777777" w:rsidR="00F93268" w:rsidRPr="000E50F1" w:rsidRDefault="00F93268" w:rsidP="006E42DE">
      <w:pPr>
        <w:jc w:val="center"/>
        <w:rPr>
          <w:rFonts w:ascii="Times" w:hAnsi="Times" w:cs="Arial"/>
          <w:b/>
          <w:bCs/>
        </w:rPr>
      </w:pPr>
    </w:p>
    <w:p w14:paraId="4712DEC1" w14:textId="77777777" w:rsidR="00F93268" w:rsidRPr="000E50F1" w:rsidRDefault="00F93268" w:rsidP="006E42DE">
      <w:pPr>
        <w:jc w:val="center"/>
        <w:rPr>
          <w:rFonts w:ascii="Times" w:hAnsi="Times" w:cs="Arial"/>
          <w:b/>
          <w:bCs/>
        </w:rPr>
      </w:pPr>
    </w:p>
    <w:p w14:paraId="0C186CE2" w14:textId="77777777" w:rsidR="00F93268" w:rsidRPr="000E50F1" w:rsidRDefault="00F93268" w:rsidP="006E42DE">
      <w:pPr>
        <w:jc w:val="center"/>
        <w:rPr>
          <w:rFonts w:ascii="Times" w:hAnsi="Times" w:cs="Arial"/>
          <w:b/>
          <w:bCs/>
        </w:rPr>
      </w:pPr>
    </w:p>
    <w:p w14:paraId="7F937766" w14:textId="77777777" w:rsidR="00F93268" w:rsidRPr="000E50F1" w:rsidRDefault="00F93268" w:rsidP="006E42DE">
      <w:pPr>
        <w:jc w:val="center"/>
        <w:rPr>
          <w:rFonts w:ascii="Times" w:hAnsi="Times" w:cs="Arial"/>
          <w:b/>
          <w:bCs/>
        </w:rPr>
      </w:pPr>
    </w:p>
    <w:p w14:paraId="560AFD34" w14:textId="2DB56005" w:rsidR="00013140" w:rsidRPr="000E50F1" w:rsidRDefault="00013140">
      <w:pPr>
        <w:rPr>
          <w:rFonts w:ascii="Times" w:hAnsi="Times" w:cs="Arial"/>
          <w:b/>
          <w:bCs/>
        </w:rPr>
      </w:pPr>
      <w:r w:rsidRPr="000E50F1">
        <w:rPr>
          <w:rFonts w:ascii="Times" w:hAnsi="Times" w:cs="Arial"/>
          <w:b/>
          <w:bCs/>
        </w:rPr>
        <w:br w:type="page"/>
      </w:r>
    </w:p>
    <w:p w14:paraId="62EB13F4" w14:textId="77777777" w:rsidR="00BD0FDD" w:rsidRPr="000E50F1" w:rsidRDefault="00BD0FDD" w:rsidP="006E42DE">
      <w:pPr>
        <w:jc w:val="center"/>
        <w:rPr>
          <w:rFonts w:ascii="Times" w:hAnsi="Times" w:cs="Arial"/>
          <w:b/>
          <w:bCs/>
        </w:rPr>
        <w:sectPr w:rsidR="00BD0FDD" w:rsidRPr="000E50F1" w:rsidSect="00117DB1">
          <w:footerReference w:type="even" r:id="rId8"/>
          <w:footerReference w:type="default" r:id="rId9"/>
          <w:pgSz w:w="12240" w:h="15840"/>
          <w:pgMar w:top="2155" w:right="2155" w:bottom="1418" w:left="2155" w:header="709" w:footer="709" w:gutter="0"/>
          <w:cols w:space="708"/>
          <w:docGrid w:linePitch="360"/>
        </w:sectPr>
      </w:pPr>
    </w:p>
    <w:p w14:paraId="727818F0" w14:textId="30630CB4" w:rsidR="00013140" w:rsidRPr="000E50F1" w:rsidRDefault="00013140" w:rsidP="006E42DE">
      <w:pPr>
        <w:jc w:val="center"/>
        <w:rPr>
          <w:rFonts w:ascii="Times" w:hAnsi="Times" w:cs="Arial"/>
          <w:b/>
          <w:bCs/>
        </w:rPr>
      </w:pPr>
    </w:p>
    <w:p w14:paraId="2EBB4D4E" w14:textId="77777777" w:rsidR="00013140" w:rsidRPr="000E50F1" w:rsidRDefault="00013140" w:rsidP="006E42DE">
      <w:pPr>
        <w:jc w:val="center"/>
        <w:rPr>
          <w:rFonts w:ascii="Times" w:hAnsi="Times" w:cs="Arial"/>
          <w:b/>
          <w:bCs/>
        </w:rPr>
      </w:pPr>
    </w:p>
    <w:p w14:paraId="02DB0D1A" w14:textId="77777777" w:rsidR="00013140" w:rsidRPr="000E50F1" w:rsidRDefault="00013140" w:rsidP="006E42DE">
      <w:pPr>
        <w:jc w:val="center"/>
        <w:rPr>
          <w:rFonts w:ascii="Times" w:hAnsi="Times" w:cs="Arial"/>
          <w:b/>
          <w:bCs/>
        </w:rPr>
      </w:pPr>
    </w:p>
    <w:p w14:paraId="109439F4" w14:textId="77777777" w:rsidR="00013140" w:rsidRPr="000E50F1" w:rsidRDefault="00013140" w:rsidP="006E42DE">
      <w:pPr>
        <w:jc w:val="center"/>
        <w:rPr>
          <w:rFonts w:ascii="Times" w:hAnsi="Times" w:cs="Arial"/>
          <w:b/>
          <w:bCs/>
        </w:rPr>
      </w:pPr>
    </w:p>
    <w:p w14:paraId="48A9A15C" w14:textId="2EA01CD1" w:rsidR="00013140" w:rsidRPr="000E50F1" w:rsidRDefault="00013140" w:rsidP="006E42DE">
      <w:pPr>
        <w:jc w:val="center"/>
        <w:rPr>
          <w:rFonts w:ascii="Times" w:hAnsi="Times" w:cs="Arial"/>
          <w:b/>
          <w:bCs/>
        </w:rPr>
      </w:pPr>
    </w:p>
    <w:p w14:paraId="7C04CB94" w14:textId="77777777" w:rsidR="00013140" w:rsidRPr="000E50F1" w:rsidRDefault="00013140" w:rsidP="00C82D0E">
      <w:pPr>
        <w:rPr>
          <w:rFonts w:ascii="Times" w:hAnsi="Times" w:cs="Arial"/>
          <w:b/>
          <w:bCs/>
        </w:rPr>
      </w:pPr>
    </w:p>
    <w:p w14:paraId="2E7C027D" w14:textId="26A3CD0B" w:rsidR="00467285" w:rsidRPr="000E50F1" w:rsidRDefault="00ED1995" w:rsidP="00467285">
      <w:pPr>
        <w:jc w:val="center"/>
        <w:rPr>
          <w:rFonts w:ascii="Times" w:hAnsi="Times" w:cs="Arial"/>
          <w:b/>
          <w:bCs/>
        </w:rPr>
      </w:pPr>
      <w:r w:rsidRPr="000E50F1">
        <w:rPr>
          <w:rFonts w:ascii="Times" w:hAnsi="Times" w:cs="Arial"/>
          <w:b/>
          <w:bCs/>
        </w:rPr>
        <w:t xml:space="preserve">PLACING </w:t>
      </w:r>
      <w:r w:rsidR="00467285" w:rsidRPr="000E50F1">
        <w:rPr>
          <w:rFonts w:ascii="Times" w:hAnsi="Times" w:cs="Arial"/>
          <w:b/>
          <w:bCs/>
        </w:rPr>
        <w:t xml:space="preserve">IMMIGRATION, SETTLEMENT AND </w:t>
      </w:r>
      <w:r w:rsidRPr="000E50F1">
        <w:rPr>
          <w:rFonts w:ascii="Times" w:hAnsi="Times" w:cs="Arial"/>
          <w:b/>
          <w:bCs/>
        </w:rPr>
        <w:t xml:space="preserve">                    </w:t>
      </w:r>
      <w:r w:rsidR="00467285" w:rsidRPr="000E50F1">
        <w:rPr>
          <w:rFonts w:ascii="Times" w:hAnsi="Times" w:cs="Arial"/>
          <w:b/>
          <w:bCs/>
        </w:rPr>
        <w:t>INTEGRATION</w:t>
      </w:r>
      <w:r w:rsidRPr="000E50F1">
        <w:rPr>
          <w:rFonts w:ascii="Times" w:hAnsi="Times" w:cs="Arial"/>
          <w:b/>
          <w:bCs/>
        </w:rPr>
        <w:t xml:space="preserve"> IN </w:t>
      </w:r>
      <w:r w:rsidR="00EE64EF" w:rsidRPr="000E50F1">
        <w:rPr>
          <w:rFonts w:ascii="Times" w:hAnsi="Times" w:cs="Arial"/>
          <w:b/>
          <w:bCs/>
        </w:rPr>
        <w:t>A</w:t>
      </w:r>
      <w:r w:rsidRPr="000E50F1">
        <w:rPr>
          <w:rFonts w:ascii="Times" w:hAnsi="Times" w:cs="Arial"/>
          <w:b/>
          <w:bCs/>
        </w:rPr>
        <w:t xml:space="preserve"> CAN</w:t>
      </w:r>
      <w:r w:rsidR="00EE64EF" w:rsidRPr="000E50F1">
        <w:rPr>
          <w:rFonts w:ascii="Times" w:hAnsi="Times" w:cs="Arial"/>
          <w:b/>
          <w:bCs/>
        </w:rPr>
        <w:t>A</w:t>
      </w:r>
      <w:r w:rsidRPr="000E50F1">
        <w:rPr>
          <w:rFonts w:ascii="Times" w:hAnsi="Times" w:cs="Arial"/>
          <w:b/>
          <w:bCs/>
        </w:rPr>
        <w:t>DI</w:t>
      </w:r>
      <w:r w:rsidR="00EE64EF" w:rsidRPr="000E50F1">
        <w:rPr>
          <w:rFonts w:ascii="Times" w:hAnsi="Times" w:cs="Arial"/>
          <w:b/>
          <w:bCs/>
        </w:rPr>
        <w:t>A</w:t>
      </w:r>
      <w:r w:rsidRPr="000E50F1">
        <w:rPr>
          <w:rFonts w:ascii="Times" w:hAnsi="Times" w:cs="Arial"/>
          <w:b/>
          <w:bCs/>
        </w:rPr>
        <w:t xml:space="preserve">N CITY </w:t>
      </w:r>
    </w:p>
    <w:p w14:paraId="49CC7111" w14:textId="77777777" w:rsidR="006E42DE" w:rsidRPr="000E50F1" w:rsidRDefault="006E42DE" w:rsidP="006E42DE">
      <w:pPr>
        <w:rPr>
          <w:rFonts w:ascii="Times" w:hAnsi="Times" w:cs="Arial"/>
          <w:b/>
        </w:rPr>
      </w:pPr>
    </w:p>
    <w:p w14:paraId="431A7005" w14:textId="77777777" w:rsidR="006E42DE" w:rsidRPr="000E50F1" w:rsidRDefault="006E42DE" w:rsidP="006E42DE">
      <w:pPr>
        <w:rPr>
          <w:rFonts w:ascii="Times" w:hAnsi="Times" w:cs="Arial"/>
          <w:b/>
        </w:rPr>
      </w:pPr>
    </w:p>
    <w:p w14:paraId="6848374C" w14:textId="77777777" w:rsidR="006E42DE" w:rsidRPr="000E50F1" w:rsidRDefault="006E42DE" w:rsidP="006E42DE">
      <w:pPr>
        <w:rPr>
          <w:rFonts w:ascii="Times" w:hAnsi="Times" w:cs="Arial"/>
          <w:b/>
        </w:rPr>
      </w:pPr>
    </w:p>
    <w:p w14:paraId="357E4364" w14:textId="77777777" w:rsidR="006E42DE" w:rsidRPr="000E50F1" w:rsidRDefault="006E42DE" w:rsidP="006E42DE">
      <w:pPr>
        <w:rPr>
          <w:rFonts w:ascii="Times" w:hAnsi="Times" w:cs="Arial"/>
          <w:b/>
        </w:rPr>
      </w:pPr>
    </w:p>
    <w:p w14:paraId="4A0CEB73" w14:textId="77777777" w:rsidR="006E42DE" w:rsidRPr="000E50F1" w:rsidRDefault="006E42DE" w:rsidP="006E42DE">
      <w:pPr>
        <w:rPr>
          <w:rFonts w:ascii="Times" w:hAnsi="Times" w:cs="Arial"/>
          <w:b/>
        </w:rPr>
      </w:pPr>
    </w:p>
    <w:p w14:paraId="6CB17D75" w14:textId="77777777" w:rsidR="006E42DE" w:rsidRPr="000E50F1" w:rsidRDefault="006E42DE" w:rsidP="006E42DE">
      <w:pPr>
        <w:rPr>
          <w:rFonts w:ascii="Times" w:hAnsi="Times" w:cs="Arial"/>
          <w:b/>
        </w:rPr>
      </w:pPr>
    </w:p>
    <w:p w14:paraId="7026D3CF" w14:textId="77777777" w:rsidR="006E42DE" w:rsidRPr="000E50F1" w:rsidRDefault="006E42DE" w:rsidP="006E42DE">
      <w:pPr>
        <w:rPr>
          <w:rFonts w:ascii="Times" w:hAnsi="Times" w:cs="Arial"/>
          <w:b/>
        </w:rPr>
      </w:pPr>
    </w:p>
    <w:p w14:paraId="44560CA9" w14:textId="77777777" w:rsidR="006E42DE" w:rsidRPr="000E50F1" w:rsidRDefault="006E42DE" w:rsidP="006E42DE">
      <w:pPr>
        <w:rPr>
          <w:rFonts w:ascii="Times" w:hAnsi="Times" w:cs="Arial"/>
          <w:b/>
        </w:rPr>
      </w:pPr>
    </w:p>
    <w:p w14:paraId="34309AD8" w14:textId="77777777" w:rsidR="006E42DE" w:rsidRPr="000E50F1" w:rsidRDefault="006E42DE" w:rsidP="006E42DE">
      <w:pPr>
        <w:jc w:val="center"/>
        <w:rPr>
          <w:rFonts w:ascii="Times" w:hAnsi="Times" w:cs="Arial"/>
        </w:rPr>
      </w:pPr>
    </w:p>
    <w:p w14:paraId="47B11614" w14:textId="77777777" w:rsidR="006E42DE" w:rsidRPr="000E50F1" w:rsidRDefault="006E42DE" w:rsidP="006E42DE">
      <w:pPr>
        <w:jc w:val="center"/>
        <w:rPr>
          <w:rFonts w:ascii="Times" w:hAnsi="Times" w:cs="Arial"/>
        </w:rPr>
      </w:pPr>
      <w:r w:rsidRPr="000E50F1">
        <w:rPr>
          <w:rFonts w:ascii="Times" w:hAnsi="Times" w:cs="Arial"/>
        </w:rPr>
        <w:t>By</w:t>
      </w:r>
    </w:p>
    <w:p w14:paraId="6FA8CD49" w14:textId="77777777" w:rsidR="006E42DE" w:rsidRPr="000E50F1" w:rsidRDefault="006E42DE" w:rsidP="006E42DE">
      <w:pPr>
        <w:jc w:val="center"/>
        <w:rPr>
          <w:rFonts w:ascii="Times" w:hAnsi="Times" w:cs="Arial"/>
        </w:rPr>
      </w:pPr>
    </w:p>
    <w:p w14:paraId="39D8696C" w14:textId="77777777" w:rsidR="006E42DE" w:rsidRPr="000E50F1" w:rsidRDefault="006E42DE" w:rsidP="006E42DE">
      <w:pPr>
        <w:jc w:val="center"/>
        <w:rPr>
          <w:rFonts w:ascii="Times" w:hAnsi="Times" w:cs="Arial"/>
          <w:b/>
          <w:bCs/>
        </w:rPr>
      </w:pPr>
      <w:r w:rsidRPr="000E50F1">
        <w:rPr>
          <w:rFonts w:ascii="Times" w:hAnsi="Times" w:cs="Arial"/>
          <w:b/>
          <w:bCs/>
        </w:rPr>
        <w:t>Huyen Dam, B.A., M.A.</w:t>
      </w:r>
    </w:p>
    <w:p w14:paraId="3E513079" w14:textId="77777777" w:rsidR="006E42DE" w:rsidRPr="000E50F1" w:rsidRDefault="006E42DE" w:rsidP="006E42DE">
      <w:pPr>
        <w:jc w:val="center"/>
        <w:rPr>
          <w:rFonts w:ascii="Times" w:hAnsi="Times" w:cs="Arial"/>
        </w:rPr>
      </w:pPr>
    </w:p>
    <w:p w14:paraId="5D0BED99" w14:textId="77777777" w:rsidR="006E42DE" w:rsidRPr="000E50F1" w:rsidRDefault="006E42DE" w:rsidP="006E42DE">
      <w:pPr>
        <w:jc w:val="center"/>
        <w:rPr>
          <w:rFonts w:ascii="Times" w:hAnsi="Times" w:cs="Arial"/>
        </w:rPr>
      </w:pPr>
    </w:p>
    <w:p w14:paraId="2DA6FD0C" w14:textId="77777777" w:rsidR="006E42DE" w:rsidRPr="000E50F1" w:rsidRDefault="006E42DE" w:rsidP="006E42DE">
      <w:pPr>
        <w:jc w:val="center"/>
        <w:rPr>
          <w:rFonts w:ascii="Times" w:hAnsi="Times" w:cs="Arial"/>
        </w:rPr>
      </w:pPr>
    </w:p>
    <w:p w14:paraId="7A466F80" w14:textId="794DB66E" w:rsidR="006E42DE" w:rsidRPr="000E50F1" w:rsidRDefault="006E42DE" w:rsidP="006E42DE">
      <w:pPr>
        <w:jc w:val="center"/>
        <w:rPr>
          <w:rFonts w:ascii="Times" w:hAnsi="Times" w:cs="Arial"/>
        </w:rPr>
      </w:pPr>
    </w:p>
    <w:p w14:paraId="355C8509" w14:textId="7DD78982" w:rsidR="00117DB1" w:rsidRPr="000E50F1" w:rsidRDefault="00117DB1" w:rsidP="006E42DE">
      <w:pPr>
        <w:jc w:val="center"/>
        <w:rPr>
          <w:rFonts w:ascii="Times" w:hAnsi="Times" w:cs="Arial"/>
        </w:rPr>
      </w:pPr>
    </w:p>
    <w:p w14:paraId="25E03DCC" w14:textId="26AF8045" w:rsidR="00117DB1" w:rsidRPr="000E50F1" w:rsidRDefault="00117DB1" w:rsidP="00626562">
      <w:pPr>
        <w:rPr>
          <w:rFonts w:ascii="Times" w:hAnsi="Times" w:cs="Arial"/>
        </w:rPr>
      </w:pPr>
    </w:p>
    <w:p w14:paraId="35D8A3A5" w14:textId="77777777" w:rsidR="00117DB1" w:rsidRPr="000E50F1" w:rsidRDefault="00117DB1" w:rsidP="006E42DE">
      <w:pPr>
        <w:jc w:val="center"/>
        <w:rPr>
          <w:rFonts w:ascii="Times" w:hAnsi="Times" w:cs="Arial"/>
        </w:rPr>
      </w:pPr>
    </w:p>
    <w:p w14:paraId="7722D48D" w14:textId="0E411F22" w:rsidR="00117DB1" w:rsidRPr="000E50F1" w:rsidRDefault="00117DB1" w:rsidP="006E42DE">
      <w:pPr>
        <w:jc w:val="center"/>
        <w:rPr>
          <w:rFonts w:ascii="Times" w:hAnsi="Times" w:cs="Arial"/>
        </w:rPr>
      </w:pPr>
    </w:p>
    <w:p w14:paraId="73542334" w14:textId="77777777" w:rsidR="00117DB1" w:rsidRPr="000E50F1" w:rsidRDefault="00117DB1" w:rsidP="006E42DE">
      <w:pPr>
        <w:jc w:val="center"/>
        <w:rPr>
          <w:rFonts w:ascii="Times" w:hAnsi="Times" w:cs="Arial"/>
        </w:rPr>
      </w:pPr>
    </w:p>
    <w:p w14:paraId="7B307FE7" w14:textId="77777777" w:rsidR="006E42DE" w:rsidRPr="000E50F1" w:rsidRDefault="006E42DE" w:rsidP="006E42DE">
      <w:pPr>
        <w:jc w:val="center"/>
        <w:rPr>
          <w:rFonts w:ascii="Times" w:hAnsi="Times" w:cs="Arial"/>
        </w:rPr>
      </w:pPr>
    </w:p>
    <w:p w14:paraId="0EA7AB3F" w14:textId="77777777" w:rsidR="006E42DE" w:rsidRPr="000E50F1" w:rsidRDefault="006E42DE" w:rsidP="006E42DE">
      <w:pPr>
        <w:jc w:val="center"/>
        <w:rPr>
          <w:rFonts w:ascii="Times" w:hAnsi="Times" w:cs="Arial"/>
        </w:rPr>
      </w:pPr>
      <w:r w:rsidRPr="000E50F1">
        <w:rPr>
          <w:rFonts w:ascii="Times" w:hAnsi="Times" w:cs="Arial"/>
        </w:rPr>
        <w:t xml:space="preserve">A thesis </w:t>
      </w:r>
    </w:p>
    <w:p w14:paraId="516139C5" w14:textId="77777777" w:rsidR="006E42DE" w:rsidRPr="000E50F1" w:rsidRDefault="006E42DE" w:rsidP="006E42DE">
      <w:pPr>
        <w:jc w:val="center"/>
        <w:rPr>
          <w:rFonts w:ascii="Times" w:hAnsi="Times" w:cs="Arial"/>
        </w:rPr>
      </w:pPr>
      <w:r w:rsidRPr="000E50F1">
        <w:rPr>
          <w:rFonts w:ascii="Times" w:hAnsi="Times" w:cs="Arial"/>
        </w:rPr>
        <w:t>submitted to the School of Graduate Studies</w:t>
      </w:r>
    </w:p>
    <w:p w14:paraId="19F22903" w14:textId="77777777" w:rsidR="006E42DE" w:rsidRPr="000E50F1" w:rsidRDefault="006E42DE" w:rsidP="006E42DE">
      <w:pPr>
        <w:jc w:val="center"/>
        <w:rPr>
          <w:rFonts w:ascii="Times" w:hAnsi="Times" w:cs="Arial"/>
        </w:rPr>
      </w:pPr>
      <w:r w:rsidRPr="000E50F1">
        <w:rPr>
          <w:rFonts w:ascii="Times" w:hAnsi="Times" w:cs="Arial"/>
        </w:rPr>
        <w:t xml:space="preserve">in partial fulfillment of the requirements for the degree </w:t>
      </w:r>
    </w:p>
    <w:p w14:paraId="7A1C27E3" w14:textId="77777777" w:rsidR="006E42DE" w:rsidRPr="000E50F1" w:rsidRDefault="006E42DE" w:rsidP="006E42DE">
      <w:pPr>
        <w:jc w:val="center"/>
        <w:rPr>
          <w:rFonts w:ascii="Times" w:hAnsi="Times" w:cs="Arial"/>
        </w:rPr>
      </w:pPr>
      <w:r w:rsidRPr="000E50F1">
        <w:rPr>
          <w:rFonts w:ascii="Times" w:hAnsi="Times" w:cs="Arial"/>
        </w:rPr>
        <w:t>Doctorate in Philosophy</w:t>
      </w:r>
    </w:p>
    <w:p w14:paraId="25331A77" w14:textId="77777777" w:rsidR="006E42DE" w:rsidRPr="000E50F1" w:rsidRDefault="006E42DE" w:rsidP="006E42DE">
      <w:pPr>
        <w:jc w:val="center"/>
        <w:rPr>
          <w:rFonts w:ascii="Times" w:hAnsi="Times" w:cs="Arial"/>
        </w:rPr>
      </w:pPr>
    </w:p>
    <w:p w14:paraId="348B0965" w14:textId="77777777" w:rsidR="006E42DE" w:rsidRPr="000E50F1" w:rsidRDefault="006E42DE" w:rsidP="006E42DE">
      <w:pPr>
        <w:jc w:val="center"/>
        <w:rPr>
          <w:rFonts w:ascii="Times" w:hAnsi="Times" w:cs="Arial"/>
        </w:rPr>
      </w:pPr>
    </w:p>
    <w:p w14:paraId="54F42A14" w14:textId="77777777" w:rsidR="006E42DE" w:rsidRPr="000E50F1" w:rsidRDefault="006E42DE" w:rsidP="006E42DE">
      <w:pPr>
        <w:jc w:val="center"/>
        <w:rPr>
          <w:rFonts w:ascii="Times" w:hAnsi="Times" w:cs="Arial"/>
        </w:rPr>
      </w:pPr>
    </w:p>
    <w:p w14:paraId="35FF188F" w14:textId="77777777" w:rsidR="006E42DE" w:rsidRPr="000E50F1" w:rsidRDefault="006E42DE" w:rsidP="006E42DE">
      <w:pPr>
        <w:rPr>
          <w:rFonts w:ascii="Times" w:hAnsi="Times" w:cs="Arial"/>
        </w:rPr>
      </w:pPr>
    </w:p>
    <w:p w14:paraId="5C74343B" w14:textId="77777777" w:rsidR="006E42DE" w:rsidRPr="000E50F1" w:rsidRDefault="006E42DE" w:rsidP="006E42DE">
      <w:pPr>
        <w:jc w:val="center"/>
        <w:rPr>
          <w:rFonts w:ascii="Times" w:hAnsi="Times" w:cs="Arial"/>
        </w:rPr>
      </w:pPr>
    </w:p>
    <w:p w14:paraId="7104B231" w14:textId="77777777" w:rsidR="006E42DE" w:rsidRPr="000E50F1" w:rsidRDefault="006E42DE" w:rsidP="006E42DE">
      <w:pPr>
        <w:jc w:val="center"/>
        <w:rPr>
          <w:rFonts w:ascii="Times" w:hAnsi="Times" w:cs="Arial"/>
          <w:b/>
          <w:bCs/>
        </w:rPr>
      </w:pPr>
      <w:r w:rsidRPr="000E50F1">
        <w:rPr>
          <w:rFonts w:ascii="Times" w:hAnsi="Times" w:cs="Arial"/>
          <w:b/>
          <w:bCs/>
        </w:rPr>
        <w:t>McMaster University</w:t>
      </w:r>
    </w:p>
    <w:p w14:paraId="5C34FE2E" w14:textId="77777777" w:rsidR="006E42DE" w:rsidRPr="000E50F1" w:rsidRDefault="006E42DE" w:rsidP="006E42DE">
      <w:pPr>
        <w:jc w:val="center"/>
        <w:rPr>
          <w:rFonts w:ascii="Times" w:hAnsi="Times" w:cs="Arial"/>
        </w:rPr>
      </w:pPr>
      <w:r w:rsidRPr="000E50F1">
        <w:rPr>
          <w:rFonts w:ascii="Times" w:hAnsi="Times" w:cs="Arial"/>
        </w:rPr>
        <w:t xml:space="preserve"> </w:t>
      </w:r>
    </w:p>
    <w:p w14:paraId="02B23788" w14:textId="2ADFA7AE" w:rsidR="007019E8" w:rsidRPr="000E50F1" w:rsidRDefault="006E42DE" w:rsidP="006E42DE">
      <w:pPr>
        <w:jc w:val="center"/>
        <w:rPr>
          <w:rFonts w:ascii="Times" w:hAnsi="Times" w:cs="Arial"/>
        </w:rPr>
      </w:pPr>
      <w:r w:rsidRPr="000E50F1">
        <w:rPr>
          <w:rFonts w:ascii="Times" w:hAnsi="Times" w:cs="Arial"/>
        </w:rPr>
        <w:t xml:space="preserve">© Copyright by Huyen Dam, </w:t>
      </w:r>
      <w:r w:rsidR="00823854" w:rsidRPr="000E50F1">
        <w:rPr>
          <w:rFonts w:ascii="Times" w:hAnsi="Times" w:cs="Arial"/>
        </w:rPr>
        <w:t>January</w:t>
      </w:r>
      <w:r w:rsidRPr="000E50F1">
        <w:rPr>
          <w:rFonts w:ascii="Times" w:hAnsi="Times" w:cs="Arial"/>
        </w:rPr>
        <w:t xml:space="preserve"> 202</w:t>
      </w:r>
      <w:r w:rsidR="00823854" w:rsidRPr="000E50F1">
        <w:rPr>
          <w:rFonts w:ascii="Times" w:hAnsi="Times" w:cs="Arial"/>
        </w:rPr>
        <w:t>1</w:t>
      </w:r>
    </w:p>
    <w:p w14:paraId="1B831A5E" w14:textId="223164AD" w:rsidR="00A13B89" w:rsidRPr="000E50F1" w:rsidRDefault="00A13B89" w:rsidP="006E42DE">
      <w:pPr>
        <w:jc w:val="center"/>
        <w:rPr>
          <w:rFonts w:ascii="Times" w:hAnsi="Times" w:cs="Arial"/>
          <w:b/>
        </w:rPr>
      </w:pPr>
    </w:p>
    <w:p w14:paraId="5BF017EA" w14:textId="77777777" w:rsidR="00626562" w:rsidRPr="000E50F1" w:rsidRDefault="00626562" w:rsidP="006E42DE">
      <w:pPr>
        <w:jc w:val="center"/>
        <w:rPr>
          <w:rFonts w:ascii="Times" w:hAnsi="Time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3875"/>
      </w:tblGrid>
      <w:tr w:rsidR="00BC4F0F" w:rsidRPr="000E50F1" w14:paraId="56AC35E3" w14:textId="77777777" w:rsidTr="00D35E43">
        <w:tc>
          <w:tcPr>
            <w:tcW w:w="4045" w:type="dxa"/>
          </w:tcPr>
          <w:p w14:paraId="0DEA7A1A" w14:textId="77777777" w:rsidR="008263D1" w:rsidRPr="000E50F1" w:rsidRDefault="008263D1" w:rsidP="008263D1">
            <w:pPr>
              <w:rPr>
                <w:rFonts w:ascii="Times" w:hAnsi="Times" w:cs="Arial"/>
              </w:rPr>
            </w:pPr>
            <w:r w:rsidRPr="000E50F1">
              <w:rPr>
                <w:rFonts w:ascii="Times" w:hAnsi="Times" w:cs="Arial"/>
              </w:rPr>
              <w:lastRenderedPageBreak/>
              <w:t>Doctorate of Philosophy (2020)</w:t>
            </w:r>
          </w:p>
          <w:p w14:paraId="775B01B2" w14:textId="77777777" w:rsidR="008263D1" w:rsidRPr="000E50F1" w:rsidRDefault="008263D1" w:rsidP="008263D1">
            <w:pPr>
              <w:rPr>
                <w:rFonts w:ascii="Times" w:hAnsi="Times" w:cs="Arial"/>
              </w:rPr>
            </w:pPr>
            <w:r w:rsidRPr="000E50F1">
              <w:rPr>
                <w:rFonts w:ascii="Times" w:hAnsi="Times" w:cs="Arial"/>
              </w:rPr>
              <w:t>(Human Geography)</w:t>
            </w:r>
          </w:p>
          <w:p w14:paraId="1E97B06D" w14:textId="0FAB2245" w:rsidR="00593C07" w:rsidRPr="000E50F1" w:rsidRDefault="00593C07" w:rsidP="00593C07">
            <w:pPr>
              <w:pStyle w:val="Heading1"/>
              <w:spacing w:before="0" w:line="240" w:lineRule="auto"/>
              <w:rPr>
                <w:rFonts w:ascii="Times" w:eastAsia="Calibri" w:hAnsi="Times"/>
                <w:color w:val="auto"/>
                <w:sz w:val="24"/>
                <w:szCs w:val="24"/>
              </w:rPr>
            </w:pPr>
            <w:bookmarkStart w:id="0" w:name="_Toc60231885"/>
            <w:r w:rsidRPr="000E50F1">
              <w:rPr>
                <w:rFonts w:ascii="Times" w:eastAsia="Calibri" w:hAnsi="Times"/>
                <w:color w:val="auto"/>
                <w:sz w:val="24"/>
                <w:szCs w:val="24"/>
              </w:rPr>
              <w:t>Descriptive No</w:t>
            </w:r>
            <w:bookmarkEnd w:id="0"/>
          </w:p>
          <w:p w14:paraId="636DD007" w14:textId="77777777" w:rsidR="007019E8" w:rsidRPr="000E50F1" w:rsidRDefault="007019E8" w:rsidP="008263D1">
            <w:pPr>
              <w:rPr>
                <w:rFonts w:ascii="Times" w:hAnsi="Times" w:cs="Arial"/>
              </w:rPr>
            </w:pPr>
          </w:p>
        </w:tc>
        <w:tc>
          <w:tcPr>
            <w:tcW w:w="3875" w:type="dxa"/>
          </w:tcPr>
          <w:p w14:paraId="4DA52FAB" w14:textId="77777777" w:rsidR="008263D1" w:rsidRPr="000E50F1" w:rsidRDefault="008263D1" w:rsidP="008263D1">
            <w:pPr>
              <w:rPr>
                <w:rFonts w:ascii="Times" w:hAnsi="Times" w:cs="Arial"/>
              </w:rPr>
            </w:pPr>
            <w:r w:rsidRPr="000E50F1">
              <w:rPr>
                <w:rFonts w:ascii="Times" w:hAnsi="Times" w:cs="Arial"/>
              </w:rPr>
              <w:t xml:space="preserve">McMaster University </w:t>
            </w:r>
          </w:p>
          <w:p w14:paraId="55228132" w14:textId="77777777" w:rsidR="008263D1" w:rsidRPr="000E50F1" w:rsidRDefault="008263D1" w:rsidP="008263D1">
            <w:pPr>
              <w:rPr>
                <w:rFonts w:ascii="Times" w:hAnsi="Times" w:cs="Arial"/>
              </w:rPr>
            </w:pPr>
            <w:r w:rsidRPr="000E50F1">
              <w:rPr>
                <w:rFonts w:ascii="Times" w:hAnsi="Times" w:cs="Arial"/>
              </w:rPr>
              <w:t>Hamilton, Ontario</w:t>
            </w:r>
          </w:p>
          <w:p w14:paraId="15E4209D" w14:textId="77777777" w:rsidR="00593C07" w:rsidRPr="000E50F1" w:rsidRDefault="00593C07" w:rsidP="0070492E">
            <w:pPr>
              <w:rPr>
                <w:rFonts w:ascii="Times" w:hAnsi="Times" w:cs="Arial"/>
              </w:rPr>
            </w:pPr>
          </w:p>
          <w:p w14:paraId="06D28E5D" w14:textId="77777777" w:rsidR="007019E8" w:rsidRPr="000E50F1" w:rsidRDefault="007019E8" w:rsidP="008263D1">
            <w:pPr>
              <w:rPr>
                <w:rFonts w:ascii="Times" w:hAnsi="Times" w:cs="Arial"/>
              </w:rPr>
            </w:pPr>
          </w:p>
        </w:tc>
      </w:tr>
      <w:tr w:rsidR="00BC4F0F" w:rsidRPr="000E50F1" w14:paraId="125448D7" w14:textId="77777777" w:rsidTr="00D35E43">
        <w:tc>
          <w:tcPr>
            <w:tcW w:w="7920" w:type="dxa"/>
            <w:gridSpan w:val="2"/>
          </w:tcPr>
          <w:p w14:paraId="064B58A0" w14:textId="00357BD4" w:rsidR="00467285" w:rsidRPr="000E50F1" w:rsidRDefault="007019E8" w:rsidP="008263D1">
            <w:pPr>
              <w:rPr>
                <w:rFonts w:ascii="Times" w:hAnsi="Times" w:cs="Arial"/>
              </w:rPr>
            </w:pPr>
            <w:r w:rsidRPr="000E50F1">
              <w:rPr>
                <w:rFonts w:ascii="Times" w:hAnsi="Times" w:cs="Arial"/>
                <w:b/>
              </w:rPr>
              <w:t>Title</w:t>
            </w:r>
            <w:r w:rsidRPr="000E50F1">
              <w:rPr>
                <w:rFonts w:ascii="Times" w:hAnsi="Times" w:cs="Arial"/>
              </w:rPr>
              <w:t xml:space="preserve">: </w:t>
            </w:r>
            <w:r w:rsidR="00EE64EF" w:rsidRPr="000E50F1">
              <w:rPr>
                <w:rFonts w:ascii="Times" w:hAnsi="Times" w:cs="Arial"/>
              </w:rPr>
              <w:t xml:space="preserve">Placing </w:t>
            </w:r>
            <w:r w:rsidR="00467285" w:rsidRPr="000E50F1">
              <w:rPr>
                <w:rFonts w:ascii="Times" w:hAnsi="Times" w:cs="Arial"/>
              </w:rPr>
              <w:t>Immigration, Settlement and Integration</w:t>
            </w:r>
            <w:r w:rsidR="00EE64EF" w:rsidRPr="000E50F1">
              <w:rPr>
                <w:rFonts w:ascii="Times" w:hAnsi="Times" w:cs="Arial"/>
              </w:rPr>
              <w:t xml:space="preserve"> in a Canadian City</w:t>
            </w:r>
          </w:p>
          <w:p w14:paraId="43060D05" w14:textId="13939D96" w:rsidR="008B4107" w:rsidRPr="000E50F1" w:rsidRDefault="008B4107" w:rsidP="00893B1F">
            <w:pPr>
              <w:ind w:left="600" w:hanging="600"/>
              <w:rPr>
                <w:rFonts w:ascii="Times" w:hAnsi="Times" w:cs="Arial"/>
              </w:rPr>
            </w:pPr>
          </w:p>
          <w:p w14:paraId="496A693E" w14:textId="77777777" w:rsidR="007019E8" w:rsidRPr="000E50F1" w:rsidRDefault="007019E8" w:rsidP="0070492E">
            <w:pPr>
              <w:rPr>
                <w:rFonts w:ascii="Times" w:hAnsi="Times" w:cs="Arial"/>
              </w:rPr>
            </w:pPr>
          </w:p>
        </w:tc>
      </w:tr>
      <w:tr w:rsidR="00BC4F0F" w:rsidRPr="000E50F1" w14:paraId="47B420FF" w14:textId="77777777" w:rsidTr="00D35E43">
        <w:tc>
          <w:tcPr>
            <w:tcW w:w="7920" w:type="dxa"/>
            <w:gridSpan w:val="2"/>
          </w:tcPr>
          <w:p w14:paraId="69061F46" w14:textId="0E28475D" w:rsidR="007019E8" w:rsidRPr="000E50F1" w:rsidRDefault="007019E8" w:rsidP="0070492E">
            <w:pPr>
              <w:rPr>
                <w:rFonts w:ascii="Times" w:hAnsi="Times" w:cs="Arial"/>
              </w:rPr>
            </w:pPr>
            <w:r w:rsidRPr="000E50F1">
              <w:rPr>
                <w:rFonts w:ascii="Times" w:hAnsi="Times" w:cs="Arial"/>
                <w:b/>
              </w:rPr>
              <w:t>Author</w:t>
            </w:r>
            <w:r w:rsidRPr="000E50F1">
              <w:rPr>
                <w:rFonts w:ascii="Times" w:hAnsi="Times" w:cs="Arial"/>
              </w:rPr>
              <w:t>: Huyen Dam, B.A., M.A. (McMaster University)</w:t>
            </w:r>
          </w:p>
          <w:p w14:paraId="7DA1EAA8" w14:textId="0EE7ADE0" w:rsidR="003D4FDB" w:rsidRPr="000E50F1" w:rsidRDefault="003D4FDB" w:rsidP="0070492E">
            <w:pPr>
              <w:rPr>
                <w:rFonts w:ascii="Times" w:hAnsi="Times" w:cs="Arial"/>
              </w:rPr>
            </w:pPr>
          </w:p>
        </w:tc>
      </w:tr>
      <w:tr w:rsidR="00AF1CE5" w:rsidRPr="000E50F1" w14:paraId="3BAFEB23" w14:textId="77777777" w:rsidTr="00D35E43">
        <w:tc>
          <w:tcPr>
            <w:tcW w:w="7920" w:type="dxa"/>
            <w:gridSpan w:val="2"/>
          </w:tcPr>
          <w:p w14:paraId="3FC43A27" w14:textId="77777777" w:rsidR="00A13B89" w:rsidRPr="000E50F1" w:rsidRDefault="00A13B89" w:rsidP="0070492E">
            <w:pPr>
              <w:rPr>
                <w:rFonts w:ascii="Times" w:hAnsi="Times" w:cs="Arial"/>
              </w:rPr>
            </w:pPr>
          </w:p>
          <w:p w14:paraId="66B551FB" w14:textId="6BF905E2" w:rsidR="00AF1CE5" w:rsidRPr="000E50F1" w:rsidRDefault="00AF1CE5" w:rsidP="0070492E">
            <w:pPr>
              <w:rPr>
                <w:rFonts w:ascii="Times" w:hAnsi="Times" w:cs="Arial"/>
              </w:rPr>
            </w:pPr>
            <w:r w:rsidRPr="000E50F1">
              <w:rPr>
                <w:rFonts w:ascii="Times" w:hAnsi="Times" w:cs="Arial"/>
                <w:b/>
              </w:rPr>
              <w:t>Supervisor</w:t>
            </w:r>
            <w:r w:rsidRPr="000E50F1">
              <w:rPr>
                <w:rFonts w:ascii="Times" w:hAnsi="Times" w:cs="Arial"/>
              </w:rPr>
              <w:t>: Professor</w:t>
            </w:r>
            <w:r w:rsidR="00B91F5A" w:rsidRPr="000E50F1">
              <w:rPr>
                <w:rFonts w:ascii="Times" w:hAnsi="Times" w:cs="Arial"/>
              </w:rPr>
              <w:t xml:space="preserve"> </w:t>
            </w:r>
            <w:r w:rsidRPr="000E50F1">
              <w:rPr>
                <w:rFonts w:ascii="Times" w:hAnsi="Times" w:cs="Arial"/>
              </w:rPr>
              <w:t>Bruce Newbold</w:t>
            </w:r>
          </w:p>
          <w:p w14:paraId="6EED7DF6" w14:textId="77777777" w:rsidR="00AF1CE5" w:rsidRPr="000E50F1" w:rsidRDefault="00AF1CE5" w:rsidP="0070492E">
            <w:pPr>
              <w:rPr>
                <w:rFonts w:ascii="Times" w:hAnsi="Times" w:cs="Arial"/>
              </w:rPr>
            </w:pPr>
          </w:p>
          <w:p w14:paraId="3AB137A1" w14:textId="65F7CFD8" w:rsidR="00A13B89" w:rsidRPr="000E50F1" w:rsidRDefault="00A13B89" w:rsidP="0070492E">
            <w:pPr>
              <w:rPr>
                <w:rFonts w:ascii="Times" w:hAnsi="Times" w:cs="Arial"/>
              </w:rPr>
            </w:pPr>
          </w:p>
        </w:tc>
      </w:tr>
      <w:tr w:rsidR="00A13B89" w:rsidRPr="000E50F1" w14:paraId="5BF80AAA" w14:textId="77777777" w:rsidTr="00D35E43">
        <w:tc>
          <w:tcPr>
            <w:tcW w:w="7920" w:type="dxa"/>
            <w:gridSpan w:val="2"/>
          </w:tcPr>
          <w:p w14:paraId="335EEEB3" w14:textId="6DECF6C6" w:rsidR="00A13B89" w:rsidRPr="000E50F1" w:rsidRDefault="00A13B89" w:rsidP="0070492E">
            <w:pPr>
              <w:rPr>
                <w:rFonts w:ascii="Times" w:hAnsi="Times" w:cs="Arial"/>
              </w:rPr>
            </w:pPr>
            <w:r w:rsidRPr="000E50F1">
              <w:rPr>
                <w:rFonts w:ascii="Times" w:hAnsi="Times" w:cs="Arial"/>
              </w:rPr>
              <w:t xml:space="preserve">Number of </w:t>
            </w:r>
            <w:r w:rsidR="00D35E43" w:rsidRPr="000E50F1">
              <w:rPr>
                <w:rFonts w:ascii="Times" w:hAnsi="Times" w:cs="Arial"/>
              </w:rPr>
              <w:t>p</w:t>
            </w:r>
            <w:r w:rsidRPr="000E50F1">
              <w:rPr>
                <w:rFonts w:ascii="Times" w:hAnsi="Times" w:cs="Arial"/>
              </w:rPr>
              <w:t xml:space="preserve">ages: </w:t>
            </w:r>
            <w:r w:rsidR="00956D10" w:rsidRPr="000E50F1">
              <w:rPr>
                <w:rFonts w:ascii="Times" w:hAnsi="Times" w:cs="Arial"/>
              </w:rPr>
              <w:t>x</w:t>
            </w:r>
            <w:r w:rsidRPr="000E50F1">
              <w:rPr>
                <w:rFonts w:ascii="Times" w:hAnsi="Times" w:cs="Arial"/>
              </w:rPr>
              <w:t>, 1</w:t>
            </w:r>
            <w:r w:rsidR="00DF4127" w:rsidRPr="000E50F1">
              <w:rPr>
                <w:rFonts w:ascii="Times" w:hAnsi="Times" w:cs="Arial"/>
              </w:rPr>
              <w:t>15</w:t>
            </w:r>
          </w:p>
        </w:tc>
      </w:tr>
    </w:tbl>
    <w:p w14:paraId="2934EB90" w14:textId="6E3DCDAC" w:rsidR="007019E8" w:rsidRPr="000E50F1" w:rsidRDefault="007019E8" w:rsidP="0070492E">
      <w:pPr>
        <w:rPr>
          <w:rFonts w:ascii="Times" w:hAnsi="Times" w:cs="Arial"/>
        </w:rPr>
      </w:pPr>
    </w:p>
    <w:p w14:paraId="70087ADA" w14:textId="105DF10A" w:rsidR="007019E8" w:rsidRPr="000E50F1" w:rsidRDefault="007019E8" w:rsidP="0070492E">
      <w:pPr>
        <w:rPr>
          <w:rFonts w:ascii="Times" w:hAnsi="Times" w:cs="Arial"/>
        </w:rPr>
      </w:pPr>
    </w:p>
    <w:p w14:paraId="7EF4B936" w14:textId="77777777" w:rsidR="007019E8" w:rsidRPr="000E50F1" w:rsidRDefault="007019E8" w:rsidP="0070492E">
      <w:pPr>
        <w:rPr>
          <w:rFonts w:ascii="Times" w:hAnsi="Times" w:cs="Arial"/>
        </w:rPr>
      </w:pPr>
    </w:p>
    <w:p w14:paraId="2E51EC9A" w14:textId="77777777" w:rsidR="00A3158C" w:rsidRPr="000E50F1" w:rsidRDefault="00A3158C" w:rsidP="0070492E">
      <w:pPr>
        <w:rPr>
          <w:rFonts w:ascii="Times" w:hAnsi="Times" w:cs="Arial"/>
          <w:b/>
        </w:rPr>
      </w:pPr>
    </w:p>
    <w:p w14:paraId="6B6283C6" w14:textId="211B7DB7" w:rsidR="007019E8" w:rsidRPr="000E50F1" w:rsidRDefault="007019E8" w:rsidP="0070492E">
      <w:pPr>
        <w:rPr>
          <w:rFonts w:ascii="Times" w:hAnsi="Times" w:cs="Arial"/>
          <w:b/>
        </w:rPr>
      </w:pPr>
      <w:r w:rsidRPr="000E50F1">
        <w:rPr>
          <w:rFonts w:ascii="Times" w:hAnsi="Times" w:cs="Arial"/>
          <w:b/>
        </w:rPr>
        <w:br w:type="page"/>
      </w:r>
    </w:p>
    <w:p w14:paraId="0ECF4D1A" w14:textId="037C7215" w:rsidR="007E63B6" w:rsidRPr="000E50F1" w:rsidRDefault="007E63B6" w:rsidP="00593C07">
      <w:pPr>
        <w:pStyle w:val="Heading1"/>
        <w:spacing w:before="0" w:line="240" w:lineRule="auto"/>
        <w:jc w:val="center"/>
        <w:rPr>
          <w:rFonts w:ascii="Times" w:eastAsia="Calibri" w:hAnsi="Times"/>
          <w:color w:val="auto"/>
          <w:sz w:val="24"/>
          <w:szCs w:val="24"/>
        </w:rPr>
      </w:pPr>
      <w:bookmarkStart w:id="1" w:name="_Toc60231886"/>
      <w:r w:rsidRPr="000E50F1">
        <w:rPr>
          <w:rFonts w:ascii="Times" w:eastAsia="Calibri" w:hAnsi="Times"/>
          <w:color w:val="auto"/>
          <w:sz w:val="24"/>
          <w:szCs w:val="24"/>
        </w:rPr>
        <w:lastRenderedPageBreak/>
        <w:t xml:space="preserve">LAY </w:t>
      </w:r>
      <w:r w:rsidR="00593C07" w:rsidRPr="000E50F1">
        <w:rPr>
          <w:rFonts w:ascii="Times" w:eastAsia="Calibri" w:hAnsi="Times"/>
          <w:color w:val="auto"/>
          <w:sz w:val="24"/>
          <w:szCs w:val="24"/>
        </w:rPr>
        <w:t>ABSTRACT</w:t>
      </w:r>
      <w:bookmarkEnd w:id="1"/>
    </w:p>
    <w:p w14:paraId="78D14287" w14:textId="0EF229DC" w:rsidR="00904D3E" w:rsidRPr="000E50F1" w:rsidRDefault="00904D3E" w:rsidP="00904D3E">
      <w:pPr>
        <w:rPr>
          <w:rFonts w:eastAsia="Calibri"/>
          <w:lang w:val="en-US"/>
        </w:rPr>
      </w:pPr>
    </w:p>
    <w:p w14:paraId="7B3C974A" w14:textId="77777777" w:rsidR="00904D3E" w:rsidRPr="000E50F1" w:rsidRDefault="00904D3E" w:rsidP="00904D3E">
      <w:pPr>
        <w:rPr>
          <w:rFonts w:eastAsia="Calibri"/>
          <w:lang w:val="en-US"/>
        </w:rPr>
      </w:pPr>
    </w:p>
    <w:p w14:paraId="2FA63100" w14:textId="28462B57" w:rsidR="00462D21" w:rsidRPr="000E50F1" w:rsidRDefault="00462D21" w:rsidP="00462D21">
      <w:pPr>
        <w:tabs>
          <w:tab w:val="left" w:pos="1560"/>
        </w:tabs>
        <w:rPr>
          <w:rFonts w:ascii="Times" w:hAnsi="Times"/>
        </w:rPr>
      </w:pPr>
      <w:r w:rsidRPr="000E50F1">
        <w:rPr>
          <w:rFonts w:ascii="Times" w:hAnsi="Times"/>
        </w:rPr>
        <w:t>As Canada continues to effectively manage its immigration system and uphold its commitment to international refugee protection and resettlement, it is critical for Canada to do so with an understanding of the changing context of immigration in our contemporary society. In this thesis, I examine the migrat</w:t>
      </w:r>
      <w:r w:rsidR="00B20B6A" w:rsidRPr="000E50F1">
        <w:rPr>
          <w:rFonts w:ascii="Times" w:hAnsi="Times"/>
        </w:rPr>
        <w:t>ion</w:t>
      </w:r>
      <w:r w:rsidRPr="000E50F1">
        <w:rPr>
          <w:rFonts w:ascii="Times" w:hAnsi="Times"/>
        </w:rPr>
        <w:t xml:space="preserve"> trajectory of three groups of newcomers to Canada; international students, Syrian refugees, and refugee youth, by asking </w:t>
      </w:r>
      <w:r w:rsidR="002501FB" w:rsidRPr="000E50F1">
        <w:rPr>
          <w:rFonts w:ascii="Times" w:hAnsi="Times"/>
        </w:rPr>
        <w:t>two</w:t>
      </w:r>
      <w:r w:rsidRPr="000E50F1">
        <w:rPr>
          <w:rFonts w:ascii="Times" w:hAnsi="Times"/>
        </w:rPr>
        <w:t xml:space="preserve"> overarching research questions that explores policies and conditions that can create group risks and vulnerabilities in immigration, settlement</w:t>
      </w:r>
      <w:r w:rsidR="002501FB" w:rsidRPr="000E50F1">
        <w:rPr>
          <w:rFonts w:ascii="Times" w:hAnsi="Times"/>
        </w:rPr>
        <w:t xml:space="preserve">, </w:t>
      </w:r>
      <w:r w:rsidRPr="000E50F1">
        <w:rPr>
          <w:rFonts w:ascii="Times" w:hAnsi="Times"/>
        </w:rPr>
        <w:t xml:space="preserve">and integration. </w:t>
      </w:r>
      <w:r w:rsidR="002501FB" w:rsidRPr="000E50F1">
        <w:rPr>
          <w:rFonts w:ascii="Times" w:hAnsi="Times"/>
        </w:rPr>
        <w:t>T</w:t>
      </w:r>
      <w:r w:rsidRPr="000E50F1">
        <w:rPr>
          <w:rFonts w:ascii="Times" w:hAnsi="Times"/>
        </w:rPr>
        <w:t xml:space="preserve">his </w:t>
      </w:r>
      <w:r w:rsidR="00F7231F" w:rsidRPr="000E50F1">
        <w:rPr>
          <w:rFonts w:ascii="Times" w:hAnsi="Times"/>
        </w:rPr>
        <w:t xml:space="preserve">thesis </w:t>
      </w:r>
      <w:r w:rsidRPr="000E50F1">
        <w:rPr>
          <w:rFonts w:ascii="Times" w:hAnsi="Times"/>
        </w:rPr>
        <w:t>seeks to understand how policies could be addressed to improve successful outcome for newcomers. This thesis employs a geographical lens of place to deepen understanding of processes and outcomes in our contemporary society, while responding to these evolving contexts in one mid-size, post-industrial Canadian city.</w:t>
      </w:r>
    </w:p>
    <w:p w14:paraId="1D372759" w14:textId="0DF37E12" w:rsidR="00904D3E" w:rsidRPr="000E50F1" w:rsidRDefault="00904D3E" w:rsidP="00904D3E">
      <w:pPr>
        <w:rPr>
          <w:rFonts w:eastAsia="Calibri"/>
          <w:lang w:val="en-US"/>
        </w:rPr>
      </w:pPr>
    </w:p>
    <w:p w14:paraId="5138257F" w14:textId="77777777" w:rsidR="00AC50D1" w:rsidRPr="000E50F1" w:rsidRDefault="00AC50D1" w:rsidP="00904D3E">
      <w:pPr>
        <w:rPr>
          <w:rFonts w:eastAsia="Calibri"/>
          <w:lang w:val="en-US"/>
        </w:rPr>
      </w:pPr>
    </w:p>
    <w:p w14:paraId="3D15F20C" w14:textId="77777777" w:rsidR="00AC50D1" w:rsidRPr="000E50F1" w:rsidRDefault="00AC50D1" w:rsidP="00904D3E">
      <w:pPr>
        <w:rPr>
          <w:rFonts w:eastAsia="Calibri"/>
          <w:lang w:val="en-US"/>
        </w:rPr>
      </w:pPr>
    </w:p>
    <w:p w14:paraId="61C309CD" w14:textId="77396589" w:rsidR="00904D3E" w:rsidRPr="000E50F1" w:rsidRDefault="00904D3E">
      <w:pPr>
        <w:rPr>
          <w:rFonts w:ascii="Times" w:eastAsia="Calibri" w:hAnsi="Times"/>
        </w:rPr>
      </w:pPr>
    </w:p>
    <w:p w14:paraId="6181908E" w14:textId="762CD416" w:rsidR="007E63B6" w:rsidRPr="000E50F1" w:rsidRDefault="007E63B6" w:rsidP="00904D3E">
      <w:pPr>
        <w:pStyle w:val="Heading1"/>
        <w:spacing w:before="0" w:line="240" w:lineRule="auto"/>
        <w:jc w:val="center"/>
        <w:rPr>
          <w:rFonts w:ascii="Times" w:eastAsia="Calibri" w:hAnsi="Times"/>
          <w:color w:val="auto"/>
          <w:sz w:val="24"/>
          <w:szCs w:val="24"/>
        </w:rPr>
      </w:pPr>
      <w:bookmarkStart w:id="2" w:name="_Toc60231887"/>
      <w:r w:rsidRPr="000E50F1">
        <w:rPr>
          <w:rFonts w:ascii="Times" w:eastAsia="Calibri" w:hAnsi="Times"/>
          <w:color w:val="auto"/>
          <w:sz w:val="24"/>
          <w:szCs w:val="24"/>
        </w:rPr>
        <w:t>ABSTRACT</w:t>
      </w:r>
      <w:bookmarkEnd w:id="2"/>
    </w:p>
    <w:p w14:paraId="2620C781" w14:textId="6FF93F30" w:rsidR="00904D3E" w:rsidRPr="000E50F1" w:rsidRDefault="00904D3E" w:rsidP="00904D3E">
      <w:pPr>
        <w:rPr>
          <w:rFonts w:eastAsia="Calibri"/>
          <w:lang w:val="en-US"/>
        </w:rPr>
      </w:pPr>
    </w:p>
    <w:p w14:paraId="47FA0F8B" w14:textId="77777777" w:rsidR="00522120" w:rsidRPr="000E50F1" w:rsidRDefault="00522120" w:rsidP="00904D3E">
      <w:pPr>
        <w:rPr>
          <w:rFonts w:eastAsia="Calibri"/>
          <w:lang w:val="en-US"/>
        </w:rPr>
      </w:pPr>
    </w:p>
    <w:p w14:paraId="16513007" w14:textId="025B6819" w:rsidR="00991F11" w:rsidRPr="000E50F1" w:rsidRDefault="00522120" w:rsidP="00DD2803">
      <w:pPr>
        <w:tabs>
          <w:tab w:val="left" w:pos="1560"/>
        </w:tabs>
      </w:pPr>
      <w:r w:rsidRPr="000E50F1">
        <w:rPr>
          <w:rFonts w:ascii="Times" w:hAnsi="Times"/>
        </w:rPr>
        <w:t>International migration flows and patterns shaped by the determinants, processes and outcomes of social, political, and economic conditions have led to important transformation of society and human geographies. As Canada continues to effectively manage its immigration system and uphold its commitment to international refugee protection and resettlement, it is critical for Canada to do so with an understa</w:t>
      </w:r>
      <w:r w:rsidR="004E11F5" w:rsidRPr="000E50F1">
        <w:rPr>
          <w:rFonts w:ascii="Times" w:hAnsi="Times"/>
        </w:rPr>
        <w:t>nd</w:t>
      </w:r>
      <w:r w:rsidRPr="000E50F1">
        <w:rPr>
          <w:rFonts w:ascii="Times" w:hAnsi="Times"/>
        </w:rPr>
        <w:t xml:space="preserve">ing </w:t>
      </w:r>
      <w:r w:rsidRPr="000E50F1">
        <w:rPr>
          <w:rFonts w:ascii="Times" w:hAnsi="Times" w:cs="Arial"/>
        </w:rPr>
        <w:t>of the changing context of immigration</w:t>
      </w:r>
      <w:r w:rsidR="00666920" w:rsidRPr="000E50F1">
        <w:rPr>
          <w:rFonts w:ascii="Times" w:hAnsi="Times" w:cs="Arial"/>
        </w:rPr>
        <w:t xml:space="preserve">, which are </w:t>
      </w:r>
      <w:r w:rsidRPr="000E50F1">
        <w:rPr>
          <w:rFonts w:ascii="Times" w:hAnsi="Times" w:cs="Arial"/>
        </w:rPr>
        <w:t xml:space="preserve">reinforced by </w:t>
      </w:r>
      <w:r w:rsidRPr="000E50F1">
        <w:rPr>
          <w:rFonts w:ascii="Times" w:hAnsi="Times"/>
        </w:rPr>
        <w:t xml:space="preserve">shifting policies and </w:t>
      </w:r>
      <w:r w:rsidR="00666920" w:rsidRPr="000E50F1">
        <w:rPr>
          <w:rFonts w:ascii="Times" w:hAnsi="Times"/>
        </w:rPr>
        <w:t>their</w:t>
      </w:r>
      <w:r w:rsidRPr="000E50F1">
        <w:rPr>
          <w:rFonts w:ascii="Times" w:hAnsi="Times"/>
        </w:rPr>
        <w:t xml:space="preserve"> impact</w:t>
      </w:r>
      <w:r w:rsidR="00666920" w:rsidRPr="000E50F1">
        <w:rPr>
          <w:rFonts w:ascii="Times" w:hAnsi="Times"/>
        </w:rPr>
        <w:t>,</w:t>
      </w:r>
      <w:r w:rsidRPr="000E50F1">
        <w:rPr>
          <w:rFonts w:ascii="Times" w:hAnsi="Times" w:cs="Arial"/>
        </w:rPr>
        <w:t xml:space="preserve"> in our contemporary society</w:t>
      </w:r>
      <w:r w:rsidRPr="000E50F1">
        <w:rPr>
          <w:rFonts w:ascii="Times" w:hAnsi="Times"/>
        </w:rPr>
        <w:t>. In this thesis, the migrat</w:t>
      </w:r>
      <w:r w:rsidR="00B20B6A" w:rsidRPr="000E50F1">
        <w:rPr>
          <w:rFonts w:ascii="Times" w:hAnsi="Times"/>
        </w:rPr>
        <w:t>ion</w:t>
      </w:r>
      <w:r w:rsidRPr="000E50F1">
        <w:rPr>
          <w:rFonts w:ascii="Times" w:hAnsi="Times"/>
        </w:rPr>
        <w:t xml:space="preserve"> trajectory of three groups of newcomers to Canada</w:t>
      </w:r>
      <w:r w:rsidR="00666920" w:rsidRPr="000E50F1">
        <w:rPr>
          <w:rFonts w:ascii="Times" w:hAnsi="Times"/>
        </w:rPr>
        <w:t>;</w:t>
      </w:r>
      <w:r w:rsidRPr="000E50F1">
        <w:rPr>
          <w:rFonts w:ascii="Times" w:hAnsi="Times"/>
        </w:rPr>
        <w:t xml:space="preserve"> international students, Syrian refugees, and refugee youth</w:t>
      </w:r>
      <w:r w:rsidR="00666920" w:rsidRPr="000E50F1">
        <w:rPr>
          <w:rFonts w:ascii="Times" w:hAnsi="Times"/>
        </w:rPr>
        <w:t>,</w:t>
      </w:r>
      <w:r w:rsidRPr="000E50F1">
        <w:rPr>
          <w:rFonts w:ascii="Times" w:hAnsi="Times"/>
        </w:rPr>
        <w:t xml:space="preserve"> </w:t>
      </w:r>
      <w:r w:rsidR="00430C12" w:rsidRPr="000E50F1">
        <w:rPr>
          <w:rFonts w:ascii="Times" w:hAnsi="Times"/>
        </w:rPr>
        <w:t>are</w:t>
      </w:r>
      <w:r w:rsidRPr="000E50F1">
        <w:rPr>
          <w:rFonts w:ascii="Times" w:hAnsi="Times"/>
        </w:rPr>
        <w:t xml:space="preserve"> explored by examining </w:t>
      </w:r>
      <w:r w:rsidRPr="000E50F1">
        <w:rPr>
          <w:rFonts w:ascii="Times" w:hAnsi="Times" w:cs="Arial"/>
        </w:rPr>
        <w:t xml:space="preserve">policies and conditions that can create group risks and vulnerabilities in </w:t>
      </w:r>
      <w:r w:rsidRPr="000E50F1">
        <w:rPr>
          <w:rFonts w:ascii="Times" w:hAnsi="Times"/>
        </w:rPr>
        <w:t>immigration, settlement</w:t>
      </w:r>
      <w:r w:rsidR="00666920" w:rsidRPr="000E50F1">
        <w:rPr>
          <w:rFonts w:ascii="Times" w:hAnsi="Times"/>
        </w:rPr>
        <w:t xml:space="preserve">, </w:t>
      </w:r>
      <w:r w:rsidRPr="000E50F1">
        <w:rPr>
          <w:rFonts w:ascii="Times" w:hAnsi="Times"/>
        </w:rPr>
        <w:t xml:space="preserve">and integration </w:t>
      </w:r>
      <w:r w:rsidR="00666920" w:rsidRPr="000E50F1">
        <w:rPr>
          <w:rFonts w:ascii="Times" w:hAnsi="Times"/>
        </w:rPr>
        <w:t>as groups</w:t>
      </w:r>
      <w:r w:rsidRPr="000E50F1">
        <w:rPr>
          <w:rFonts w:ascii="Times" w:hAnsi="Times"/>
        </w:rPr>
        <w:t xml:space="preserve"> transition to life in Canada after arrival. As suggested by Castle (2010) migration researchers can advance the field by embedding their work in broader theories of social change to facilitate understanding of the complexity, interconnectedness, variability, contextuality</w:t>
      </w:r>
      <w:r w:rsidR="00430C12" w:rsidRPr="000E50F1">
        <w:rPr>
          <w:rFonts w:ascii="Times" w:hAnsi="Times"/>
        </w:rPr>
        <w:t xml:space="preserve">, </w:t>
      </w:r>
      <w:r w:rsidRPr="000E50F1">
        <w:rPr>
          <w:rFonts w:ascii="Times" w:hAnsi="Times"/>
        </w:rPr>
        <w:t xml:space="preserve">and multi-mediation of migratory process in the context of rapid change. </w:t>
      </w:r>
      <w:r w:rsidR="00666920" w:rsidRPr="000E50F1">
        <w:rPr>
          <w:rFonts w:ascii="Times" w:hAnsi="Times"/>
        </w:rPr>
        <w:t>This thesis employs a geographical lens of place to deepen understanding of processes and outcomes in our contemporary society, while responding to these evolving contexts in one mid-size, post-industrial</w:t>
      </w:r>
      <w:r w:rsidR="00BA0A18" w:rsidRPr="000E50F1">
        <w:rPr>
          <w:rFonts w:ascii="Times" w:hAnsi="Times"/>
        </w:rPr>
        <w:t xml:space="preserve"> </w:t>
      </w:r>
      <w:r w:rsidR="00666920" w:rsidRPr="000E50F1">
        <w:rPr>
          <w:rFonts w:ascii="Times" w:hAnsi="Times"/>
        </w:rPr>
        <w:t>Canadian city</w:t>
      </w:r>
      <w:r w:rsidR="00430C12" w:rsidRPr="000E50F1">
        <w:rPr>
          <w:rFonts w:ascii="Times" w:hAnsi="Times"/>
        </w:rPr>
        <w:t xml:space="preserve">. </w:t>
      </w:r>
      <w:r w:rsidR="00AD706B" w:rsidRPr="000E50F1">
        <w:rPr>
          <w:rFonts w:ascii="Times" w:hAnsi="Times"/>
        </w:rPr>
        <w:t>In</w:t>
      </w:r>
      <w:r w:rsidR="00AD706B" w:rsidRPr="000E50F1">
        <w:rPr>
          <w:rFonts w:ascii="Times" w:hAnsi="Times"/>
          <w:spacing w:val="-5"/>
        </w:rPr>
        <w:t xml:space="preserve"> three separate research, this thesis examines: 1) economic immigration flow under Express Entry</w:t>
      </w:r>
      <w:r w:rsidR="00BA0A18" w:rsidRPr="000E50F1">
        <w:rPr>
          <w:rFonts w:ascii="Times" w:hAnsi="Times"/>
          <w:spacing w:val="-5"/>
        </w:rPr>
        <w:t xml:space="preserve"> in 2015 and 2016</w:t>
      </w:r>
      <w:r w:rsidR="00AD706B" w:rsidRPr="000E50F1">
        <w:rPr>
          <w:rFonts w:ascii="Times" w:hAnsi="Times"/>
          <w:spacing w:val="-5"/>
        </w:rPr>
        <w:t>; 2) the role of the voluntary sector during the Syrian Refugee Resettlement Initiative in Hamilton, Ontario</w:t>
      </w:r>
      <w:r w:rsidR="00BA0A18" w:rsidRPr="000E50F1">
        <w:rPr>
          <w:rFonts w:ascii="Times" w:hAnsi="Times"/>
          <w:spacing w:val="-5"/>
        </w:rPr>
        <w:t xml:space="preserve"> in 2016</w:t>
      </w:r>
      <w:r w:rsidR="00AD706B" w:rsidRPr="000E50F1">
        <w:rPr>
          <w:rFonts w:ascii="Times" w:hAnsi="Times"/>
          <w:spacing w:val="-5"/>
        </w:rPr>
        <w:t xml:space="preserve">; and 3) the place of school-based </w:t>
      </w:r>
      <w:r w:rsidR="00AD706B" w:rsidRPr="000E50F1">
        <w:rPr>
          <w:rFonts w:ascii="Times" w:hAnsi="Times"/>
        </w:rPr>
        <w:t>settlement in bridging and brokering school-based mental health</w:t>
      </w:r>
      <w:r w:rsidR="00BA0A18" w:rsidRPr="000E50F1">
        <w:rPr>
          <w:rFonts w:ascii="Times" w:hAnsi="Times"/>
        </w:rPr>
        <w:t xml:space="preserve"> for newcomer youth</w:t>
      </w:r>
      <w:r w:rsidR="00AD706B" w:rsidRPr="000E50F1">
        <w:rPr>
          <w:rFonts w:ascii="Times" w:hAnsi="Times"/>
        </w:rPr>
        <w:t>.</w:t>
      </w:r>
    </w:p>
    <w:sdt>
      <w:sdtPr>
        <w:rPr>
          <w:rFonts w:ascii="Times" w:eastAsia="Calibri" w:hAnsi="Times" w:cs="Arial"/>
          <w:b w:val="0"/>
          <w:bCs w:val="0"/>
          <w:color w:val="auto"/>
          <w:sz w:val="24"/>
          <w:szCs w:val="24"/>
          <w:lang w:val="en-CA" w:eastAsia="en-US"/>
        </w:rPr>
        <w:id w:val="-1011762663"/>
        <w:docPartObj>
          <w:docPartGallery w:val="Table of Contents"/>
          <w:docPartUnique/>
        </w:docPartObj>
      </w:sdtPr>
      <w:sdtEndPr>
        <w:rPr>
          <w:rFonts w:eastAsia="Times New Roman"/>
          <w:noProof/>
          <w:sz w:val="23"/>
          <w:szCs w:val="23"/>
        </w:rPr>
      </w:sdtEndPr>
      <w:sdtContent>
        <w:p w14:paraId="67478831" w14:textId="77777777" w:rsidR="00567803" w:rsidRPr="000E50F1" w:rsidRDefault="00170F33" w:rsidP="006C7AFB">
          <w:pPr>
            <w:pStyle w:val="TOCHeading"/>
            <w:spacing w:before="0" w:line="360" w:lineRule="auto"/>
            <w:jc w:val="center"/>
            <w:rPr>
              <w:rStyle w:val="Heading2Char"/>
              <w:rFonts w:ascii="Times" w:hAnsi="Times" w:cs="Arial"/>
              <w:b/>
              <w:color w:val="auto"/>
              <w:sz w:val="24"/>
              <w:szCs w:val="24"/>
              <w:lang w:val="en-CA" w:eastAsia="en-US"/>
            </w:rPr>
          </w:pPr>
          <w:r w:rsidRPr="000E50F1">
            <w:rPr>
              <w:rStyle w:val="Heading2Char"/>
              <w:rFonts w:ascii="Times" w:hAnsi="Times" w:cs="Arial"/>
              <w:b/>
              <w:color w:val="auto"/>
              <w:sz w:val="24"/>
              <w:szCs w:val="24"/>
              <w:lang w:val="en-CA" w:eastAsia="en-US"/>
            </w:rPr>
            <w:t>TABLE OF CONTENTS</w:t>
          </w:r>
        </w:p>
        <w:p w14:paraId="759A1204" w14:textId="77777777" w:rsidR="004A57A4" w:rsidRPr="000E50F1" w:rsidRDefault="004A57A4" w:rsidP="00827C1A">
          <w:pPr>
            <w:spacing w:line="360" w:lineRule="auto"/>
            <w:rPr>
              <w:rFonts w:ascii="Times" w:hAnsi="Times"/>
              <w:sz w:val="21"/>
              <w:szCs w:val="21"/>
            </w:rPr>
          </w:pPr>
        </w:p>
        <w:p w14:paraId="02EFB67A" w14:textId="03CD8838" w:rsidR="00075A80" w:rsidRPr="000E50F1" w:rsidRDefault="00567803" w:rsidP="007768B4">
          <w:pPr>
            <w:pStyle w:val="TOC1"/>
            <w:rPr>
              <w:rFonts w:ascii="Times" w:eastAsiaTheme="minorEastAsia" w:hAnsi="Times" w:cstheme="minorBidi"/>
              <w:b w:val="0"/>
              <w:bCs w:val="0"/>
              <w:caps w:val="0"/>
              <w:noProof/>
              <w:sz w:val="23"/>
              <w:szCs w:val="23"/>
            </w:rPr>
          </w:pPr>
          <w:r w:rsidRPr="000E50F1">
            <w:rPr>
              <w:rFonts w:ascii="Times" w:hAnsi="Times" w:cs="Arial"/>
              <w:b w:val="0"/>
              <w:bCs w:val="0"/>
              <w:sz w:val="23"/>
              <w:szCs w:val="23"/>
            </w:rPr>
            <w:fldChar w:fldCharType="begin"/>
          </w:r>
          <w:r w:rsidRPr="000E50F1">
            <w:rPr>
              <w:rFonts w:ascii="Times" w:hAnsi="Times" w:cs="Arial"/>
              <w:b w:val="0"/>
              <w:bCs w:val="0"/>
              <w:sz w:val="23"/>
              <w:szCs w:val="23"/>
            </w:rPr>
            <w:instrText xml:space="preserve"> TOC \o "1-3" \h \z \u </w:instrText>
          </w:r>
          <w:r w:rsidRPr="000E50F1">
            <w:rPr>
              <w:rFonts w:ascii="Times" w:hAnsi="Times" w:cs="Arial"/>
              <w:b w:val="0"/>
              <w:bCs w:val="0"/>
              <w:sz w:val="23"/>
              <w:szCs w:val="23"/>
            </w:rPr>
            <w:fldChar w:fldCharType="separate"/>
          </w:r>
          <w:hyperlink w:anchor="_Toc60231885" w:history="1">
            <w:r w:rsidR="00075A80" w:rsidRPr="000E50F1">
              <w:rPr>
                <w:rStyle w:val="Hyperlink"/>
                <w:rFonts w:ascii="Times" w:eastAsia="Calibri" w:hAnsi="Times"/>
                <w:b w:val="0"/>
                <w:bCs w:val="0"/>
                <w:noProof/>
                <w:color w:val="auto"/>
                <w:sz w:val="23"/>
                <w:szCs w:val="23"/>
              </w:rPr>
              <w:t>Descriptive NoTE</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_Toc60231885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ii</w:t>
            </w:r>
            <w:r w:rsidR="00075A80" w:rsidRPr="000E50F1">
              <w:rPr>
                <w:rFonts w:ascii="Times" w:hAnsi="Times"/>
                <w:b w:val="0"/>
                <w:bCs w:val="0"/>
                <w:noProof/>
                <w:webHidden/>
                <w:sz w:val="23"/>
                <w:szCs w:val="23"/>
              </w:rPr>
              <w:fldChar w:fldCharType="end"/>
            </w:r>
          </w:hyperlink>
        </w:p>
        <w:p w14:paraId="413816E0" w14:textId="45AB4597" w:rsidR="00075A80" w:rsidRPr="000E50F1" w:rsidRDefault="00C71D9C" w:rsidP="007768B4">
          <w:pPr>
            <w:pStyle w:val="TOC1"/>
            <w:rPr>
              <w:rFonts w:ascii="Times" w:eastAsiaTheme="minorEastAsia" w:hAnsi="Times" w:cstheme="minorBidi"/>
              <w:b w:val="0"/>
              <w:bCs w:val="0"/>
              <w:caps w:val="0"/>
              <w:noProof/>
              <w:sz w:val="23"/>
              <w:szCs w:val="23"/>
            </w:rPr>
          </w:pPr>
          <w:hyperlink w:anchor="_Toc60231886" w:history="1">
            <w:r w:rsidR="00075A80" w:rsidRPr="000E50F1">
              <w:rPr>
                <w:rStyle w:val="Hyperlink"/>
                <w:rFonts w:ascii="Times" w:eastAsia="Calibri" w:hAnsi="Times"/>
                <w:b w:val="0"/>
                <w:bCs w:val="0"/>
                <w:noProof/>
                <w:color w:val="auto"/>
                <w:sz w:val="23"/>
                <w:szCs w:val="23"/>
              </w:rPr>
              <w:t>LAY ABSTRACT</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_Toc60231886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iii</w:t>
            </w:r>
            <w:r w:rsidR="00075A80" w:rsidRPr="000E50F1">
              <w:rPr>
                <w:rFonts w:ascii="Times" w:hAnsi="Times"/>
                <w:b w:val="0"/>
                <w:bCs w:val="0"/>
                <w:noProof/>
                <w:webHidden/>
                <w:sz w:val="23"/>
                <w:szCs w:val="23"/>
              </w:rPr>
              <w:fldChar w:fldCharType="end"/>
            </w:r>
          </w:hyperlink>
        </w:p>
        <w:p w14:paraId="1FD25DD4" w14:textId="5ACD8621" w:rsidR="00075A80" w:rsidRPr="000E50F1" w:rsidRDefault="00C71D9C" w:rsidP="007768B4">
          <w:pPr>
            <w:pStyle w:val="TOC1"/>
            <w:rPr>
              <w:rFonts w:ascii="Times" w:eastAsiaTheme="minorEastAsia" w:hAnsi="Times" w:cstheme="minorBidi"/>
              <w:b w:val="0"/>
              <w:bCs w:val="0"/>
              <w:caps w:val="0"/>
              <w:noProof/>
              <w:sz w:val="23"/>
              <w:szCs w:val="23"/>
            </w:rPr>
          </w:pPr>
          <w:hyperlink w:anchor="_Toc60231887" w:history="1">
            <w:r w:rsidR="00075A80" w:rsidRPr="000E50F1">
              <w:rPr>
                <w:rStyle w:val="Hyperlink"/>
                <w:rFonts w:ascii="Times" w:eastAsia="Calibri" w:hAnsi="Times"/>
                <w:b w:val="0"/>
                <w:bCs w:val="0"/>
                <w:noProof/>
                <w:color w:val="auto"/>
                <w:sz w:val="23"/>
                <w:szCs w:val="23"/>
              </w:rPr>
              <w:t>ABSTRACT</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_Toc60231887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iii</w:t>
            </w:r>
            <w:r w:rsidR="00075A80" w:rsidRPr="000E50F1">
              <w:rPr>
                <w:rFonts w:ascii="Times" w:hAnsi="Times"/>
                <w:b w:val="0"/>
                <w:bCs w:val="0"/>
                <w:noProof/>
                <w:webHidden/>
                <w:sz w:val="23"/>
                <w:szCs w:val="23"/>
              </w:rPr>
              <w:fldChar w:fldCharType="end"/>
            </w:r>
          </w:hyperlink>
        </w:p>
        <w:p w14:paraId="64665F50" w14:textId="17C0B84B" w:rsidR="00075A80" w:rsidRPr="000E50F1" w:rsidRDefault="00C71D9C" w:rsidP="007768B4">
          <w:pPr>
            <w:pStyle w:val="TOC1"/>
            <w:rPr>
              <w:rFonts w:ascii="Times" w:eastAsiaTheme="minorEastAsia" w:hAnsi="Times" w:cstheme="minorBidi"/>
              <w:b w:val="0"/>
              <w:bCs w:val="0"/>
              <w:caps w:val="0"/>
              <w:noProof/>
              <w:sz w:val="23"/>
              <w:szCs w:val="23"/>
            </w:rPr>
          </w:pPr>
          <w:hyperlink w:anchor="_Toc60231888" w:history="1">
            <w:r w:rsidR="00075A80" w:rsidRPr="000E50F1">
              <w:rPr>
                <w:rStyle w:val="Hyperlink"/>
                <w:rFonts w:ascii="Times" w:eastAsia="Calibri" w:hAnsi="Times"/>
                <w:b w:val="0"/>
                <w:bCs w:val="0"/>
                <w:noProof/>
                <w:color w:val="auto"/>
                <w:sz w:val="23"/>
                <w:szCs w:val="23"/>
              </w:rPr>
              <w:t>LIST OF TABLES &amp; FIGURES</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_Toc60231888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v</w:t>
            </w:r>
            <w:r w:rsidR="00075A80" w:rsidRPr="000E50F1">
              <w:rPr>
                <w:rFonts w:ascii="Times" w:hAnsi="Times"/>
                <w:b w:val="0"/>
                <w:bCs w:val="0"/>
                <w:noProof/>
                <w:webHidden/>
                <w:sz w:val="23"/>
                <w:szCs w:val="23"/>
              </w:rPr>
              <w:fldChar w:fldCharType="end"/>
            </w:r>
          </w:hyperlink>
        </w:p>
        <w:p w14:paraId="46635CF9" w14:textId="35EB3B28" w:rsidR="00075A80" w:rsidRPr="000E50F1" w:rsidRDefault="00C71D9C" w:rsidP="007768B4">
          <w:pPr>
            <w:pStyle w:val="TOC1"/>
            <w:rPr>
              <w:rFonts w:ascii="Times" w:eastAsiaTheme="minorEastAsia" w:hAnsi="Times" w:cstheme="minorBidi"/>
              <w:b w:val="0"/>
              <w:bCs w:val="0"/>
              <w:caps w:val="0"/>
              <w:noProof/>
              <w:sz w:val="23"/>
              <w:szCs w:val="23"/>
            </w:rPr>
          </w:pPr>
          <w:hyperlink w:anchor="_Toc60231889" w:history="1">
            <w:r w:rsidR="00075A80" w:rsidRPr="000E50F1">
              <w:rPr>
                <w:rStyle w:val="Hyperlink"/>
                <w:rFonts w:ascii="Times" w:eastAsia="Calibri" w:hAnsi="Times"/>
                <w:b w:val="0"/>
                <w:bCs w:val="0"/>
                <w:noProof/>
                <w:color w:val="auto"/>
                <w:sz w:val="23"/>
                <w:szCs w:val="23"/>
              </w:rPr>
              <w:t>LIST OF ABBREVIATIONS</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_Toc60231889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vi</w:t>
            </w:r>
            <w:r w:rsidR="00075A80" w:rsidRPr="000E50F1">
              <w:rPr>
                <w:rFonts w:ascii="Times" w:hAnsi="Times"/>
                <w:b w:val="0"/>
                <w:bCs w:val="0"/>
                <w:noProof/>
                <w:webHidden/>
                <w:sz w:val="23"/>
                <w:szCs w:val="23"/>
              </w:rPr>
              <w:fldChar w:fldCharType="end"/>
            </w:r>
          </w:hyperlink>
        </w:p>
        <w:p w14:paraId="6CF29F49" w14:textId="417AA23D" w:rsidR="00075A80" w:rsidRPr="000E50F1" w:rsidRDefault="00C71D9C" w:rsidP="007768B4">
          <w:pPr>
            <w:pStyle w:val="TOC1"/>
            <w:rPr>
              <w:rFonts w:ascii="Times" w:eastAsiaTheme="minorEastAsia" w:hAnsi="Times" w:cstheme="minorBidi"/>
              <w:b w:val="0"/>
              <w:bCs w:val="0"/>
              <w:caps w:val="0"/>
              <w:noProof/>
              <w:sz w:val="23"/>
              <w:szCs w:val="23"/>
            </w:rPr>
          </w:pPr>
          <w:hyperlink w:anchor="_Toc60231890" w:history="1">
            <w:r w:rsidR="00075A80" w:rsidRPr="000E50F1">
              <w:rPr>
                <w:rStyle w:val="Hyperlink"/>
                <w:rFonts w:ascii="Times" w:eastAsia="Calibri" w:hAnsi="Times"/>
                <w:b w:val="0"/>
                <w:bCs w:val="0"/>
                <w:noProof/>
                <w:color w:val="auto"/>
                <w:sz w:val="23"/>
                <w:szCs w:val="23"/>
              </w:rPr>
              <w:t>PREFACE</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_Toc60231890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vii</w:t>
            </w:r>
            <w:r w:rsidR="00075A80" w:rsidRPr="000E50F1">
              <w:rPr>
                <w:rFonts w:ascii="Times" w:hAnsi="Times"/>
                <w:b w:val="0"/>
                <w:bCs w:val="0"/>
                <w:noProof/>
                <w:webHidden/>
                <w:sz w:val="23"/>
                <w:szCs w:val="23"/>
              </w:rPr>
              <w:fldChar w:fldCharType="end"/>
            </w:r>
          </w:hyperlink>
        </w:p>
        <w:p w14:paraId="32D5A3C3" w14:textId="03CCEA44" w:rsidR="00075A80" w:rsidRPr="000E50F1" w:rsidRDefault="00C71D9C" w:rsidP="007768B4">
          <w:pPr>
            <w:pStyle w:val="TOC1"/>
            <w:rPr>
              <w:rFonts w:ascii="Times" w:eastAsiaTheme="minorEastAsia" w:hAnsi="Times" w:cstheme="minorBidi"/>
              <w:b w:val="0"/>
              <w:bCs w:val="0"/>
              <w:caps w:val="0"/>
              <w:noProof/>
              <w:sz w:val="23"/>
              <w:szCs w:val="23"/>
            </w:rPr>
          </w:pPr>
          <w:hyperlink w:anchor="_Toc60231891" w:history="1">
            <w:r w:rsidR="00075A80" w:rsidRPr="000E50F1">
              <w:rPr>
                <w:rStyle w:val="Hyperlink"/>
                <w:rFonts w:ascii="Times" w:eastAsia="Calibri" w:hAnsi="Times"/>
                <w:b w:val="0"/>
                <w:bCs w:val="0"/>
                <w:noProof/>
                <w:color w:val="auto"/>
                <w:sz w:val="23"/>
                <w:szCs w:val="23"/>
              </w:rPr>
              <w:t>CHAPTER ONE: INTRODUCTION</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_Toc60231891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1</w:t>
            </w:r>
            <w:r w:rsidR="00075A80" w:rsidRPr="000E50F1">
              <w:rPr>
                <w:rFonts w:ascii="Times" w:hAnsi="Times"/>
                <w:b w:val="0"/>
                <w:bCs w:val="0"/>
                <w:noProof/>
                <w:webHidden/>
                <w:sz w:val="23"/>
                <w:szCs w:val="23"/>
              </w:rPr>
              <w:fldChar w:fldCharType="end"/>
            </w:r>
          </w:hyperlink>
        </w:p>
        <w:p w14:paraId="48F84D93" w14:textId="33388081" w:rsidR="00075A80" w:rsidRPr="000E50F1" w:rsidRDefault="00C71D9C" w:rsidP="007768B4">
          <w:pPr>
            <w:pStyle w:val="TOC2"/>
            <w:spacing w:line="360" w:lineRule="auto"/>
            <w:rPr>
              <w:rFonts w:eastAsiaTheme="minorEastAsia" w:cstheme="minorBidi"/>
              <w:bCs w:val="0"/>
              <w:sz w:val="23"/>
              <w:szCs w:val="23"/>
            </w:rPr>
          </w:pPr>
          <w:hyperlink w:anchor="_Toc60231892" w:history="1">
            <w:r w:rsidR="00075A80" w:rsidRPr="000E50F1">
              <w:rPr>
                <w:rStyle w:val="Hyperlink"/>
                <w:bCs w:val="0"/>
                <w:color w:val="auto"/>
                <w:sz w:val="23"/>
                <w:szCs w:val="23"/>
              </w:rPr>
              <w:t>1.1 Research Scope</w:t>
            </w:r>
            <w:r w:rsidR="00075A80" w:rsidRPr="000E50F1">
              <w:rPr>
                <w:bCs w:val="0"/>
                <w:webHidden/>
                <w:sz w:val="23"/>
                <w:szCs w:val="23"/>
              </w:rPr>
              <w:tab/>
            </w:r>
            <w:r w:rsidR="00075A80" w:rsidRPr="000E50F1">
              <w:rPr>
                <w:bCs w:val="0"/>
                <w:webHidden/>
                <w:sz w:val="23"/>
                <w:szCs w:val="23"/>
              </w:rPr>
              <w:fldChar w:fldCharType="begin"/>
            </w:r>
            <w:r w:rsidR="00075A80" w:rsidRPr="000E50F1">
              <w:rPr>
                <w:bCs w:val="0"/>
                <w:webHidden/>
                <w:sz w:val="23"/>
                <w:szCs w:val="23"/>
              </w:rPr>
              <w:instrText xml:space="preserve"> PAGEREF _Toc60231892 \h </w:instrText>
            </w:r>
            <w:r w:rsidR="00075A80" w:rsidRPr="000E50F1">
              <w:rPr>
                <w:bCs w:val="0"/>
                <w:webHidden/>
                <w:sz w:val="23"/>
                <w:szCs w:val="23"/>
              </w:rPr>
            </w:r>
            <w:r w:rsidR="00075A80" w:rsidRPr="000E50F1">
              <w:rPr>
                <w:bCs w:val="0"/>
                <w:webHidden/>
                <w:sz w:val="23"/>
                <w:szCs w:val="23"/>
              </w:rPr>
              <w:fldChar w:fldCharType="separate"/>
            </w:r>
            <w:r w:rsidR="00F216CA" w:rsidRPr="000E50F1">
              <w:rPr>
                <w:bCs w:val="0"/>
                <w:webHidden/>
                <w:sz w:val="23"/>
                <w:szCs w:val="23"/>
              </w:rPr>
              <w:t>1</w:t>
            </w:r>
            <w:r w:rsidR="00075A80" w:rsidRPr="000E50F1">
              <w:rPr>
                <w:bCs w:val="0"/>
                <w:webHidden/>
                <w:sz w:val="23"/>
                <w:szCs w:val="23"/>
              </w:rPr>
              <w:fldChar w:fldCharType="end"/>
            </w:r>
          </w:hyperlink>
        </w:p>
        <w:p w14:paraId="78C4E328" w14:textId="29301095" w:rsidR="00075A80" w:rsidRPr="000E50F1" w:rsidRDefault="00C71D9C" w:rsidP="007768B4">
          <w:pPr>
            <w:pStyle w:val="TOC2"/>
            <w:spacing w:line="360" w:lineRule="auto"/>
            <w:rPr>
              <w:rFonts w:eastAsiaTheme="minorEastAsia" w:cstheme="minorBidi"/>
              <w:bCs w:val="0"/>
              <w:sz w:val="23"/>
              <w:szCs w:val="23"/>
            </w:rPr>
          </w:pPr>
          <w:hyperlink w:anchor="_Toc60231893" w:history="1">
            <w:r w:rsidR="00075A80" w:rsidRPr="000E50F1">
              <w:rPr>
                <w:rStyle w:val="Hyperlink"/>
                <w:bCs w:val="0"/>
                <w:color w:val="auto"/>
                <w:sz w:val="23"/>
                <w:szCs w:val="23"/>
              </w:rPr>
              <w:t>1.2 Research Objectives &amp; Questions</w:t>
            </w:r>
            <w:r w:rsidR="00075A80" w:rsidRPr="000E50F1">
              <w:rPr>
                <w:bCs w:val="0"/>
                <w:webHidden/>
                <w:sz w:val="23"/>
                <w:szCs w:val="23"/>
              </w:rPr>
              <w:tab/>
            </w:r>
            <w:r w:rsidR="00075A80" w:rsidRPr="000E50F1">
              <w:rPr>
                <w:bCs w:val="0"/>
                <w:webHidden/>
                <w:sz w:val="23"/>
                <w:szCs w:val="23"/>
              </w:rPr>
              <w:fldChar w:fldCharType="begin"/>
            </w:r>
            <w:r w:rsidR="00075A80" w:rsidRPr="000E50F1">
              <w:rPr>
                <w:bCs w:val="0"/>
                <w:webHidden/>
                <w:sz w:val="23"/>
                <w:szCs w:val="23"/>
              </w:rPr>
              <w:instrText xml:space="preserve"> PAGEREF _Toc60231893 \h </w:instrText>
            </w:r>
            <w:r w:rsidR="00075A80" w:rsidRPr="000E50F1">
              <w:rPr>
                <w:bCs w:val="0"/>
                <w:webHidden/>
                <w:sz w:val="23"/>
                <w:szCs w:val="23"/>
              </w:rPr>
            </w:r>
            <w:r w:rsidR="00075A80" w:rsidRPr="000E50F1">
              <w:rPr>
                <w:bCs w:val="0"/>
                <w:webHidden/>
                <w:sz w:val="23"/>
                <w:szCs w:val="23"/>
              </w:rPr>
              <w:fldChar w:fldCharType="separate"/>
            </w:r>
            <w:r w:rsidR="00F216CA" w:rsidRPr="000E50F1">
              <w:rPr>
                <w:bCs w:val="0"/>
                <w:webHidden/>
                <w:sz w:val="23"/>
                <w:szCs w:val="23"/>
              </w:rPr>
              <w:t>3</w:t>
            </w:r>
            <w:r w:rsidR="00075A80" w:rsidRPr="000E50F1">
              <w:rPr>
                <w:bCs w:val="0"/>
                <w:webHidden/>
                <w:sz w:val="23"/>
                <w:szCs w:val="23"/>
              </w:rPr>
              <w:fldChar w:fldCharType="end"/>
            </w:r>
          </w:hyperlink>
        </w:p>
        <w:p w14:paraId="344B5ECE" w14:textId="7181ACC8" w:rsidR="00075A80" w:rsidRPr="000E50F1" w:rsidRDefault="00C71D9C" w:rsidP="007768B4">
          <w:pPr>
            <w:pStyle w:val="TOC2"/>
            <w:spacing w:line="360" w:lineRule="auto"/>
            <w:rPr>
              <w:rFonts w:eastAsiaTheme="minorEastAsia" w:cstheme="minorBidi"/>
              <w:bCs w:val="0"/>
              <w:sz w:val="23"/>
              <w:szCs w:val="23"/>
            </w:rPr>
          </w:pPr>
          <w:hyperlink w:anchor="_Toc60231894" w:history="1">
            <w:r w:rsidR="00075A80" w:rsidRPr="000E50F1">
              <w:rPr>
                <w:rStyle w:val="Hyperlink"/>
                <w:bCs w:val="0"/>
                <w:color w:val="auto"/>
                <w:sz w:val="23"/>
                <w:szCs w:val="23"/>
              </w:rPr>
              <w:t>1.3 Placing Immigration Research in Hamilton, Ontario</w:t>
            </w:r>
            <w:r w:rsidR="00075A80" w:rsidRPr="000E50F1">
              <w:rPr>
                <w:bCs w:val="0"/>
                <w:webHidden/>
                <w:sz w:val="23"/>
                <w:szCs w:val="23"/>
              </w:rPr>
              <w:tab/>
            </w:r>
            <w:r w:rsidR="00075A80" w:rsidRPr="000E50F1">
              <w:rPr>
                <w:bCs w:val="0"/>
                <w:webHidden/>
                <w:sz w:val="23"/>
                <w:szCs w:val="23"/>
              </w:rPr>
              <w:fldChar w:fldCharType="begin"/>
            </w:r>
            <w:r w:rsidR="00075A80" w:rsidRPr="000E50F1">
              <w:rPr>
                <w:bCs w:val="0"/>
                <w:webHidden/>
                <w:sz w:val="23"/>
                <w:szCs w:val="23"/>
              </w:rPr>
              <w:instrText xml:space="preserve"> PAGEREF _Toc60231894 \h </w:instrText>
            </w:r>
            <w:r w:rsidR="00075A80" w:rsidRPr="000E50F1">
              <w:rPr>
                <w:bCs w:val="0"/>
                <w:webHidden/>
                <w:sz w:val="23"/>
                <w:szCs w:val="23"/>
              </w:rPr>
            </w:r>
            <w:r w:rsidR="00075A80" w:rsidRPr="000E50F1">
              <w:rPr>
                <w:bCs w:val="0"/>
                <w:webHidden/>
                <w:sz w:val="23"/>
                <w:szCs w:val="23"/>
              </w:rPr>
              <w:fldChar w:fldCharType="separate"/>
            </w:r>
            <w:r w:rsidR="00F216CA" w:rsidRPr="000E50F1">
              <w:rPr>
                <w:bCs w:val="0"/>
                <w:webHidden/>
                <w:sz w:val="23"/>
                <w:szCs w:val="23"/>
              </w:rPr>
              <w:t>4</w:t>
            </w:r>
            <w:r w:rsidR="00075A80" w:rsidRPr="000E50F1">
              <w:rPr>
                <w:bCs w:val="0"/>
                <w:webHidden/>
                <w:sz w:val="23"/>
                <w:szCs w:val="23"/>
              </w:rPr>
              <w:fldChar w:fldCharType="end"/>
            </w:r>
          </w:hyperlink>
        </w:p>
        <w:p w14:paraId="4A80E69E" w14:textId="076084F3" w:rsidR="00075A80" w:rsidRPr="000E50F1" w:rsidRDefault="00C71D9C" w:rsidP="007768B4">
          <w:pPr>
            <w:pStyle w:val="TOC2"/>
            <w:spacing w:line="360" w:lineRule="auto"/>
            <w:rPr>
              <w:rFonts w:eastAsiaTheme="minorEastAsia" w:cstheme="minorBidi"/>
              <w:bCs w:val="0"/>
              <w:sz w:val="23"/>
              <w:szCs w:val="23"/>
            </w:rPr>
          </w:pPr>
          <w:hyperlink w:anchor="_Toc60231895" w:history="1">
            <w:r w:rsidR="00075A80" w:rsidRPr="000E50F1">
              <w:rPr>
                <w:rStyle w:val="Hyperlink"/>
                <w:bCs w:val="0"/>
                <w:color w:val="auto"/>
                <w:sz w:val="23"/>
                <w:szCs w:val="23"/>
              </w:rPr>
              <w:t>1.4 Migration as Social &amp; Geographical Transformation</w:t>
            </w:r>
            <w:r w:rsidR="00075A80" w:rsidRPr="000E50F1">
              <w:rPr>
                <w:bCs w:val="0"/>
                <w:webHidden/>
                <w:sz w:val="23"/>
                <w:szCs w:val="23"/>
              </w:rPr>
              <w:tab/>
            </w:r>
            <w:r w:rsidR="00075A80" w:rsidRPr="000E50F1">
              <w:rPr>
                <w:bCs w:val="0"/>
                <w:webHidden/>
                <w:sz w:val="23"/>
                <w:szCs w:val="23"/>
              </w:rPr>
              <w:fldChar w:fldCharType="begin"/>
            </w:r>
            <w:r w:rsidR="00075A80" w:rsidRPr="000E50F1">
              <w:rPr>
                <w:bCs w:val="0"/>
                <w:webHidden/>
                <w:sz w:val="23"/>
                <w:szCs w:val="23"/>
              </w:rPr>
              <w:instrText xml:space="preserve"> PAGEREF _Toc60231895 \h </w:instrText>
            </w:r>
            <w:r w:rsidR="00075A80" w:rsidRPr="000E50F1">
              <w:rPr>
                <w:bCs w:val="0"/>
                <w:webHidden/>
                <w:sz w:val="23"/>
                <w:szCs w:val="23"/>
              </w:rPr>
            </w:r>
            <w:r w:rsidR="00075A80" w:rsidRPr="000E50F1">
              <w:rPr>
                <w:bCs w:val="0"/>
                <w:webHidden/>
                <w:sz w:val="23"/>
                <w:szCs w:val="23"/>
              </w:rPr>
              <w:fldChar w:fldCharType="separate"/>
            </w:r>
            <w:r w:rsidR="00F216CA" w:rsidRPr="000E50F1">
              <w:rPr>
                <w:bCs w:val="0"/>
                <w:webHidden/>
                <w:sz w:val="23"/>
                <w:szCs w:val="23"/>
              </w:rPr>
              <w:t>5</w:t>
            </w:r>
            <w:r w:rsidR="00075A80" w:rsidRPr="000E50F1">
              <w:rPr>
                <w:bCs w:val="0"/>
                <w:webHidden/>
                <w:sz w:val="23"/>
                <w:szCs w:val="23"/>
              </w:rPr>
              <w:fldChar w:fldCharType="end"/>
            </w:r>
          </w:hyperlink>
        </w:p>
        <w:p w14:paraId="4E1C16CF" w14:textId="5173694A" w:rsidR="00075A80" w:rsidRPr="000E50F1" w:rsidRDefault="00C71D9C" w:rsidP="007768B4">
          <w:pPr>
            <w:pStyle w:val="TOC2"/>
            <w:spacing w:line="360" w:lineRule="auto"/>
            <w:rPr>
              <w:rFonts w:eastAsiaTheme="minorEastAsia" w:cstheme="minorBidi"/>
              <w:bCs w:val="0"/>
              <w:sz w:val="23"/>
              <w:szCs w:val="23"/>
            </w:rPr>
          </w:pPr>
          <w:hyperlink w:anchor="_Toc60231896" w:history="1">
            <w:r w:rsidR="00075A80" w:rsidRPr="000E50F1">
              <w:rPr>
                <w:rStyle w:val="Hyperlink"/>
                <w:bCs w:val="0"/>
                <w:color w:val="auto"/>
                <w:sz w:val="23"/>
                <w:szCs w:val="23"/>
              </w:rPr>
              <w:t>1.5 Overview of Chapters</w:t>
            </w:r>
            <w:r w:rsidR="00075A80" w:rsidRPr="000E50F1">
              <w:rPr>
                <w:bCs w:val="0"/>
                <w:webHidden/>
                <w:sz w:val="23"/>
                <w:szCs w:val="23"/>
              </w:rPr>
              <w:tab/>
            </w:r>
            <w:r w:rsidR="00075A80" w:rsidRPr="000E50F1">
              <w:rPr>
                <w:bCs w:val="0"/>
                <w:webHidden/>
                <w:sz w:val="23"/>
                <w:szCs w:val="23"/>
              </w:rPr>
              <w:fldChar w:fldCharType="begin"/>
            </w:r>
            <w:r w:rsidR="00075A80" w:rsidRPr="000E50F1">
              <w:rPr>
                <w:bCs w:val="0"/>
                <w:webHidden/>
                <w:sz w:val="23"/>
                <w:szCs w:val="23"/>
              </w:rPr>
              <w:instrText xml:space="preserve"> PAGEREF _Toc60231896 \h </w:instrText>
            </w:r>
            <w:r w:rsidR="00075A80" w:rsidRPr="000E50F1">
              <w:rPr>
                <w:bCs w:val="0"/>
                <w:webHidden/>
                <w:sz w:val="23"/>
                <w:szCs w:val="23"/>
              </w:rPr>
            </w:r>
            <w:r w:rsidR="00075A80" w:rsidRPr="000E50F1">
              <w:rPr>
                <w:bCs w:val="0"/>
                <w:webHidden/>
                <w:sz w:val="23"/>
                <w:szCs w:val="23"/>
              </w:rPr>
              <w:fldChar w:fldCharType="separate"/>
            </w:r>
            <w:r w:rsidR="00F216CA" w:rsidRPr="000E50F1">
              <w:rPr>
                <w:bCs w:val="0"/>
                <w:webHidden/>
                <w:sz w:val="23"/>
                <w:szCs w:val="23"/>
              </w:rPr>
              <w:t>8</w:t>
            </w:r>
            <w:r w:rsidR="00075A80" w:rsidRPr="000E50F1">
              <w:rPr>
                <w:bCs w:val="0"/>
                <w:webHidden/>
                <w:sz w:val="23"/>
                <w:szCs w:val="23"/>
              </w:rPr>
              <w:fldChar w:fldCharType="end"/>
            </w:r>
          </w:hyperlink>
        </w:p>
        <w:p w14:paraId="26A3F41E" w14:textId="009180E4" w:rsidR="00075A80" w:rsidRPr="000E50F1" w:rsidRDefault="00C71D9C" w:rsidP="007768B4">
          <w:pPr>
            <w:pStyle w:val="TOC1"/>
            <w:rPr>
              <w:rFonts w:ascii="Times" w:eastAsiaTheme="minorEastAsia" w:hAnsi="Times" w:cstheme="minorBidi"/>
              <w:b w:val="0"/>
              <w:bCs w:val="0"/>
              <w:caps w:val="0"/>
              <w:noProof/>
              <w:sz w:val="23"/>
              <w:szCs w:val="23"/>
            </w:rPr>
          </w:pPr>
          <w:hyperlink w:anchor="_Toc60231897" w:history="1">
            <w:r w:rsidR="00075A80" w:rsidRPr="000E50F1">
              <w:rPr>
                <w:rStyle w:val="Hyperlink"/>
                <w:rFonts w:ascii="Times" w:eastAsia="Calibri" w:hAnsi="Times"/>
                <w:b w:val="0"/>
                <w:bCs w:val="0"/>
                <w:noProof/>
                <w:color w:val="auto"/>
                <w:sz w:val="23"/>
                <w:szCs w:val="23"/>
              </w:rPr>
              <w:t>CHAPTER TWO: MISSED OPPORTUNITIES</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_Toc60231897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15</w:t>
            </w:r>
            <w:r w:rsidR="00075A80" w:rsidRPr="000E50F1">
              <w:rPr>
                <w:rFonts w:ascii="Times" w:hAnsi="Times"/>
                <w:b w:val="0"/>
                <w:bCs w:val="0"/>
                <w:noProof/>
                <w:webHidden/>
                <w:sz w:val="23"/>
                <w:szCs w:val="23"/>
              </w:rPr>
              <w:fldChar w:fldCharType="end"/>
            </w:r>
          </w:hyperlink>
        </w:p>
        <w:p w14:paraId="7AD8F278" w14:textId="4CFED173" w:rsidR="00075A80" w:rsidRPr="000E50F1" w:rsidRDefault="00C71D9C" w:rsidP="007768B4">
          <w:pPr>
            <w:pStyle w:val="TOC1"/>
            <w:rPr>
              <w:rFonts w:ascii="Times" w:eastAsiaTheme="minorEastAsia" w:hAnsi="Times" w:cstheme="minorBidi"/>
              <w:b w:val="0"/>
              <w:bCs w:val="0"/>
              <w:caps w:val="0"/>
              <w:noProof/>
              <w:sz w:val="23"/>
              <w:szCs w:val="23"/>
            </w:rPr>
          </w:pPr>
          <w:hyperlink w:anchor="_Toc60231898" w:history="1">
            <w:r w:rsidR="00075A80" w:rsidRPr="000E50F1">
              <w:rPr>
                <w:rStyle w:val="Hyperlink"/>
                <w:rFonts w:ascii="Times" w:eastAsia="Calibri" w:hAnsi="Times"/>
                <w:b w:val="0"/>
                <w:bCs w:val="0"/>
                <w:noProof/>
                <w:color w:val="auto"/>
                <w:sz w:val="23"/>
                <w:szCs w:val="23"/>
              </w:rPr>
              <w:t>CHAPTER THREE: SYRIAN REFUGEE RESETTELMENT</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_Toc60231898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31</w:t>
            </w:r>
            <w:r w:rsidR="00075A80" w:rsidRPr="000E50F1">
              <w:rPr>
                <w:rFonts w:ascii="Times" w:hAnsi="Times"/>
                <w:b w:val="0"/>
                <w:bCs w:val="0"/>
                <w:noProof/>
                <w:webHidden/>
                <w:sz w:val="23"/>
                <w:szCs w:val="23"/>
              </w:rPr>
              <w:fldChar w:fldCharType="end"/>
            </w:r>
          </w:hyperlink>
        </w:p>
        <w:p w14:paraId="6FDAE20C" w14:textId="704CF088" w:rsidR="00075A80" w:rsidRPr="000E50F1" w:rsidRDefault="00C71D9C" w:rsidP="007768B4">
          <w:pPr>
            <w:pStyle w:val="TOC1"/>
            <w:rPr>
              <w:rFonts w:ascii="Times" w:eastAsiaTheme="minorEastAsia" w:hAnsi="Times" w:cstheme="minorBidi"/>
              <w:b w:val="0"/>
              <w:bCs w:val="0"/>
              <w:caps w:val="0"/>
              <w:noProof/>
              <w:sz w:val="23"/>
              <w:szCs w:val="23"/>
            </w:rPr>
          </w:pPr>
          <w:hyperlink w:anchor="_Toc60231899" w:history="1">
            <w:r w:rsidR="00075A80" w:rsidRPr="000E50F1">
              <w:rPr>
                <w:rStyle w:val="Hyperlink"/>
                <w:rFonts w:ascii="Times" w:eastAsia="Calibri" w:hAnsi="Times"/>
                <w:b w:val="0"/>
                <w:bCs w:val="0"/>
                <w:noProof/>
                <w:color w:val="auto"/>
                <w:sz w:val="23"/>
                <w:szCs w:val="23"/>
              </w:rPr>
              <w:t>CHAPTER FOUR: MENTAL HEALTH ACCESS &amp; ACCESSIBILITY</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_Toc60231899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54</w:t>
            </w:r>
            <w:r w:rsidR="00075A80" w:rsidRPr="000E50F1">
              <w:rPr>
                <w:rFonts w:ascii="Times" w:hAnsi="Times"/>
                <w:b w:val="0"/>
                <w:bCs w:val="0"/>
                <w:noProof/>
                <w:webHidden/>
                <w:sz w:val="23"/>
                <w:szCs w:val="23"/>
              </w:rPr>
              <w:fldChar w:fldCharType="end"/>
            </w:r>
          </w:hyperlink>
        </w:p>
        <w:p w14:paraId="3B1EDB53" w14:textId="73AD6624" w:rsidR="00075A80" w:rsidRPr="000E50F1" w:rsidRDefault="00C71D9C" w:rsidP="007768B4">
          <w:pPr>
            <w:pStyle w:val="TOC1"/>
            <w:rPr>
              <w:rFonts w:ascii="Times" w:eastAsiaTheme="minorEastAsia" w:hAnsi="Times" w:cstheme="minorBidi"/>
              <w:b w:val="0"/>
              <w:bCs w:val="0"/>
              <w:caps w:val="0"/>
              <w:noProof/>
              <w:sz w:val="23"/>
              <w:szCs w:val="23"/>
            </w:rPr>
          </w:pPr>
          <w:hyperlink w:anchor="_Toc60231900" w:history="1">
            <w:r w:rsidR="00075A80" w:rsidRPr="000E50F1">
              <w:rPr>
                <w:rStyle w:val="Hyperlink"/>
                <w:rFonts w:ascii="Times" w:eastAsia="Calibri" w:hAnsi="Times"/>
                <w:b w:val="0"/>
                <w:bCs w:val="0"/>
                <w:noProof/>
                <w:color w:val="auto"/>
                <w:sz w:val="23"/>
                <w:szCs w:val="23"/>
              </w:rPr>
              <w:t>CHAPTER FIVE: CONCLUSION</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_Toc60231900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85</w:t>
            </w:r>
            <w:r w:rsidR="00075A80" w:rsidRPr="000E50F1">
              <w:rPr>
                <w:rFonts w:ascii="Times" w:hAnsi="Times"/>
                <w:b w:val="0"/>
                <w:bCs w:val="0"/>
                <w:noProof/>
                <w:webHidden/>
                <w:sz w:val="23"/>
                <w:szCs w:val="23"/>
              </w:rPr>
              <w:fldChar w:fldCharType="end"/>
            </w:r>
          </w:hyperlink>
        </w:p>
        <w:p w14:paraId="29D0C776" w14:textId="1BD01325" w:rsidR="00075A80" w:rsidRPr="000E50F1" w:rsidRDefault="00C71D9C" w:rsidP="007768B4">
          <w:pPr>
            <w:pStyle w:val="TOC2"/>
            <w:spacing w:line="360" w:lineRule="auto"/>
            <w:rPr>
              <w:rFonts w:eastAsiaTheme="minorEastAsia" w:cstheme="minorBidi"/>
              <w:bCs w:val="0"/>
              <w:sz w:val="23"/>
              <w:szCs w:val="23"/>
            </w:rPr>
          </w:pPr>
          <w:hyperlink w:anchor="_Toc60231901" w:history="1">
            <w:r w:rsidR="00075A80" w:rsidRPr="000E50F1">
              <w:rPr>
                <w:rStyle w:val="Hyperlink"/>
                <w:bCs w:val="0"/>
                <w:color w:val="auto"/>
                <w:sz w:val="23"/>
                <w:szCs w:val="23"/>
              </w:rPr>
              <w:t>5.1 Limitations &amp; Future Research</w:t>
            </w:r>
            <w:r w:rsidR="00075A80" w:rsidRPr="000E50F1">
              <w:rPr>
                <w:bCs w:val="0"/>
                <w:webHidden/>
                <w:sz w:val="23"/>
                <w:szCs w:val="23"/>
              </w:rPr>
              <w:tab/>
            </w:r>
            <w:r w:rsidR="00075A80" w:rsidRPr="000E50F1">
              <w:rPr>
                <w:bCs w:val="0"/>
                <w:webHidden/>
                <w:sz w:val="23"/>
                <w:szCs w:val="23"/>
              </w:rPr>
              <w:fldChar w:fldCharType="begin"/>
            </w:r>
            <w:r w:rsidR="00075A80" w:rsidRPr="000E50F1">
              <w:rPr>
                <w:bCs w:val="0"/>
                <w:webHidden/>
                <w:sz w:val="23"/>
                <w:szCs w:val="23"/>
              </w:rPr>
              <w:instrText xml:space="preserve"> PAGEREF _Toc60231901 \h </w:instrText>
            </w:r>
            <w:r w:rsidR="00075A80" w:rsidRPr="000E50F1">
              <w:rPr>
                <w:bCs w:val="0"/>
                <w:webHidden/>
                <w:sz w:val="23"/>
                <w:szCs w:val="23"/>
              </w:rPr>
            </w:r>
            <w:r w:rsidR="00075A80" w:rsidRPr="000E50F1">
              <w:rPr>
                <w:bCs w:val="0"/>
                <w:webHidden/>
                <w:sz w:val="23"/>
                <w:szCs w:val="23"/>
              </w:rPr>
              <w:fldChar w:fldCharType="separate"/>
            </w:r>
            <w:r w:rsidR="00F216CA" w:rsidRPr="000E50F1">
              <w:rPr>
                <w:bCs w:val="0"/>
                <w:webHidden/>
                <w:sz w:val="23"/>
                <w:szCs w:val="23"/>
              </w:rPr>
              <w:t>89</w:t>
            </w:r>
            <w:r w:rsidR="00075A80" w:rsidRPr="000E50F1">
              <w:rPr>
                <w:bCs w:val="0"/>
                <w:webHidden/>
                <w:sz w:val="23"/>
                <w:szCs w:val="23"/>
              </w:rPr>
              <w:fldChar w:fldCharType="end"/>
            </w:r>
          </w:hyperlink>
        </w:p>
        <w:p w14:paraId="4980B835" w14:textId="4BE56671" w:rsidR="00075A80" w:rsidRPr="000E50F1" w:rsidRDefault="00C71D9C" w:rsidP="007768B4">
          <w:pPr>
            <w:pStyle w:val="TOC1"/>
            <w:rPr>
              <w:rFonts w:ascii="Times" w:eastAsiaTheme="minorEastAsia" w:hAnsi="Times" w:cstheme="minorBidi"/>
              <w:b w:val="0"/>
              <w:bCs w:val="0"/>
              <w:caps w:val="0"/>
              <w:noProof/>
              <w:sz w:val="23"/>
              <w:szCs w:val="23"/>
            </w:rPr>
          </w:pPr>
          <w:hyperlink w:anchor="_Toc60231902" w:history="1">
            <w:r w:rsidR="00075A80" w:rsidRPr="000E50F1">
              <w:rPr>
                <w:rStyle w:val="Hyperlink"/>
                <w:rFonts w:ascii="Times" w:eastAsia="Calibri" w:hAnsi="Times"/>
                <w:b w:val="0"/>
                <w:bCs w:val="0"/>
                <w:noProof/>
                <w:color w:val="auto"/>
                <w:sz w:val="23"/>
                <w:szCs w:val="23"/>
              </w:rPr>
              <w:t>APPENDIX A: RESEARCHER’S BIOGRAPHY</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_Toc60231902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94</w:t>
            </w:r>
            <w:r w:rsidR="00075A80" w:rsidRPr="000E50F1">
              <w:rPr>
                <w:rFonts w:ascii="Times" w:hAnsi="Times"/>
                <w:b w:val="0"/>
                <w:bCs w:val="0"/>
                <w:noProof/>
                <w:webHidden/>
                <w:sz w:val="23"/>
                <w:szCs w:val="23"/>
              </w:rPr>
              <w:fldChar w:fldCharType="end"/>
            </w:r>
          </w:hyperlink>
        </w:p>
        <w:p w14:paraId="6A27A7E3" w14:textId="6ED69217" w:rsidR="00075A80" w:rsidRPr="000E50F1" w:rsidRDefault="00C71D9C" w:rsidP="007768B4">
          <w:pPr>
            <w:pStyle w:val="TOC1"/>
            <w:rPr>
              <w:rFonts w:ascii="Times" w:eastAsiaTheme="minorEastAsia" w:hAnsi="Times" w:cstheme="minorBidi"/>
              <w:b w:val="0"/>
              <w:bCs w:val="0"/>
              <w:caps w:val="0"/>
              <w:noProof/>
              <w:sz w:val="23"/>
              <w:szCs w:val="23"/>
            </w:rPr>
          </w:pPr>
          <w:hyperlink w:anchor="_Toc60231903" w:history="1">
            <w:r w:rsidR="00075A80" w:rsidRPr="000E50F1">
              <w:rPr>
                <w:rStyle w:val="Hyperlink"/>
                <w:rFonts w:ascii="Times" w:eastAsia="Calibri" w:hAnsi="Times"/>
                <w:b w:val="0"/>
                <w:bCs w:val="0"/>
                <w:noProof/>
                <w:color w:val="auto"/>
                <w:sz w:val="23"/>
                <w:szCs w:val="23"/>
              </w:rPr>
              <w:t>APPENDIX B: METHODS &amp; REFLEXIVITY</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_Toc60231903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98</w:t>
            </w:r>
            <w:r w:rsidR="00075A80" w:rsidRPr="000E50F1">
              <w:rPr>
                <w:rFonts w:ascii="Times" w:hAnsi="Times"/>
                <w:b w:val="0"/>
                <w:bCs w:val="0"/>
                <w:noProof/>
                <w:webHidden/>
                <w:sz w:val="23"/>
                <w:szCs w:val="23"/>
              </w:rPr>
              <w:fldChar w:fldCharType="end"/>
            </w:r>
          </w:hyperlink>
        </w:p>
        <w:p w14:paraId="0E60991E" w14:textId="3F52EB62" w:rsidR="00075A80" w:rsidRPr="000E50F1" w:rsidRDefault="00C71D9C" w:rsidP="007768B4">
          <w:pPr>
            <w:pStyle w:val="TOC1"/>
            <w:rPr>
              <w:rFonts w:ascii="Times" w:eastAsiaTheme="minorEastAsia" w:hAnsi="Times" w:cstheme="minorBidi"/>
              <w:b w:val="0"/>
              <w:bCs w:val="0"/>
              <w:caps w:val="0"/>
              <w:noProof/>
              <w:sz w:val="23"/>
              <w:szCs w:val="23"/>
            </w:rPr>
          </w:pPr>
          <w:hyperlink w:anchor="_Toc60231904" w:history="1">
            <w:r w:rsidR="00075A80" w:rsidRPr="000E50F1">
              <w:rPr>
                <w:rStyle w:val="Hyperlink"/>
                <w:rFonts w:ascii="Times" w:eastAsia="Calibri" w:hAnsi="Times"/>
                <w:b w:val="0"/>
                <w:bCs w:val="0"/>
                <w:noProof/>
                <w:color w:val="auto"/>
                <w:sz w:val="23"/>
                <w:szCs w:val="23"/>
              </w:rPr>
              <w:t>APPENDIX C: INTERVIEW GUIDE</w:t>
            </w:r>
            <w:r w:rsidR="007768B4" w:rsidRPr="000E50F1">
              <w:rPr>
                <w:rStyle w:val="Hyperlink"/>
                <w:rFonts w:ascii="Times" w:eastAsia="Calibri" w:hAnsi="Times"/>
                <w:b w:val="0"/>
                <w:bCs w:val="0"/>
                <w:noProof/>
                <w:color w:val="auto"/>
                <w:sz w:val="23"/>
                <w:szCs w:val="23"/>
              </w:rPr>
              <w:t xml:space="preserve"> (LIP)</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_Toc60231904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104</w:t>
            </w:r>
            <w:r w:rsidR="00075A80" w:rsidRPr="000E50F1">
              <w:rPr>
                <w:rFonts w:ascii="Times" w:hAnsi="Times"/>
                <w:b w:val="0"/>
                <w:bCs w:val="0"/>
                <w:noProof/>
                <w:webHidden/>
                <w:sz w:val="23"/>
                <w:szCs w:val="23"/>
              </w:rPr>
              <w:fldChar w:fldCharType="end"/>
            </w:r>
          </w:hyperlink>
        </w:p>
        <w:p w14:paraId="1BF93DDB" w14:textId="4F3926C8" w:rsidR="007768B4" w:rsidRPr="000E50F1" w:rsidRDefault="00C71D9C" w:rsidP="007768B4">
          <w:pPr>
            <w:pStyle w:val="TOC1"/>
            <w:rPr>
              <w:rFonts w:ascii="Times" w:hAnsi="Times"/>
              <w:b w:val="0"/>
              <w:bCs w:val="0"/>
              <w:noProof/>
              <w:sz w:val="23"/>
              <w:szCs w:val="23"/>
              <w:u w:val="single"/>
            </w:rPr>
          </w:pPr>
          <w:hyperlink w:anchor="_Toc60231905" w:history="1">
            <w:r w:rsidR="00075A80" w:rsidRPr="000E50F1">
              <w:rPr>
                <w:rStyle w:val="Hyperlink"/>
                <w:rFonts w:ascii="Times" w:eastAsia="Calibri" w:hAnsi="Times"/>
                <w:b w:val="0"/>
                <w:bCs w:val="0"/>
                <w:noProof/>
                <w:color w:val="auto"/>
                <w:sz w:val="23"/>
                <w:szCs w:val="23"/>
              </w:rPr>
              <w:t>APPENDIX D: LETTER OF INFOMORMATION &amp; CONSENT FORM (SWIS)</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_Toc60231905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109</w:t>
            </w:r>
            <w:r w:rsidR="00075A80" w:rsidRPr="000E50F1">
              <w:rPr>
                <w:rFonts w:ascii="Times" w:hAnsi="Times"/>
                <w:b w:val="0"/>
                <w:bCs w:val="0"/>
                <w:noProof/>
                <w:webHidden/>
                <w:sz w:val="23"/>
                <w:szCs w:val="23"/>
              </w:rPr>
              <w:fldChar w:fldCharType="end"/>
            </w:r>
          </w:hyperlink>
        </w:p>
        <w:p w14:paraId="403A380C" w14:textId="15F4A0B9" w:rsidR="00075A80" w:rsidRPr="000E50F1" w:rsidRDefault="00C71D9C" w:rsidP="007768B4">
          <w:pPr>
            <w:pStyle w:val="TOC1"/>
            <w:rPr>
              <w:rFonts w:ascii="Times" w:eastAsiaTheme="minorEastAsia" w:hAnsi="Times" w:cstheme="minorBidi"/>
              <w:b w:val="0"/>
              <w:bCs w:val="0"/>
              <w:caps w:val="0"/>
              <w:noProof/>
              <w:sz w:val="23"/>
              <w:szCs w:val="23"/>
            </w:rPr>
          </w:pPr>
          <w:hyperlink w:anchor="_Toc60231906" w:history="1">
            <w:r w:rsidR="00075A80" w:rsidRPr="000E50F1">
              <w:rPr>
                <w:rStyle w:val="Hyperlink"/>
                <w:rFonts w:ascii="Times" w:eastAsia="Calibri" w:hAnsi="Times"/>
                <w:b w:val="0"/>
                <w:bCs w:val="0"/>
                <w:noProof/>
                <w:color w:val="auto"/>
                <w:sz w:val="23"/>
                <w:szCs w:val="23"/>
              </w:rPr>
              <w:t>APPENDIX E: CONFIDENTITALITY SCRIPT &amp; INERVIEW GUIDE (SWIS)</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_Toc60231906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112</w:t>
            </w:r>
            <w:r w:rsidR="00075A80" w:rsidRPr="000E50F1">
              <w:rPr>
                <w:rFonts w:ascii="Times" w:hAnsi="Times"/>
                <w:b w:val="0"/>
                <w:bCs w:val="0"/>
                <w:noProof/>
                <w:webHidden/>
                <w:sz w:val="23"/>
                <w:szCs w:val="23"/>
              </w:rPr>
              <w:fldChar w:fldCharType="end"/>
            </w:r>
          </w:hyperlink>
        </w:p>
        <w:p w14:paraId="1484F4E9" w14:textId="30EA5D6B" w:rsidR="00075A80" w:rsidRPr="000E50F1" w:rsidRDefault="00C71D9C" w:rsidP="007768B4">
          <w:pPr>
            <w:pStyle w:val="TOC1"/>
            <w:rPr>
              <w:rFonts w:ascii="Times" w:eastAsiaTheme="minorEastAsia" w:hAnsi="Times" w:cstheme="minorBidi"/>
              <w:b w:val="0"/>
              <w:bCs w:val="0"/>
              <w:caps w:val="0"/>
              <w:noProof/>
              <w:sz w:val="23"/>
              <w:szCs w:val="23"/>
            </w:rPr>
          </w:pPr>
          <w:hyperlink w:anchor="_Toc60231907" w:history="1">
            <w:r w:rsidR="00075A80" w:rsidRPr="000E50F1">
              <w:rPr>
                <w:rStyle w:val="Hyperlink"/>
                <w:rFonts w:ascii="Times" w:eastAsia="Calibri" w:hAnsi="Times"/>
                <w:b w:val="0"/>
                <w:bCs w:val="0"/>
                <w:noProof/>
                <w:color w:val="auto"/>
                <w:sz w:val="23"/>
                <w:szCs w:val="23"/>
              </w:rPr>
              <w:t>APPENDIX F: CERTIFICATE OF ETHICS CLEARANCE (SWIS)</w:t>
            </w:r>
            <w:r w:rsidR="00075A80" w:rsidRPr="000E50F1">
              <w:rPr>
                <w:rFonts w:ascii="Times" w:hAnsi="Times"/>
                <w:b w:val="0"/>
                <w:bCs w:val="0"/>
                <w:noProof/>
                <w:webHidden/>
                <w:sz w:val="23"/>
                <w:szCs w:val="23"/>
              </w:rPr>
              <w:tab/>
            </w:r>
            <w:r w:rsidR="00075A80" w:rsidRPr="000E50F1">
              <w:rPr>
                <w:rFonts w:ascii="Times" w:hAnsi="Times"/>
                <w:b w:val="0"/>
                <w:bCs w:val="0"/>
                <w:noProof/>
                <w:webHidden/>
                <w:sz w:val="23"/>
                <w:szCs w:val="23"/>
              </w:rPr>
              <w:fldChar w:fldCharType="begin"/>
            </w:r>
            <w:r w:rsidR="00075A80" w:rsidRPr="000E50F1">
              <w:rPr>
                <w:rFonts w:ascii="Times" w:hAnsi="Times"/>
                <w:b w:val="0"/>
                <w:bCs w:val="0"/>
                <w:noProof/>
                <w:webHidden/>
                <w:sz w:val="23"/>
                <w:szCs w:val="23"/>
              </w:rPr>
              <w:instrText xml:space="preserve"> PAGEREF _Toc60231907 \h </w:instrText>
            </w:r>
            <w:r w:rsidR="00075A80" w:rsidRPr="000E50F1">
              <w:rPr>
                <w:rFonts w:ascii="Times" w:hAnsi="Times"/>
                <w:b w:val="0"/>
                <w:bCs w:val="0"/>
                <w:noProof/>
                <w:webHidden/>
                <w:sz w:val="23"/>
                <w:szCs w:val="23"/>
              </w:rPr>
            </w:r>
            <w:r w:rsidR="00075A80" w:rsidRPr="000E50F1">
              <w:rPr>
                <w:rFonts w:ascii="Times" w:hAnsi="Times"/>
                <w:b w:val="0"/>
                <w:bCs w:val="0"/>
                <w:noProof/>
                <w:webHidden/>
                <w:sz w:val="23"/>
                <w:szCs w:val="23"/>
              </w:rPr>
              <w:fldChar w:fldCharType="separate"/>
            </w:r>
            <w:r w:rsidR="00F216CA" w:rsidRPr="000E50F1">
              <w:rPr>
                <w:rFonts w:ascii="Times" w:hAnsi="Times"/>
                <w:b w:val="0"/>
                <w:bCs w:val="0"/>
                <w:noProof/>
                <w:webHidden/>
                <w:sz w:val="23"/>
                <w:szCs w:val="23"/>
              </w:rPr>
              <w:t>115</w:t>
            </w:r>
            <w:r w:rsidR="00075A80" w:rsidRPr="000E50F1">
              <w:rPr>
                <w:rFonts w:ascii="Times" w:hAnsi="Times"/>
                <w:b w:val="0"/>
                <w:bCs w:val="0"/>
                <w:noProof/>
                <w:webHidden/>
                <w:sz w:val="23"/>
                <w:szCs w:val="23"/>
              </w:rPr>
              <w:fldChar w:fldCharType="end"/>
            </w:r>
          </w:hyperlink>
        </w:p>
        <w:p w14:paraId="58BB7466" w14:textId="4BB44C3C" w:rsidR="00567803" w:rsidRPr="000E50F1" w:rsidRDefault="00567803" w:rsidP="00075A80">
          <w:pPr>
            <w:spacing w:after="120"/>
            <w:rPr>
              <w:rFonts w:ascii="Times" w:hAnsi="Times" w:cs="Arial"/>
              <w:sz w:val="23"/>
              <w:szCs w:val="23"/>
            </w:rPr>
          </w:pPr>
          <w:r w:rsidRPr="000E50F1">
            <w:rPr>
              <w:rFonts w:ascii="Times" w:hAnsi="Times" w:cs="Arial"/>
              <w:noProof/>
              <w:sz w:val="23"/>
              <w:szCs w:val="23"/>
            </w:rPr>
            <w:fldChar w:fldCharType="end"/>
          </w:r>
        </w:p>
      </w:sdtContent>
    </w:sdt>
    <w:p w14:paraId="2E943ACC" w14:textId="409E382A" w:rsidR="0013122A" w:rsidRPr="000E50F1" w:rsidRDefault="00567803">
      <w:pPr>
        <w:rPr>
          <w:rFonts w:ascii="Times" w:hAnsi="Times" w:cs="Arial"/>
          <w:b/>
          <w:sz w:val="28"/>
          <w:szCs w:val="28"/>
        </w:rPr>
      </w:pPr>
      <w:r w:rsidRPr="000E50F1">
        <w:rPr>
          <w:rFonts w:ascii="Times" w:hAnsi="Times" w:cs="Arial"/>
          <w:bCs/>
          <w:sz w:val="28"/>
          <w:szCs w:val="28"/>
        </w:rPr>
        <w:br w:type="page"/>
      </w:r>
    </w:p>
    <w:p w14:paraId="423EB1A9" w14:textId="268F12C6" w:rsidR="0013122A" w:rsidRPr="000E50F1" w:rsidRDefault="0013122A" w:rsidP="0013122A">
      <w:pPr>
        <w:pStyle w:val="Heading1"/>
        <w:spacing w:before="0" w:line="240" w:lineRule="auto"/>
        <w:jc w:val="center"/>
        <w:rPr>
          <w:rFonts w:ascii="Times" w:eastAsia="Calibri" w:hAnsi="Times"/>
          <w:color w:val="auto"/>
          <w:sz w:val="24"/>
          <w:szCs w:val="24"/>
        </w:rPr>
      </w:pPr>
      <w:bookmarkStart w:id="3" w:name="_Toc60231888"/>
      <w:r w:rsidRPr="000E50F1">
        <w:rPr>
          <w:rFonts w:ascii="Times" w:eastAsia="Calibri" w:hAnsi="Times"/>
          <w:color w:val="auto"/>
          <w:sz w:val="24"/>
          <w:szCs w:val="24"/>
        </w:rPr>
        <w:lastRenderedPageBreak/>
        <w:t>LIST OF TABLES &amp; FIGURES</w:t>
      </w:r>
      <w:bookmarkEnd w:id="3"/>
    </w:p>
    <w:p w14:paraId="7A3276DC" w14:textId="77777777" w:rsidR="0013122A" w:rsidRPr="000E50F1" w:rsidRDefault="0013122A" w:rsidP="0013122A">
      <w:pPr>
        <w:rPr>
          <w:rFonts w:eastAsia="Calibri"/>
          <w:szCs w:val="28"/>
          <w:lang w:val="en-US"/>
        </w:rPr>
      </w:pPr>
    </w:p>
    <w:p w14:paraId="7D06C749" w14:textId="77777777" w:rsidR="0013122A" w:rsidRPr="000E50F1" w:rsidRDefault="0013122A" w:rsidP="0013122A">
      <w:pPr>
        <w:rPr>
          <w:rFonts w:eastAsia="Calibri"/>
          <w:szCs w:val="28"/>
          <w:lang w:val="en-US"/>
        </w:rPr>
      </w:pPr>
    </w:p>
    <w:p w14:paraId="081834FB" w14:textId="1627829E" w:rsidR="0013122A" w:rsidRPr="000E50F1" w:rsidRDefault="0013122A" w:rsidP="0013122A">
      <w:pPr>
        <w:pStyle w:val="TableofFigures"/>
        <w:tabs>
          <w:tab w:val="right" w:leader="dot" w:pos="7920"/>
        </w:tabs>
        <w:spacing w:after="160"/>
        <w:ind w:left="482" w:hanging="482"/>
        <w:rPr>
          <w:rFonts w:ascii="Times" w:eastAsiaTheme="minorEastAsia" w:hAnsi="Times" w:cstheme="minorBidi"/>
          <w:smallCaps w:val="0"/>
          <w:noProof/>
          <w:sz w:val="22"/>
          <w:szCs w:val="22"/>
        </w:rPr>
      </w:pPr>
      <w:r w:rsidRPr="000E50F1">
        <w:rPr>
          <w:rFonts w:ascii="Times" w:hAnsi="Times"/>
          <w:smallCaps w:val="0"/>
          <w:sz w:val="22"/>
          <w:szCs w:val="22"/>
        </w:rPr>
        <w:fldChar w:fldCharType="begin"/>
      </w:r>
      <w:r w:rsidRPr="000E50F1">
        <w:rPr>
          <w:rFonts w:ascii="Times" w:hAnsi="Times"/>
          <w:smallCaps w:val="0"/>
          <w:sz w:val="22"/>
          <w:szCs w:val="22"/>
        </w:rPr>
        <w:instrText xml:space="preserve"> TOC \h \z \c "Table" </w:instrText>
      </w:r>
      <w:r w:rsidRPr="000E50F1">
        <w:rPr>
          <w:rFonts w:ascii="Times" w:hAnsi="Times"/>
          <w:smallCaps w:val="0"/>
          <w:sz w:val="22"/>
          <w:szCs w:val="22"/>
        </w:rPr>
        <w:fldChar w:fldCharType="separate"/>
      </w:r>
      <w:hyperlink w:anchor="_Toc54510702" w:history="1">
        <w:r w:rsidRPr="000E50F1">
          <w:rPr>
            <w:rStyle w:val="Hyperlink"/>
            <w:rFonts w:ascii="Times" w:hAnsi="Times"/>
            <w:i/>
            <w:smallCaps w:val="0"/>
            <w:noProof/>
            <w:color w:val="auto"/>
            <w:sz w:val="22"/>
            <w:szCs w:val="22"/>
          </w:rPr>
          <w:t>Table 1.</w:t>
        </w:r>
        <w:r w:rsidRPr="000E50F1">
          <w:rPr>
            <w:rStyle w:val="Hyperlink"/>
            <w:rFonts w:ascii="Times" w:hAnsi="Times"/>
            <w:smallCaps w:val="0"/>
            <w:noProof/>
            <w:color w:val="auto"/>
            <w:sz w:val="22"/>
            <w:szCs w:val="22"/>
          </w:rPr>
          <w:t xml:space="preserve"> Recent proportion of international students obtaining PR in Canada</w:t>
        </w:r>
        <w:r w:rsidRPr="000E50F1">
          <w:rPr>
            <w:rFonts w:ascii="Times" w:hAnsi="Times"/>
            <w:smallCaps w:val="0"/>
            <w:noProof/>
            <w:webHidden/>
            <w:sz w:val="22"/>
            <w:szCs w:val="22"/>
          </w:rPr>
          <w:tab/>
        </w:r>
        <w:r w:rsidRPr="000E50F1">
          <w:rPr>
            <w:rFonts w:ascii="Times" w:hAnsi="Times"/>
            <w:smallCaps w:val="0"/>
            <w:noProof/>
            <w:webHidden/>
            <w:sz w:val="22"/>
            <w:szCs w:val="22"/>
          </w:rPr>
          <w:fldChar w:fldCharType="begin"/>
        </w:r>
        <w:r w:rsidRPr="000E50F1">
          <w:rPr>
            <w:rFonts w:ascii="Times" w:hAnsi="Times"/>
            <w:smallCaps w:val="0"/>
            <w:noProof/>
            <w:webHidden/>
            <w:sz w:val="22"/>
            <w:szCs w:val="22"/>
          </w:rPr>
          <w:instrText xml:space="preserve"> PAGEREF _Toc54510702 \h </w:instrText>
        </w:r>
        <w:r w:rsidRPr="000E50F1">
          <w:rPr>
            <w:rFonts w:ascii="Times" w:hAnsi="Times"/>
            <w:smallCaps w:val="0"/>
            <w:noProof/>
            <w:webHidden/>
            <w:sz w:val="22"/>
            <w:szCs w:val="22"/>
          </w:rPr>
        </w:r>
        <w:r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19</w:t>
        </w:r>
        <w:r w:rsidRPr="000E50F1">
          <w:rPr>
            <w:rFonts w:ascii="Times" w:hAnsi="Times"/>
            <w:smallCaps w:val="0"/>
            <w:noProof/>
            <w:webHidden/>
            <w:sz w:val="22"/>
            <w:szCs w:val="22"/>
          </w:rPr>
          <w:fldChar w:fldCharType="end"/>
        </w:r>
      </w:hyperlink>
    </w:p>
    <w:p w14:paraId="23B54598" w14:textId="0ACB0EEC" w:rsidR="0013122A" w:rsidRPr="000E50F1" w:rsidRDefault="00C71D9C" w:rsidP="0013122A">
      <w:pPr>
        <w:pStyle w:val="TableofFigures"/>
        <w:tabs>
          <w:tab w:val="right" w:leader="dot" w:pos="7920"/>
        </w:tabs>
        <w:spacing w:after="160"/>
        <w:ind w:left="482" w:hanging="482"/>
        <w:rPr>
          <w:rFonts w:ascii="Times" w:eastAsiaTheme="minorEastAsia" w:hAnsi="Times" w:cstheme="minorBidi"/>
          <w:smallCaps w:val="0"/>
          <w:noProof/>
          <w:sz w:val="22"/>
          <w:szCs w:val="22"/>
        </w:rPr>
      </w:pPr>
      <w:hyperlink w:anchor="_Toc54510703" w:history="1">
        <w:r w:rsidR="0013122A" w:rsidRPr="000E50F1">
          <w:rPr>
            <w:rStyle w:val="Hyperlink"/>
            <w:rFonts w:ascii="Times" w:hAnsi="Times"/>
            <w:i/>
            <w:smallCaps w:val="0"/>
            <w:noProof/>
            <w:color w:val="auto"/>
            <w:sz w:val="22"/>
            <w:szCs w:val="22"/>
          </w:rPr>
          <w:t>Table 2</w:t>
        </w:r>
        <w:r w:rsidR="0013122A" w:rsidRPr="000E50F1">
          <w:rPr>
            <w:rStyle w:val="Hyperlink"/>
            <w:rFonts w:ascii="Times" w:eastAsia="Calibri" w:hAnsi="Times"/>
            <w:bCs/>
            <w:i/>
            <w:smallCaps w:val="0"/>
            <w:noProof/>
            <w:color w:val="auto"/>
            <w:sz w:val="22"/>
            <w:szCs w:val="22"/>
            <w:lang w:val="en-US"/>
          </w:rPr>
          <w:t>.</w:t>
        </w:r>
        <w:r w:rsidR="0013122A" w:rsidRPr="000E50F1">
          <w:rPr>
            <w:rStyle w:val="Hyperlink"/>
            <w:rFonts w:ascii="Times" w:eastAsia="Calibri" w:hAnsi="Times"/>
            <w:bCs/>
            <w:smallCaps w:val="0"/>
            <w:noProof/>
            <w:color w:val="auto"/>
            <w:sz w:val="22"/>
            <w:szCs w:val="22"/>
            <w:lang w:val="en-US"/>
          </w:rPr>
          <w:t> </w:t>
        </w:r>
        <w:r w:rsidR="0013122A" w:rsidRPr="000E50F1">
          <w:rPr>
            <w:rStyle w:val="Hyperlink"/>
            <w:rFonts w:ascii="Times" w:hAnsi="Times"/>
            <w:smallCaps w:val="0"/>
            <w:noProof/>
            <w:color w:val="auto"/>
            <w:sz w:val="22"/>
            <w:szCs w:val="22"/>
          </w:rPr>
          <w:t>Canada’s 2015–2017 levels plan</w:t>
        </w:r>
        <w:r w:rsidR="0013122A" w:rsidRPr="000E50F1">
          <w:rPr>
            <w:rFonts w:ascii="Times" w:hAnsi="Times"/>
            <w:smallCaps w:val="0"/>
            <w:noProof/>
            <w:webHidden/>
            <w:sz w:val="22"/>
            <w:szCs w:val="22"/>
          </w:rPr>
          <w:tab/>
        </w:r>
        <w:r w:rsidR="0013122A" w:rsidRPr="000E50F1">
          <w:rPr>
            <w:rFonts w:ascii="Times" w:hAnsi="Times"/>
            <w:smallCaps w:val="0"/>
            <w:noProof/>
            <w:webHidden/>
            <w:sz w:val="22"/>
            <w:szCs w:val="22"/>
          </w:rPr>
          <w:fldChar w:fldCharType="begin"/>
        </w:r>
        <w:r w:rsidR="0013122A" w:rsidRPr="000E50F1">
          <w:rPr>
            <w:rFonts w:ascii="Times" w:hAnsi="Times"/>
            <w:smallCaps w:val="0"/>
            <w:noProof/>
            <w:webHidden/>
            <w:sz w:val="22"/>
            <w:szCs w:val="22"/>
          </w:rPr>
          <w:instrText xml:space="preserve"> PAGEREF _Toc54510703 \h </w:instrText>
        </w:r>
        <w:r w:rsidR="0013122A" w:rsidRPr="000E50F1">
          <w:rPr>
            <w:rFonts w:ascii="Times" w:hAnsi="Times"/>
            <w:smallCaps w:val="0"/>
            <w:noProof/>
            <w:webHidden/>
            <w:sz w:val="22"/>
            <w:szCs w:val="22"/>
          </w:rPr>
        </w:r>
        <w:r w:rsidR="0013122A"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21</w:t>
        </w:r>
        <w:r w:rsidR="0013122A" w:rsidRPr="000E50F1">
          <w:rPr>
            <w:rFonts w:ascii="Times" w:hAnsi="Times"/>
            <w:smallCaps w:val="0"/>
            <w:noProof/>
            <w:webHidden/>
            <w:sz w:val="22"/>
            <w:szCs w:val="22"/>
          </w:rPr>
          <w:fldChar w:fldCharType="end"/>
        </w:r>
      </w:hyperlink>
    </w:p>
    <w:p w14:paraId="7C3BABD6" w14:textId="6DC38814" w:rsidR="0013122A" w:rsidRPr="000E50F1" w:rsidRDefault="00C71D9C" w:rsidP="0013122A">
      <w:pPr>
        <w:pStyle w:val="TableofFigures"/>
        <w:tabs>
          <w:tab w:val="right" w:leader="dot" w:pos="7920"/>
        </w:tabs>
        <w:spacing w:after="160"/>
        <w:ind w:left="482" w:hanging="482"/>
        <w:rPr>
          <w:rFonts w:ascii="Times" w:eastAsiaTheme="minorEastAsia" w:hAnsi="Times" w:cstheme="minorBidi"/>
          <w:smallCaps w:val="0"/>
          <w:noProof/>
          <w:sz w:val="22"/>
          <w:szCs w:val="22"/>
        </w:rPr>
      </w:pPr>
      <w:hyperlink w:anchor="_Toc54510704" w:history="1">
        <w:r w:rsidR="0013122A" w:rsidRPr="000E50F1">
          <w:rPr>
            <w:rStyle w:val="Hyperlink"/>
            <w:rFonts w:ascii="Times" w:hAnsi="Times"/>
            <w:i/>
            <w:smallCaps w:val="0"/>
            <w:noProof/>
            <w:color w:val="auto"/>
            <w:sz w:val="22"/>
            <w:szCs w:val="22"/>
          </w:rPr>
          <w:t>Table 3.</w:t>
        </w:r>
        <w:r w:rsidR="0013122A" w:rsidRPr="000E50F1">
          <w:rPr>
            <w:rStyle w:val="Hyperlink"/>
            <w:rFonts w:ascii="Times" w:hAnsi="Times"/>
            <w:smallCaps w:val="0"/>
            <w:noProof/>
            <w:color w:val="auto"/>
            <w:sz w:val="22"/>
            <w:szCs w:val="22"/>
          </w:rPr>
          <w:t xml:space="preserve"> Canada’s 2015 immigration outcome</w:t>
        </w:r>
        <w:r w:rsidR="0013122A" w:rsidRPr="000E50F1">
          <w:rPr>
            <w:rFonts w:ascii="Times" w:hAnsi="Times"/>
            <w:smallCaps w:val="0"/>
            <w:noProof/>
            <w:webHidden/>
            <w:sz w:val="22"/>
            <w:szCs w:val="22"/>
          </w:rPr>
          <w:tab/>
        </w:r>
        <w:r w:rsidR="0013122A" w:rsidRPr="000E50F1">
          <w:rPr>
            <w:rFonts w:ascii="Times" w:hAnsi="Times"/>
            <w:smallCaps w:val="0"/>
            <w:noProof/>
            <w:webHidden/>
            <w:sz w:val="22"/>
            <w:szCs w:val="22"/>
          </w:rPr>
          <w:fldChar w:fldCharType="begin"/>
        </w:r>
        <w:r w:rsidR="0013122A" w:rsidRPr="000E50F1">
          <w:rPr>
            <w:rFonts w:ascii="Times" w:hAnsi="Times"/>
            <w:smallCaps w:val="0"/>
            <w:noProof/>
            <w:webHidden/>
            <w:sz w:val="22"/>
            <w:szCs w:val="22"/>
          </w:rPr>
          <w:instrText xml:space="preserve"> PAGEREF _Toc54510704 \h </w:instrText>
        </w:r>
        <w:r w:rsidR="0013122A" w:rsidRPr="000E50F1">
          <w:rPr>
            <w:rFonts w:ascii="Times" w:hAnsi="Times"/>
            <w:smallCaps w:val="0"/>
            <w:noProof/>
            <w:webHidden/>
            <w:sz w:val="22"/>
            <w:szCs w:val="22"/>
          </w:rPr>
        </w:r>
        <w:r w:rsidR="0013122A"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21</w:t>
        </w:r>
        <w:r w:rsidR="0013122A" w:rsidRPr="000E50F1">
          <w:rPr>
            <w:rFonts w:ascii="Times" w:hAnsi="Times"/>
            <w:smallCaps w:val="0"/>
            <w:noProof/>
            <w:webHidden/>
            <w:sz w:val="22"/>
            <w:szCs w:val="22"/>
          </w:rPr>
          <w:fldChar w:fldCharType="end"/>
        </w:r>
      </w:hyperlink>
    </w:p>
    <w:p w14:paraId="183C25DC" w14:textId="708CF9DC" w:rsidR="0013122A" w:rsidRPr="000E50F1" w:rsidRDefault="00C71D9C" w:rsidP="00761844">
      <w:pPr>
        <w:pStyle w:val="TableofFigures"/>
        <w:tabs>
          <w:tab w:val="right" w:leader="dot" w:pos="7920"/>
        </w:tabs>
        <w:spacing w:after="160"/>
        <w:ind w:left="1276" w:hanging="1276"/>
        <w:rPr>
          <w:rFonts w:ascii="Times" w:eastAsiaTheme="minorEastAsia" w:hAnsi="Times" w:cstheme="minorBidi"/>
          <w:smallCaps w:val="0"/>
          <w:noProof/>
          <w:sz w:val="22"/>
          <w:szCs w:val="22"/>
        </w:rPr>
      </w:pPr>
      <w:hyperlink w:anchor="_Toc54510705" w:history="1">
        <w:r w:rsidR="0013122A" w:rsidRPr="000E50F1">
          <w:rPr>
            <w:rStyle w:val="Hyperlink"/>
            <w:rFonts w:ascii="Times" w:hAnsi="Times"/>
            <w:i/>
            <w:smallCaps w:val="0"/>
            <w:noProof/>
            <w:color w:val="auto"/>
            <w:sz w:val="22"/>
            <w:szCs w:val="22"/>
          </w:rPr>
          <w:t>Table 4</w:t>
        </w:r>
        <w:r w:rsidR="0013122A" w:rsidRPr="000E50F1">
          <w:rPr>
            <w:rStyle w:val="Hyperlink"/>
            <w:rFonts w:ascii="Times" w:eastAsia="Calibri" w:hAnsi="Times"/>
            <w:bCs/>
            <w:i/>
            <w:smallCaps w:val="0"/>
            <w:noProof/>
            <w:color w:val="auto"/>
            <w:sz w:val="22"/>
            <w:szCs w:val="22"/>
          </w:rPr>
          <w:t xml:space="preserve">. </w:t>
        </w:r>
        <w:r w:rsidR="0013122A" w:rsidRPr="000E50F1">
          <w:rPr>
            <w:rStyle w:val="Hyperlink"/>
            <w:rFonts w:ascii="Times" w:hAnsi="Times"/>
            <w:smallCaps w:val="0"/>
            <w:noProof/>
            <w:color w:val="auto"/>
            <w:sz w:val="22"/>
            <w:szCs w:val="22"/>
          </w:rPr>
          <w:t>CRS score breakdown for candidates with no spouse or common-law partner</w:t>
        </w:r>
        <w:r w:rsidR="0013122A" w:rsidRPr="000E50F1">
          <w:rPr>
            <w:rFonts w:ascii="Times" w:hAnsi="Times"/>
            <w:smallCaps w:val="0"/>
            <w:noProof/>
            <w:webHidden/>
            <w:sz w:val="22"/>
            <w:szCs w:val="22"/>
          </w:rPr>
          <w:tab/>
        </w:r>
        <w:r w:rsidR="0013122A" w:rsidRPr="000E50F1">
          <w:rPr>
            <w:rFonts w:ascii="Times" w:hAnsi="Times"/>
            <w:smallCaps w:val="0"/>
            <w:noProof/>
            <w:webHidden/>
            <w:sz w:val="22"/>
            <w:szCs w:val="22"/>
          </w:rPr>
          <w:fldChar w:fldCharType="begin"/>
        </w:r>
        <w:r w:rsidR="0013122A" w:rsidRPr="000E50F1">
          <w:rPr>
            <w:rFonts w:ascii="Times" w:hAnsi="Times"/>
            <w:smallCaps w:val="0"/>
            <w:noProof/>
            <w:webHidden/>
            <w:sz w:val="22"/>
            <w:szCs w:val="22"/>
          </w:rPr>
          <w:instrText xml:space="preserve"> PAGEREF _Toc54510705 \h </w:instrText>
        </w:r>
        <w:r w:rsidR="0013122A" w:rsidRPr="000E50F1">
          <w:rPr>
            <w:rFonts w:ascii="Times" w:hAnsi="Times"/>
            <w:smallCaps w:val="0"/>
            <w:noProof/>
            <w:webHidden/>
            <w:sz w:val="22"/>
            <w:szCs w:val="22"/>
          </w:rPr>
        </w:r>
        <w:r w:rsidR="0013122A"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24</w:t>
        </w:r>
        <w:r w:rsidR="0013122A" w:rsidRPr="000E50F1">
          <w:rPr>
            <w:rFonts w:ascii="Times" w:hAnsi="Times"/>
            <w:smallCaps w:val="0"/>
            <w:noProof/>
            <w:webHidden/>
            <w:sz w:val="22"/>
            <w:szCs w:val="22"/>
          </w:rPr>
          <w:fldChar w:fldCharType="end"/>
        </w:r>
      </w:hyperlink>
    </w:p>
    <w:p w14:paraId="568518CD" w14:textId="7AF26ED7" w:rsidR="0013122A" w:rsidRPr="000E50F1" w:rsidRDefault="00C71D9C" w:rsidP="0013122A">
      <w:pPr>
        <w:pStyle w:val="TableofFigures"/>
        <w:tabs>
          <w:tab w:val="right" w:leader="dot" w:pos="7920"/>
        </w:tabs>
        <w:spacing w:after="160"/>
        <w:ind w:left="482" w:hanging="482"/>
        <w:rPr>
          <w:rFonts w:ascii="Times" w:eastAsiaTheme="minorEastAsia" w:hAnsi="Times" w:cstheme="minorBidi"/>
          <w:smallCaps w:val="0"/>
          <w:noProof/>
          <w:sz w:val="22"/>
          <w:szCs w:val="22"/>
        </w:rPr>
      </w:pPr>
      <w:hyperlink w:anchor="_Toc54510706" w:history="1">
        <w:r w:rsidR="0013122A" w:rsidRPr="000E50F1">
          <w:rPr>
            <w:rStyle w:val="Hyperlink"/>
            <w:rFonts w:ascii="Times" w:hAnsi="Times"/>
            <w:i/>
            <w:smallCaps w:val="0"/>
            <w:noProof/>
            <w:color w:val="auto"/>
            <w:sz w:val="22"/>
            <w:szCs w:val="22"/>
          </w:rPr>
          <w:t xml:space="preserve">Table 5. </w:t>
        </w:r>
        <w:r w:rsidR="0013122A" w:rsidRPr="000E50F1">
          <w:rPr>
            <w:rStyle w:val="Hyperlink"/>
            <w:rFonts w:ascii="Times" w:hAnsi="Times"/>
            <w:smallCaps w:val="0"/>
            <w:noProof/>
            <w:color w:val="auto"/>
            <w:sz w:val="22"/>
            <w:szCs w:val="22"/>
          </w:rPr>
          <w:t>All permanent resident admissions by urban areas in Ontario</w:t>
        </w:r>
        <w:r w:rsidR="0013122A" w:rsidRPr="000E50F1">
          <w:rPr>
            <w:rFonts w:ascii="Times" w:hAnsi="Times"/>
            <w:smallCaps w:val="0"/>
            <w:noProof/>
            <w:webHidden/>
            <w:sz w:val="22"/>
            <w:szCs w:val="22"/>
          </w:rPr>
          <w:tab/>
        </w:r>
        <w:r w:rsidR="0013122A" w:rsidRPr="000E50F1">
          <w:rPr>
            <w:rFonts w:ascii="Times" w:hAnsi="Times"/>
            <w:smallCaps w:val="0"/>
            <w:noProof/>
            <w:webHidden/>
            <w:sz w:val="22"/>
            <w:szCs w:val="22"/>
          </w:rPr>
          <w:fldChar w:fldCharType="begin"/>
        </w:r>
        <w:r w:rsidR="0013122A" w:rsidRPr="000E50F1">
          <w:rPr>
            <w:rFonts w:ascii="Times" w:hAnsi="Times"/>
            <w:smallCaps w:val="0"/>
            <w:noProof/>
            <w:webHidden/>
            <w:sz w:val="22"/>
            <w:szCs w:val="22"/>
          </w:rPr>
          <w:instrText xml:space="preserve"> PAGEREF _Toc54510706 \h </w:instrText>
        </w:r>
        <w:r w:rsidR="0013122A" w:rsidRPr="000E50F1">
          <w:rPr>
            <w:rFonts w:ascii="Times" w:hAnsi="Times"/>
            <w:smallCaps w:val="0"/>
            <w:noProof/>
            <w:webHidden/>
            <w:sz w:val="22"/>
            <w:szCs w:val="22"/>
          </w:rPr>
        </w:r>
        <w:r w:rsidR="0013122A"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25</w:t>
        </w:r>
        <w:r w:rsidR="0013122A" w:rsidRPr="000E50F1">
          <w:rPr>
            <w:rFonts w:ascii="Times" w:hAnsi="Times"/>
            <w:smallCaps w:val="0"/>
            <w:noProof/>
            <w:webHidden/>
            <w:sz w:val="22"/>
            <w:szCs w:val="22"/>
          </w:rPr>
          <w:fldChar w:fldCharType="end"/>
        </w:r>
      </w:hyperlink>
    </w:p>
    <w:p w14:paraId="4B154CEF" w14:textId="160D713E" w:rsidR="0013122A" w:rsidRPr="000E50F1" w:rsidRDefault="00C71D9C" w:rsidP="0013122A">
      <w:pPr>
        <w:pStyle w:val="TableofFigures"/>
        <w:tabs>
          <w:tab w:val="right" w:leader="dot" w:pos="7920"/>
        </w:tabs>
        <w:spacing w:after="160"/>
        <w:ind w:left="482" w:hanging="482"/>
        <w:rPr>
          <w:rFonts w:ascii="Times" w:eastAsiaTheme="minorEastAsia" w:hAnsi="Times" w:cstheme="minorBidi"/>
          <w:smallCaps w:val="0"/>
          <w:noProof/>
          <w:sz w:val="22"/>
          <w:szCs w:val="22"/>
        </w:rPr>
      </w:pPr>
      <w:hyperlink w:anchor="_Toc54510707" w:history="1">
        <w:r w:rsidR="0013122A" w:rsidRPr="000E50F1">
          <w:rPr>
            <w:rStyle w:val="Hyperlink"/>
            <w:rFonts w:ascii="Times" w:hAnsi="Times"/>
            <w:i/>
            <w:smallCaps w:val="0"/>
            <w:noProof/>
            <w:color w:val="auto"/>
            <w:sz w:val="22"/>
            <w:szCs w:val="22"/>
          </w:rPr>
          <w:t>Table 6</w:t>
        </w:r>
        <w:r w:rsidR="0013122A" w:rsidRPr="000E50F1">
          <w:rPr>
            <w:rStyle w:val="Hyperlink"/>
            <w:rFonts w:ascii="Times" w:eastAsia="Calibri" w:hAnsi="Times"/>
            <w:bCs/>
            <w:i/>
            <w:smallCaps w:val="0"/>
            <w:noProof/>
            <w:color w:val="auto"/>
            <w:sz w:val="22"/>
            <w:szCs w:val="22"/>
          </w:rPr>
          <w:t xml:space="preserve">. </w:t>
        </w:r>
        <w:r w:rsidR="0013122A" w:rsidRPr="000E50F1">
          <w:rPr>
            <w:rStyle w:val="Hyperlink"/>
            <w:rFonts w:ascii="Times" w:hAnsi="Times"/>
            <w:smallCaps w:val="0"/>
            <w:noProof/>
            <w:color w:val="auto"/>
            <w:sz w:val="22"/>
            <w:szCs w:val="22"/>
          </w:rPr>
          <w:t>Terms and definitions related to permanent residence</w:t>
        </w:r>
        <w:r w:rsidR="0013122A" w:rsidRPr="000E50F1">
          <w:rPr>
            <w:rFonts w:ascii="Times" w:hAnsi="Times"/>
            <w:smallCaps w:val="0"/>
            <w:noProof/>
            <w:webHidden/>
            <w:sz w:val="22"/>
            <w:szCs w:val="22"/>
          </w:rPr>
          <w:tab/>
        </w:r>
        <w:r w:rsidR="0013122A" w:rsidRPr="000E50F1">
          <w:rPr>
            <w:rFonts w:ascii="Times" w:hAnsi="Times"/>
            <w:smallCaps w:val="0"/>
            <w:noProof/>
            <w:webHidden/>
            <w:sz w:val="22"/>
            <w:szCs w:val="22"/>
          </w:rPr>
          <w:fldChar w:fldCharType="begin"/>
        </w:r>
        <w:r w:rsidR="0013122A" w:rsidRPr="000E50F1">
          <w:rPr>
            <w:rFonts w:ascii="Times" w:hAnsi="Times"/>
            <w:smallCaps w:val="0"/>
            <w:noProof/>
            <w:webHidden/>
            <w:sz w:val="22"/>
            <w:szCs w:val="22"/>
          </w:rPr>
          <w:instrText xml:space="preserve"> PAGEREF _Toc54510707 \h </w:instrText>
        </w:r>
        <w:r w:rsidR="0013122A" w:rsidRPr="000E50F1">
          <w:rPr>
            <w:rFonts w:ascii="Times" w:hAnsi="Times"/>
            <w:smallCaps w:val="0"/>
            <w:noProof/>
            <w:webHidden/>
            <w:sz w:val="22"/>
            <w:szCs w:val="22"/>
          </w:rPr>
        </w:r>
        <w:r w:rsidR="0013122A"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27</w:t>
        </w:r>
        <w:r w:rsidR="0013122A" w:rsidRPr="000E50F1">
          <w:rPr>
            <w:rFonts w:ascii="Times" w:hAnsi="Times"/>
            <w:smallCaps w:val="0"/>
            <w:noProof/>
            <w:webHidden/>
            <w:sz w:val="22"/>
            <w:szCs w:val="22"/>
          </w:rPr>
          <w:fldChar w:fldCharType="end"/>
        </w:r>
      </w:hyperlink>
    </w:p>
    <w:p w14:paraId="3BC292B1" w14:textId="50002A08" w:rsidR="002E2A02" w:rsidRPr="000E50F1" w:rsidRDefault="0013122A" w:rsidP="002E2A02">
      <w:pPr>
        <w:rPr>
          <w:rFonts w:ascii="Times" w:hAnsi="Times"/>
          <w:sz w:val="22"/>
          <w:szCs w:val="22"/>
        </w:rPr>
      </w:pPr>
      <w:r w:rsidRPr="000E50F1">
        <w:rPr>
          <w:rFonts w:ascii="Times" w:hAnsi="Times"/>
          <w:sz w:val="22"/>
          <w:szCs w:val="22"/>
        </w:rPr>
        <w:fldChar w:fldCharType="end"/>
      </w:r>
    </w:p>
    <w:p w14:paraId="31594827" w14:textId="77777777" w:rsidR="007768B4" w:rsidRPr="000E50F1" w:rsidRDefault="007768B4" w:rsidP="002E2A02">
      <w:pPr>
        <w:rPr>
          <w:rFonts w:ascii="Times" w:hAnsi="Times"/>
          <w:sz w:val="22"/>
          <w:szCs w:val="22"/>
        </w:rPr>
      </w:pPr>
    </w:p>
    <w:p w14:paraId="16B96FDD" w14:textId="0321FEEC" w:rsidR="0013122A" w:rsidRPr="000E50F1" w:rsidRDefault="0013122A" w:rsidP="0013122A">
      <w:pPr>
        <w:pStyle w:val="TableofFigures"/>
        <w:tabs>
          <w:tab w:val="right" w:leader="dot" w:pos="7920"/>
        </w:tabs>
        <w:spacing w:after="160"/>
        <w:jc w:val="center"/>
        <w:rPr>
          <w:rFonts w:ascii="Times" w:eastAsiaTheme="minorEastAsia" w:hAnsi="Times" w:cstheme="minorBidi"/>
          <w:smallCaps w:val="0"/>
          <w:noProof/>
          <w:sz w:val="22"/>
          <w:szCs w:val="22"/>
        </w:rPr>
      </w:pPr>
      <w:r w:rsidRPr="000E50F1">
        <w:rPr>
          <w:rFonts w:ascii="Times" w:eastAsia="Calibri" w:hAnsi="Times"/>
          <w:i/>
          <w:iCs/>
          <w:smallCaps w:val="0"/>
          <w:sz w:val="22"/>
          <w:szCs w:val="22"/>
        </w:rPr>
        <w:fldChar w:fldCharType="begin"/>
      </w:r>
      <w:r w:rsidRPr="000E50F1">
        <w:rPr>
          <w:rFonts w:ascii="Times" w:eastAsia="Calibri" w:hAnsi="Times"/>
          <w:i/>
          <w:iCs/>
          <w:smallCaps w:val="0"/>
          <w:sz w:val="22"/>
          <w:szCs w:val="22"/>
        </w:rPr>
        <w:instrText xml:space="preserve"> TOC \h \z \c "Figure" </w:instrText>
      </w:r>
      <w:r w:rsidRPr="000E50F1">
        <w:rPr>
          <w:rFonts w:ascii="Times" w:eastAsia="Calibri" w:hAnsi="Times"/>
          <w:i/>
          <w:iCs/>
          <w:smallCaps w:val="0"/>
          <w:sz w:val="22"/>
          <w:szCs w:val="22"/>
        </w:rPr>
        <w:fldChar w:fldCharType="separate"/>
      </w:r>
      <w:hyperlink w:anchor="_Toc54020231" w:history="1">
        <w:r w:rsidRPr="000E50F1">
          <w:rPr>
            <w:rStyle w:val="Hyperlink"/>
            <w:rFonts w:ascii="Times" w:hAnsi="Times"/>
            <w:i/>
            <w:smallCaps w:val="0"/>
            <w:noProof/>
            <w:color w:val="auto"/>
            <w:sz w:val="22"/>
            <w:szCs w:val="22"/>
          </w:rPr>
          <w:t>Figure 1</w:t>
        </w:r>
        <w:r w:rsidRPr="000E50F1">
          <w:rPr>
            <w:rStyle w:val="Hyperlink"/>
            <w:rFonts w:ascii="Times" w:eastAsia="Calibri" w:hAnsi="Times"/>
            <w:bCs/>
            <w:i/>
            <w:smallCaps w:val="0"/>
            <w:noProof/>
            <w:color w:val="auto"/>
            <w:sz w:val="22"/>
            <w:szCs w:val="22"/>
          </w:rPr>
          <w:t>.</w:t>
        </w:r>
        <w:r w:rsidRPr="000E50F1">
          <w:rPr>
            <w:rStyle w:val="Hyperlink"/>
            <w:rFonts w:ascii="Times" w:eastAsia="Calibri" w:hAnsi="Times"/>
            <w:bCs/>
            <w:smallCaps w:val="0"/>
            <w:noProof/>
            <w:color w:val="auto"/>
            <w:sz w:val="22"/>
            <w:szCs w:val="22"/>
          </w:rPr>
          <w:t xml:space="preserve"> </w:t>
        </w:r>
        <w:r w:rsidRPr="000E50F1">
          <w:rPr>
            <w:rStyle w:val="Hyperlink"/>
            <w:rFonts w:ascii="Times" w:hAnsi="Times"/>
            <w:smallCaps w:val="0"/>
            <w:noProof/>
            <w:color w:val="auto"/>
            <w:sz w:val="22"/>
            <w:szCs w:val="22"/>
          </w:rPr>
          <w:t>How Express Entry works</w:t>
        </w:r>
        <w:r w:rsidRPr="000E50F1">
          <w:rPr>
            <w:rFonts w:ascii="Times" w:hAnsi="Times"/>
            <w:smallCaps w:val="0"/>
            <w:noProof/>
            <w:webHidden/>
            <w:sz w:val="22"/>
            <w:szCs w:val="22"/>
          </w:rPr>
          <w:tab/>
        </w:r>
        <w:r w:rsidRPr="000E50F1">
          <w:rPr>
            <w:rFonts w:ascii="Times" w:hAnsi="Times"/>
            <w:smallCaps w:val="0"/>
            <w:noProof/>
            <w:webHidden/>
            <w:sz w:val="22"/>
            <w:szCs w:val="22"/>
          </w:rPr>
          <w:fldChar w:fldCharType="begin"/>
        </w:r>
        <w:r w:rsidRPr="000E50F1">
          <w:rPr>
            <w:rFonts w:ascii="Times" w:hAnsi="Times"/>
            <w:smallCaps w:val="0"/>
            <w:noProof/>
            <w:webHidden/>
            <w:sz w:val="22"/>
            <w:szCs w:val="22"/>
          </w:rPr>
          <w:instrText xml:space="preserve"> PAGEREF _Toc54020231 \h </w:instrText>
        </w:r>
        <w:r w:rsidRPr="000E50F1">
          <w:rPr>
            <w:rFonts w:ascii="Times" w:hAnsi="Times"/>
            <w:smallCaps w:val="0"/>
            <w:noProof/>
            <w:webHidden/>
            <w:sz w:val="22"/>
            <w:szCs w:val="22"/>
          </w:rPr>
        </w:r>
        <w:r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17</w:t>
        </w:r>
        <w:r w:rsidRPr="000E50F1">
          <w:rPr>
            <w:rFonts w:ascii="Times" w:hAnsi="Times"/>
            <w:smallCaps w:val="0"/>
            <w:noProof/>
            <w:webHidden/>
            <w:sz w:val="22"/>
            <w:szCs w:val="22"/>
          </w:rPr>
          <w:fldChar w:fldCharType="end"/>
        </w:r>
      </w:hyperlink>
    </w:p>
    <w:p w14:paraId="63052642" w14:textId="1A649163" w:rsidR="0013122A" w:rsidRPr="000E50F1" w:rsidRDefault="00C71D9C" w:rsidP="0013122A">
      <w:pPr>
        <w:pStyle w:val="TableofFigures"/>
        <w:tabs>
          <w:tab w:val="right" w:leader="dot" w:pos="7920"/>
        </w:tabs>
        <w:spacing w:after="160"/>
        <w:jc w:val="center"/>
        <w:rPr>
          <w:rFonts w:ascii="Times" w:eastAsiaTheme="minorEastAsia" w:hAnsi="Times" w:cstheme="minorBidi"/>
          <w:smallCaps w:val="0"/>
          <w:noProof/>
          <w:sz w:val="22"/>
          <w:szCs w:val="22"/>
        </w:rPr>
      </w:pPr>
      <w:hyperlink w:anchor="_Toc54020232" w:history="1">
        <w:r w:rsidR="0013122A" w:rsidRPr="000E50F1">
          <w:rPr>
            <w:rStyle w:val="Hyperlink"/>
            <w:rFonts w:ascii="Times" w:hAnsi="Times"/>
            <w:i/>
            <w:smallCaps w:val="0"/>
            <w:noProof/>
            <w:color w:val="auto"/>
            <w:sz w:val="22"/>
            <w:szCs w:val="22"/>
          </w:rPr>
          <w:t>Figure 2</w:t>
        </w:r>
        <w:r w:rsidR="0013122A" w:rsidRPr="000E50F1">
          <w:rPr>
            <w:rStyle w:val="Hyperlink"/>
            <w:rFonts w:ascii="Times" w:eastAsia="Calibri" w:hAnsi="Times"/>
            <w:bCs/>
            <w:i/>
            <w:smallCaps w:val="0"/>
            <w:noProof/>
            <w:color w:val="auto"/>
            <w:sz w:val="22"/>
            <w:szCs w:val="22"/>
          </w:rPr>
          <w:t>.</w:t>
        </w:r>
        <w:r w:rsidR="0013122A" w:rsidRPr="000E50F1">
          <w:rPr>
            <w:rStyle w:val="Hyperlink"/>
            <w:rFonts w:ascii="Times" w:eastAsia="Calibri" w:hAnsi="Times"/>
            <w:bCs/>
            <w:smallCaps w:val="0"/>
            <w:noProof/>
            <w:color w:val="auto"/>
            <w:sz w:val="22"/>
            <w:szCs w:val="22"/>
          </w:rPr>
          <w:t xml:space="preserve"> </w:t>
        </w:r>
        <w:r w:rsidR="0013122A" w:rsidRPr="000E50F1">
          <w:rPr>
            <w:rStyle w:val="Hyperlink"/>
            <w:rFonts w:ascii="Times" w:hAnsi="Times"/>
            <w:smallCaps w:val="0"/>
            <w:noProof/>
            <w:color w:val="auto"/>
            <w:sz w:val="22"/>
            <w:szCs w:val="22"/>
          </w:rPr>
          <w:t>International students’ CRS score on November 23, 2015</w:t>
        </w:r>
        <w:r w:rsidR="0013122A" w:rsidRPr="000E50F1">
          <w:rPr>
            <w:rFonts w:ascii="Times" w:hAnsi="Times"/>
            <w:smallCaps w:val="0"/>
            <w:noProof/>
            <w:webHidden/>
            <w:sz w:val="22"/>
            <w:szCs w:val="22"/>
          </w:rPr>
          <w:tab/>
        </w:r>
        <w:r w:rsidR="0013122A" w:rsidRPr="000E50F1">
          <w:rPr>
            <w:rFonts w:ascii="Times" w:hAnsi="Times"/>
            <w:smallCaps w:val="0"/>
            <w:noProof/>
            <w:webHidden/>
            <w:sz w:val="22"/>
            <w:szCs w:val="22"/>
          </w:rPr>
          <w:fldChar w:fldCharType="begin"/>
        </w:r>
        <w:r w:rsidR="0013122A" w:rsidRPr="000E50F1">
          <w:rPr>
            <w:rFonts w:ascii="Times" w:hAnsi="Times"/>
            <w:smallCaps w:val="0"/>
            <w:noProof/>
            <w:webHidden/>
            <w:sz w:val="22"/>
            <w:szCs w:val="22"/>
          </w:rPr>
          <w:instrText xml:space="preserve"> PAGEREF _Toc54020232 \h </w:instrText>
        </w:r>
        <w:r w:rsidR="0013122A" w:rsidRPr="000E50F1">
          <w:rPr>
            <w:rFonts w:ascii="Times" w:hAnsi="Times"/>
            <w:smallCaps w:val="0"/>
            <w:noProof/>
            <w:webHidden/>
            <w:sz w:val="22"/>
            <w:szCs w:val="22"/>
          </w:rPr>
        </w:r>
        <w:r w:rsidR="0013122A"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18</w:t>
        </w:r>
        <w:r w:rsidR="0013122A" w:rsidRPr="000E50F1">
          <w:rPr>
            <w:rFonts w:ascii="Times" w:hAnsi="Times"/>
            <w:smallCaps w:val="0"/>
            <w:noProof/>
            <w:webHidden/>
            <w:sz w:val="22"/>
            <w:szCs w:val="22"/>
          </w:rPr>
          <w:fldChar w:fldCharType="end"/>
        </w:r>
      </w:hyperlink>
    </w:p>
    <w:p w14:paraId="57999BED" w14:textId="4D034557" w:rsidR="0013122A" w:rsidRPr="000E50F1" w:rsidRDefault="00C71D9C" w:rsidP="0013122A">
      <w:pPr>
        <w:pStyle w:val="TableofFigures"/>
        <w:tabs>
          <w:tab w:val="right" w:leader="dot" w:pos="7920"/>
        </w:tabs>
        <w:spacing w:after="160"/>
        <w:jc w:val="center"/>
        <w:rPr>
          <w:rFonts w:ascii="Times" w:eastAsiaTheme="minorEastAsia" w:hAnsi="Times" w:cstheme="minorBidi"/>
          <w:smallCaps w:val="0"/>
          <w:noProof/>
          <w:sz w:val="22"/>
          <w:szCs w:val="22"/>
        </w:rPr>
      </w:pPr>
      <w:hyperlink w:anchor="_Toc54020233" w:history="1">
        <w:r w:rsidR="0013122A" w:rsidRPr="000E50F1">
          <w:rPr>
            <w:rStyle w:val="Hyperlink"/>
            <w:rFonts w:ascii="Times" w:hAnsi="Times"/>
            <w:i/>
            <w:smallCaps w:val="0"/>
            <w:noProof/>
            <w:color w:val="auto"/>
            <w:sz w:val="22"/>
            <w:szCs w:val="22"/>
          </w:rPr>
          <w:t>Figure 3</w:t>
        </w:r>
        <w:r w:rsidR="0013122A" w:rsidRPr="000E50F1">
          <w:rPr>
            <w:rStyle w:val="Hyperlink"/>
            <w:rFonts w:ascii="Times" w:eastAsia="Calibri" w:hAnsi="Times"/>
            <w:bCs/>
            <w:i/>
            <w:smallCaps w:val="0"/>
            <w:noProof/>
            <w:color w:val="auto"/>
            <w:sz w:val="22"/>
            <w:szCs w:val="22"/>
            <w:lang w:val="en-US"/>
          </w:rPr>
          <w:t>.</w:t>
        </w:r>
        <w:r w:rsidR="0013122A" w:rsidRPr="000E50F1">
          <w:rPr>
            <w:rStyle w:val="Hyperlink"/>
            <w:rFonts w:ascii="Times" w:eastAsia="Calibri" w:hAnsi="Times"/>
            <w:bCs/>
            <w:smallCaps w:val="0"/>
            <w:noProof/>
            <w:color w:val="auto"/>
            <w:sz w:val="22"/>
            <w:szCs w:val="22"/>
            <w:lang w:val="en-US"/>
          </w:rPr>
          <w:t xml:space="preserve"> International students’ CRS score on January 19, 2017</w:t>
        </w:r>
        <w:r w:rsidR="0013122A" w:rsidRPr="000E50F1">
          <w:rPr>
            <w:rFonts w:ascii="Times" w:hAnsi="Times"/>
            <w:smallCaps w:val="0"/>
            <w:noProof/>
            <w:webHidden/>
            <w:sz w:val="22"/>
            <w:szCs w:val="22"/>
          </w:rPr>
          <w:tab/>
        </w:r>
        <w:r w:rsidR="0013122A" w:rsidRPr="000E50F1">
          <w:rPr>
            <w:rFonts w:ascii="Times" w:hAnsi="Times"/>
            <w:smallCaps w:val="0"/>
            <w:noProof/>
            <w:webHidden/>
            <w:sz w:val="22"/>
            <w:szCs w:val="22"/>
          </w:rPr>
          <w:fldChar w:fldCharType="begin"/>
        </w:r>
        <w:r w:rsidR="0013122A" w:rsidRPr="000E50F1">
          <w:rPr>
            <w:rFonts w:ascii="Times" w:hAnsi="Times"/>
            <w:smallCaps w:val="0"/>
            <w:noProof/>
            <w:webHidden/>
            <w:sz w:val="22"/>
            <w:szCs w:val="22"/>
          </w:rPr>
          <w:instrText xml:space="preserve"> PAGEREF _Toc54020233 \h </w:instrText>
        </w:r>
        <w:r w:rsidR="0013122A" w:rsidRPr="000E50F1">
          <w:rPr>
            <w:rFonts w:ascii="Times" w:hAnsi="Times"/>
            <w:smallCaps w:val="0"/>
            <w:noProof/>
            <w:webHidden/>
            <w:sz w:val="22"/>
            <w:szCs w:val="22"/>
          </w:rPr>
        </w:r>
        <w:r w:rsidR="0013122A"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18</w:t>
        </w:r>
        <w:r w:rsidR="0013122A" w:rsidRPr="000E50F1">
          <w:rPr>
            <w:rFonts w:ascii="Times" w:hAnsi="Times"/>
            <w:smallCaps w:val="0"/>
            <w:noProof/>
            <w:webHidden/>
            <w:sz w:val="22"/>
            <w:szCs w:val="22"/>
          </w:rPr>
          <w:fldChar w:fldCharType="end"/>
        </w:r>
      </w:hyperlink>
    </w:p>
    <w:p w14:paraId="3AFFA6CB" w14:textId="3D7FB702" w:rsidR="0013122A" w:rsidRPr="000E50F1" w:rsidRDefault="00C71D9C" w:rsidP="0013122A">
      <w:pPr>
        <w:pStyle w:val="TableofFigures"/>
        <w:tabs>
          <w:tab w:val="right" w:leader="dot" w:pos="7920"/>
        </w:tabs>
        <w:spacing w:after="160"/>
        <w:jc w:val="center"/>
        <w:rPr>
          <w:rFonts w:ascii="Times" w:eastAsiaTheme="minorEastAsia" w:hAnsi="Times" w:cstheme="minorBidi"/>
          <w:smallCaps w:val="0"/>
          <w:noProof/>
          <w:sz w:val="22"/>
          <w:szCs w:val="22"/>
        </w:rPr>
      </w:pPr>
      <w:hyperlink w:anchor="_Toc54020234" w:history="1">
        <w:r w:rsidR="0013122A" w:rsidRPr="000E50F1">
          <w:rPr>
            <w:rStyle w:val="Hyperlink"/>
            <w:rFonts w:ascii="Times" w:hAnsi="Times"/>
            <w:i/>
            <w:smallCaps w:val="0"/>
            <w:noProof/>
            <w:color w:val="auto"/>
            <w:sz w:val="22"/>
            <w:szCs w:val="22"/>
          </w:rPr>
          <w:t>Figure 4.</w:t>
        </w:r>
        <w:r w:rsidR="0013122A" w:rsidRPr="000E50F1">
          <w:rPr>
            <w:rStyle w:val="Hyperlink"/>
            <w:rFonts w:ascii="Times" w:hAnsi="Times"/>
            <w:smallCaps w:val="0"/>
            <w:noProof/>
            <w:color w:val="auto"/>
            <w:sz w:val="22"/>
            <w:szCs w:val="22"/>
          </w:rPr>
          <w:t xml:space="preserve"> The Syrian influx in Hamilton, Ontario</w:t>
        </w:r>
        <w:r w:rsidR="0013122A" w:rsidRPr="000E50F1">
          <w:rPr>
            <w:rFonts w:ascii="Times" w:hAnsi="Times"/>
            <w:smallCaps w:val="0"/>
            <w:noProof/>
            <w:webHidden/>
            <w:sz w:val="22"/>
            <w:szCs w:val="22"/>
          </w:rPr>
          <w:tab/>
        </w:r>
        <w:r w:rsidR="0013122A" w:rsidRPr="000E50F1">
          <w:rPr>
            <w:rFonts w:ascii="Times" w:hAnsi="Times"/>
            <w:smallCaps w:val="0"/>
            <w:noProof/>
            <w:webHidden/>
            <w:sz w:val="22"/>
            <w:szCs w:val="22"/>
          </w:rPr>
          <w:fldChar w:fldCharType="begin"/>
        </w:r>
        <w:r w:rsidR="0013122A" w:rsidRPr="000E50F1">
          <w:rPr>
            <w:rFonts w:ascii="Times" w:hAnsi="Times"/>
            <w:smallCaps w:val="0"/>
            <w:noProof/>
            <w:webHidden/>
            <w:sz w:val="22"/>
            <w:szCs w:val="22"/>
          </w:rPr>
          <w:instrText xml:space="preserve"> PAGEREF _Toc54020234 \h </w:instrText>
        </w:r>
        <w:r w:rsidR="0013122A" w:rsidRPr="000E50F1">
          <w:rPr>
            <w:rFonts w:ascii="Times" w:hAnsi="Times"/>
            <w:smallCaps w:val="0"/>
            <w:noProof/>
            <w:webHidden/>
            <w:sz w:val="22"/>
            <w:szCs w:val="22"/>
          </w:rPr>
        </w:r>
        <w:r w:rsidR="0013122A"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39</w:t>
        </w:r>
        <w:r w:rsidR="0013122A" w:rsidRPr="000E50F1">
          <w:rPr>
            <w:rFonts w:ascii="Times" w:hAnsi="Times"/>
            <w:smallCaps w:val="0"/>
            <w:noProof/>
            <w:webHidden/>
            <w:sz w:val="22"/>
            <w:szCs w:val="22"/>
          </w:rPr>
          <w:fldChar w:fldCharType="end"/>
        </w:r>
      </w:hyperlink>
    </w:p>
    <w:p w14:paraId="7CAE8F76" w14:textId="3DA2B4CA" w:rsidR="0013122A" w:rsidRPr="000E50F1" w:rsidRDefault="00C71D9C" w:rsidP="0013122A">
      <w:pPr>
        <w:pStyle w:val="TableofFigures"/>
        <w:tabs>
          <w:tab w:val="right" w:leader="dot" w:pos="7920"/>
        </w:tabs>
        <w:spacing w:after="160"/>
        <w:jc w:val="center"/>
        <w:rPr>
          <w:rFonts w:ascii="Times" w:eastAsiaTheme="minorEastAsia" w:hAnsi="Times" w:cstheme="minorBidi"/>
          <w:smallCaps w:val="0"/>
          <w:noProof/>
          <w:sz w:val="22"/>
          <w:szCs w:val="22"/>
        </w:rPr>
      </w:pPr>
      <w:hyperlink w:anchor="_Toc54020235" w:history="1">
        <w:r w:rsidR="0013122A" w:rsidRPr="000E50F1">
          <w:rPr>
            <w:rStyle w:val="Hyperlink"/>
            <w:rFonts w:ascii="Times" w:hAnsi="Times"/>
            <w:i/>
            <w:smallCaps w:val="0"/>
            <w:noProof/>
            <w:color w:val="auto"/>
            <w:sz w:val="22"/>
            <w:szCs w:val="22"/>
          </w:rPr>
          <w:t>Figure 5</w:t>
        </w:r>
        <w:r w:rsidR="0013122A" w:rsidRPr="000E50F1">
          <w:rPr>
            <w:rStyle w:val="Hyperlink"/>
            <w:rFonts w:ascii="Times" w:hAnsi="Times"/>
            <w:smallCaps w:val="0"/>
            <w:noProof/>
            <w:color w:val="auto"/>
            <w:sz w:val="22"/>
            <w:szCs w:val="22"/>
          </w:rPr>
          <w:t>. Ecological systems model</w:t>
        </w:r>
        <w:r w:rsidR="0013122A" w:rsidRPr="000E50F1">
          <w:rPr>
            <w:rFonts w:ascii="Times" w:hAnsi="Times"/>
            <w:smallCaps w:val="0"/>
            <w:noProof/>
            <w:webHidden/>
            <w:sz w:val="22"/>
            <w:szCs w:val="22"/>
          </w:rPr>
          <w:tab/>
        </w:r>
        <w:r w:rsidR="0013122A" w:rsidRPr="000E50F1">
          <w:rPr>
            <w:rFonts w:ascii="Times" w:hAnsi="Times"/>
            <w:smallCaps w:val="0"/>
            <w:noProof/>
            <w:webHidden/>
            <w:sz w:val="22"/>
            <w:szCs w:val="22"/>
          </w:rPr>
          <w:fldChar w:fldCharType="begin"/>
        </w:r>
        <w:r w:rsidR="0013122A" w:rsidRPr="000E50F1">
          <w:rPr>
            <w:rFonts w:ascii="Times" w:hAnsi="Times"/>
            <w:smallCaps w:val="0"/>
            <w:noProof/>
            <w:webHidden/>
            <w:sz w:val="22"/>
            <w:szCs w:val="22"/>
          </w:rPr>
          <w:instrText xml:space="preserve"> PAGEREF _Toc54020235 \h </w:instrText>
        </w:r>
        <w:r w:rsidR="0013122A" w:rsidRPr="000E50F1">
          <w:rPr>
            <w:rFonts w:ascii="Times" w:hAnsi="Times"/>
            <w:smallCaps w:val="0"/>
            <w:noProof/>
            <w:webHidden/>
            <w:sz w:val="22"/>
            <w:szCs w:val="22"/>
          </w:rPr>
        </w:r>
        <w:r w:rsidR="0013122A"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57</w:t>
        </w:r>
        <w:r w:rsidR="0013122A" w:rsidRPr="000E50F1">
          <w:rPr>
            <w:rFonts w:ascii="Times" w:hAnsi="Times"/>
            <w:smallCaps w:val="0"/>
            <w:noProof/>
            <w:webHidden/>
            <w:sz w:val="22"/>
            <w:szCs w:val="22"/>
          </w:rPr>
          <w:fldChar w:fldCharType="end"/>
        </w:r>
      </w:hyperlink>
    </w:p>
    <w:p w14:paraId="4FC29A47" w14:textId="0844F8C2" w:rsidR="0013122A" w:rsidRPr="000E50F1" w:rsidRDefault="00C71D9C" w:rsidP="0013122A">
      <w:pPr>
        <w:pStyle w:val="TableofFigures"/>
        <w:tabs>
          <w:tab w:val="right" w:leader="dot" w:pos="7920"/>
        </w:tabs>
        <w:spacing w:after="160"/>
        <w:jc w:val="center"/>
        <w:rPr>
          <w:rFonts w:ascii="Times" w:eastAsiaTheme="minorEastAsia" w:hAnsi="Times" w:cstheme="minorBidi"/>
          <w:smallCaps w:val="0"/>
          <w:noProof/>
          <w:sz w:val="22"/>
          <w:szCs w:val="22"/>
        </w:rPr>
      </w:pPr>
      <w:hyperlink w:anchor="_Toc54020236" w:history="1">
        <w:r w:rsidR="0013122A" w:rsidRPr="000E50F1">
          <w:rPr>
            <w:rStyle w:val="Hyperlink"/>
            <w:rFonts w:ascii="Times" w:hAnsi="Times"/>
            <w:i/>
            <w:smallCaps w:val="0"/>
            <w:noProof/>
            <w:color w:val="auto"/>
            <w:sz w:val="22"/>
            <w:szCs w:val="22"/>
          </w:rPr>
          <w:t>Figure 6.</w:t>
        </w:r>
        <w:r w:rsidR="0013122A" w:rsidRPr="000E50F1">
          <w:rPr>
            <w:rStyle w:val="Hyperlink"/>
            <w:rFonts w:ascii="Times" w:hAnsi="Times"/>
            <w:smallCaps w:val="0"/>
            <w:noProof/>
            <w:color w:val="auto"/>
            <w:sz w:val="22"/>
            <w:szCs w:val="22"/>
          </w:rPr>
          <w:t xml:space="preserve"> Barriers to mental health service use for immigrant youth in schools</w:t>
        </w:r>
        <w:r w:rsidR="0013122A" w:rsidRPr="000E50F1">
          <w:rPr>
            <w:rFonts w:ascii="Times" w:hAnsi="Times"/>
            <w:smallCaps w:val="0"/>
            <w:noProof/>
            <w:webHidden/>
            <w:sz w:val="22"/>
            <w:szCs w:val="22"/>
          </w:rPr>
          <w:tab/>
        </w:r>
        <w:r w:rsidR="0013122A" w:rsidRPr="000E50F1">
          <w:rPr>
            <w:rFonts w:ascii="Times" w:hAnsi="Times"/>
            <w:smallCaps w:val="0"/>
            <w:noProof/>
            <w:webHidden/>
            <w:sz w:val="22"/>
            <w:szCs w:val="22"/>
          </w:rPr>
          <w:fldChar w:fldCharType="begin"/>
        </w:r>
        <w:r w:rsidR="0013122A" w:rsidRPr="000E50F1">
          <w:rPr>
            <w:rFonts w:ascii="Times" w:hAnsi="Times"/>
            <w:smallCaps w:val="0"/>
            <w:noProof/>
            <w:webHidden/>
            <w:sz w:val="22"/>
            <w:szCs w:val="22"/>
          </w:rPr>
          <w:instrText xml:space="preserve"> PAGEREF _Toc54020236 \h </w:instrText>
        </w:r>
        <w:r w:rsidR="0013122A" w:rsidRPr="000E50F1">
          <w:rPr>
            <w:rFonts w:ascii="Times" w:hAnsi="Times"/>
            <w:smallCaps w:val="0"/>
            <w:noProof/>
            <w:webHidden/>
            <w:sz w:val="22"/>
            <w:szCs w:val="22"/>
          </w:rPr>
        </w:r>
        <w:r w:rsidR="0013122A"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72</w:t>
        </w:r>
        <w:r w:rsidR="0013122A" w:rsidRPr="000E50F1">
          <w:rPr>
            <w:rFonts w:ascii="Times" w:hAnsi="Times"/>
            <w:smallCaps w:val="0"/>
            <w:noProof/>
            <w:webHidden/>
            <w:sz w:val="22"/>
            <w:szCs w:val="22"/>
          </w:rPr>
          <w:fldChar w:fldCharType="end"/>
        </w:r>
      </w:hyperlink>
    </w:p>
    <w:p w14:paraId="77A56BBC" w14:textId="5F496406" w:rsidR="0013122A" w:rsidRPr="000E50F1" w:rsidRDefault="00C71D9C" w:rsidP="0013122A">
      <w:pPr>
        <w:pStyle w:val="TableofFigures"/>
        <w:tabs>
          <w:tab w:val="right" w:leader="dot" w:pos="7920"/>
        </w:tabs>
        <w:spacing w:after="160"/>
        <w:jc w:val="center"/>
        <w:rPr>
          <w:rFonts w:ascii="Times" w:eastAsiaTheme="minorEastAsia" w:hAnsi="Times" w:cstheme="minorBidi"/>
          <w:smallCaps w:val="0"/>
          <w:noProof/>
          <w:sz w:val="22"/>
          <w:szCs w:val="22"/>
        </w:rPr>
      </w:pPr>
      <w:hyperlink w:anchor="_Toc54020237" w:history="1">
        <w:r w:rsidR="0013122A" w:rsidRPr="000E50F1">
          <w:rPr>
            <w:rStyle w:val="Hyperlink"/>
            <w:rFonts w:ascii="Times" w:hAnsi="Times"/>
            <w:i/>
            <w:smallCaps w:val="0"/>
            <w:noProof/>
            <w:color w:val="auto"/>
            <w:sz w:val="22"/>
            <w:szCs w:val="22"/>
          </w:rPr>
          <w:t>Figure 7.</w:t>
        </w:r>
        <w:r w:rsidR="0013122A" w:rsidRPr="000E50F1">
          <w:rPr>
            <w:rStyle w:val="Hyperlink"/>
            <w:rFonts w:ascii="Times" w:hAnsi="Times"/>
            <w:smallCaps w:val="0"/>
            <w:noProof/>
            <w:color w:val="auto"/>
            <w:sz w:val="22"/>
            <w:szCs w:val="22"/>
          </w:rPr>
          <w:t xml:space="preserve"> Social media post on June 14, 2018</w:t>
        </w:r>
        <w:r w:rsidR="0013122A" w:rsidRPr="000E50F1">
          <w:rPr>
            <w:rFonts w:ascii="Times" w:hAnsi="Times"/>
            <w:smallCaps w:val="0"/>
            <w:noProof/>
            <w:webHidden/>
            <w:sz w:val="22"/>
            <w:szCs w:val="22"/>
          </w:rPr>
          <w:tab/>
        </w:r>
        <w:r w:rsidR="0013122A" w:rsidRPr="000E50F1">
          <w:rPr>
            <w:rFonts w:ascii="Times" w:hAnsi="Times"/>
            <w:smallCaps w:val="0"/>
            <w:noProof/>
            <w:webHidden/>
            <w:sz w:val="22"/>
            <w:szCs w:val="22"/>
          </w:rPr>
          <w:fldChar w:fldCharType="begin"/>
        </w:r>
        <w:r w:rsidR="0013122A" w:rsidRPr="000E50F1">
          <w:rPr>
            <w:rFonts w:ascii="Times" w:hAnsi="Times"/>
            <w:smallCaps w:val="0"/>
            <w:noProof/>
            <w:webHidden/>
            <w:sz w:val="22"/>
            <w:szCs w:val="22"/>
          </w:rPr>
          <w:instrText xml:space="preserve"> PAGEREF _Toc54020237 \h </w:instrText>
        </w:r>
        <w:r w:rsidR="0013122A" w:rsidRPr="000E50F1">
          <w:rPr>
            <w:rFonts w:ascii="Times" w:hAnsi="Times"/>
            <w:smallCaps w:val="0"/>
            <w:noProof/>
            <w:webHidden/>
            <w:sz w:val="22"/>
            <w:szCs w:val="22"/>
          </w:rPr>
        </w:r>
        <w:r w:rsidR="0013122A" w:rsidRPr="000E50F1">
          <w:rPr>
            <w:rFonts w:ascii="Times" w:hAnsi="Times"/>
            <w:smallCaps w:val="0"/>
            <w:noProof/>
            <w:webHidden/>
            <w:sz w:val="22"/>
            <w:szCs w:val="22"/>
          </w:rPr>
          <w:fldChar w:fldCharType="separate"/>
        </w:r>
        <w:r w:rsidR="00F216CA" w:rsidRPr="000E50F1">
          <w:rPr>
            <w:rFonts w:ascii="Times" w:hAnsi="Times"/>
            <w:smallCaps w:val="0"/>
            <w:noProof/>
            <w:webHidden/>
            <w:sz w:val="22"/>
            <w:szCs w:val="22"/>
          </w:rPr>
          <w:t>97</w:t>
        </w:r>
        <w:r w:rsidR="0013122A" w:rsidRPr="000E50F1">
          <w:rPr>
            <w:rFonts w:ascii="Times" w:hAnsi="Times"/>
            <w:smallCaps w:val="0"/>
            <w:noProof/>
            <w:webHidden/>
            <w:sz w:val="22"/>
            <w:szCs w:val="22"/>
          </w:rPr>
          <w:fldChar w:fldCharType="end"/>
        </w:r>
      </w:hyperlink>
    </w:p>
    <w:p w14:paraId="41CCF5C8" w14:textId="7B174B54" w:rsidR="0013122A" w:rsidRPr="000E50F1" w:rsidRDefault="0013122A" w:rsidP="0013122A">
      <w:pPr>
        <w:rPr>
          <w:rFonts w:ascii="Times" w:eastAsia="Calibri" w:hAnsi="Times"/>
          <w:i/>
          <w:iCs/>
          <w:sz w:val="22"/>
          <w:szCs w:val="22"/>
        </w:rPr>
      </w:pPr>
      <w:r w:rsidRPr="000E50F1">
        <w:rPr>
          <w:rFonts w:ascii="Times" w:eastAsia="Calibri" w:hAnsi="Times"/>
          <w:i/>
          <w:iCs/>
          <w:sz w:val="22"/>
          <w:szCs w:val="22"/>
        </w:rPr>
        <w:fldChar w:fldCharType="end"/>
      </w:r>
    </w:p>
    <w:p w14:paraId="72BDEC18" w14:textId="19FB71F1" w:rsidR="0013122A" w:rsidRPr="000E50F1" w:rsidRDefault="0013122A">
      <w:pPr>
        <w:rPr>
          <w:rFonts w:ascii="Times" w:eastAsia="Calibri" w:hAnsi="Times"/>
          <w:i/>
          <w:iCs/>
          <w:sz w:val="22"/>
          <w:szCs w:val="22"/>
        </w:rPr>
      </w:pPr>
      <w:r w:rsidRPr="000E50F1">
        <w:rPr>
          <w:rFonts w:ascii="Times" w:eastAsia="Calibri" w:hAnsi="Times"/>
          <w:i/>
          <w:iCs/>
          <w:sz w:val="22"/>
          <w:szCs w:val="22"/>
        </w:rPr>
        <w:br w:type="page"/>
      </w:r>
    </w:p>
    <w:p w14:paraId="2EF783FC" w14:textId="37E03886" w:rsidR="0013122A" w:rsidRPr="000E50F1" w:rsidRDefault="0013122A" w:rsidP="0013122A">
      <w:pPr>
        <w:pStyle w:val="Heading1"/>
        <w:spacing w:before="0" w:after="160" w:line="240" w:lineRule="auto"/>
        <w:jc w:val="center"/>
        <w:rPr>
          <w:rFonts w:ascii="Times" w:eastAsia="Calibri" w:hAnsi="Times"/>
          <w:color w:val="auto"/>
          <w:sz w:val="24"/>
          <w:szCs w:val="24"/>
        </w:rPr>
      </w:pPr>
      <w:bookmarkStart w:id="4" w:name="_Toc60231889"/>
      <w:r w:rsidRPr="000E50F1">
        <w:rPr>
          <w:rFonts w:ascii="Times" w:eastAsia="Calibri" w:hAnsi="Times"/>
          <w:color w:val="auto"/>
          <w:sz w:val="24"/>
          <w:szCs w:val="24"/>
        </w:rPr>
        <w:lastRenderedPageBreak/>
        <w:t>LIST OF ABBREVIATIONS</w:t>
      </w:r>
      <w:bookmarkEnd w:id="4"/>
    </w:p>
    <w:p w14:paraId="688F19DC" w14:textId="77777777" w:rsidR="0013122A" w:rsidRPr="000E50F1" w:rsidRDefault="0013122A" w:rsidP="0013122A">
      <w:pPr>
        <w:rPr>
          <w:rFonts w:ascii="Times" w:eastAsia="Calibri" w:hAnsi="Times"/>
          <w:b/>
          <w:bCs/>
          <w:lang w:val="en-US"/>
        </w:rPr>
      </w:pPr>
    </w:p>
    <w:p w14:paraId="54DFF96B" w14:textId="77777777" w:rsidR="0013122A" w:rsidRPr="000E50F1" w:rsidRDefault="0013122A" w:rsidP="0013122A">
      <w:pPr>
        <w:rPr>
          <w:rFonts w:ascii="Times" w:eastAsia="Calibri" w:hAnsi="Times"/>
        </w:rPr>
      </w:pPr>
    </w:p>
    <w:tbl>
      <w:tblPr>
        <w:tblStyle w:val="PlainTable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746"/>
        <w:gridCol w:w="6184"/>
      </w:tblGrid>
      <w:tr w:rsidR="0013122A" w:rsidRPr="000E50F1" w14:paraId="76C817E5" w14:textId="77777777" w:rsidTr="00056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2F705850"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CBIE</w:t>
            </w:r>
          </w:p>
        </w:tc>
        <w:tc>
          <w:tcPr>
            <w:tcW w:w="6184" w:type="dxa"/>
            <w:shd w:val="clear" w:color="auto" w:fill="FFFFFF" w:themeFill="background1"/>
            <w:vAlign w:val="bottom"/>
          </w:tcPr>
          <w:p w14:paraId="03F8B1C2" w14:textId="77777777" w:rsidR="0013122A" w:rsidRPr="000E50F1" w:rsidRDefault="0013122A" w:rsidP="00056516">
            <w:pPr>
              <w:spacing w:line="276" w:lineRule="auto"/>
              <w:cnfStyle w:val="100000000000" w:firstRow="1" w:lastRow="0" w:firstColumn="0" w:lastColumn="0" w:oddVBand="0" w:evenVBand="0" w:oddHBand="0" w:evenHBand="0" w:firstRowFirstColumn="0" w:firstRowLastColumn="0" w:lastRowFirstColumn="0" w:lastRowLastColumn="0"/>
              <w:rPr>
                <w:rFonts w:ascii="Times" w:hAnsi="Times" w:cstheme="minorHAnsi"/>
                <w:b w:val="0"/>
                <w:bCs w:val="0"/>
              </w:rPr>
            </w:pPr>
            <w:r w:rsidRPr="000E50F1">
              <w:rPr>
                <w:rFonts w:ascii="Times" w:hAnsi="Times" w:cstheme="minorHAnsi"/>
                <w:b w:val="0"/>
                <w:bCs w:val="0"/>
              </w:rPr>
              <w:t xml:space="preserve">Canadian Bureau for International Education  </w:t>
            </w:r>
          </w:p>
        </w:tc>
      </w:tr>
      <w:tr w:rsidR="0013122A" w:rsidRPr="000E50F1" w14:paraId="5FACE7D2" w14:textId="77777777" w:rsidTr="00056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7549A3C6"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CEC</w:t>
            </w:r>
          </w:p>
        </w:tc>
        <w:tc>
          <w:tcPr>
            <w:tcW w:w="6184" w:type="dxa"/>
            <w:shd w:val="clear" w:color="auto" w:fill="FFFFFF" w:themeFill="background1"/>
            <w:vAlign w:val="bottom"/>
          </w:tcPr>
          <w:p w14:paraId="251CDF3D" w14:textId="77777777" w:rsidR="0013122A" w:rsidRPr="000E50F1" w:rsidRDefault="0013122A" w:rsidP="00056516">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0E50F1">
              <w:rPr>
                <w:rFonts w:ascii="Times" w:hAnsi="Times" w:cstheme="minorHAnsi"/>
              </w:rPr>
              <w:t>Canadian Experience Class</w:t>
            </w:r>
          </w:p>
        </w:tc>
      </w:tr>
      <w:tr w:rsidR="0013122A" w:rsidRPr="000E50F1" w14:paraId="5C2CFC78" w14:textId="77777777" w:rsidTr="00056516">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07465A21"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COAST</w:t>
            </w:r>
          </w:p>
        </w:tc>
        <w:tc>
          <w:tcPr>
            <w:tcW w:w="6184" w:type="dxa"/>
            <w:shd w:val="clear" w:color="auto" w:fill="FFFFFF" w:themeFill="background1"/>
            <w:vAlign w:val="bottom"/>
          </w:tcPr>
          <w:p w14:paraId="30FC5A9D" w14:textId="77777777" w:rsidR="0013122A" w:rsidRPr="000E50F1" w:rsidRDefault="0013122A" w:rsidP="00056516">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0E50F1">
              <w:rPr>
                <w:rFonts w:ascii="Times" w:hAnsi="Times" w:cstheme="minorHAnsi"/>
              </w:rPr>
              <w:t>Crisis Outreach and Support Team</w:t>
            </w:r>
          </w:p>
        </w:tc>
      </w:tr>
      <w:tr w:rsidR="0013122A" w:rsidRPr="000E50F1" w14:paraId="0E4BED5A" w14:textId="77777777" w:rsidTr="00056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44DE73B7"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CRS</w:t>
            </w:r>
          </w:p>
        </w:tc>
        <w:tc>
          <w:tcPr>
            <w:tcW w:w="6184" w:type="dxa"/>
            <w:shd w:val="clear" w:color="auto" w:fill="FFFFFF" w:themeFill="background1"/>
            <w:vAlign w:val="bottom"/>
          </w:tcPr>
          <w:p w14:paraId="250A1171" w14:textId="77777777" w:rsidR="0013122A" w:rsidRPr="000E50F1" w:rsidRDefault="0013122A" w:rsidP="00056516">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0E50F1">
              <w:rPr>
                <w:rFonts w:ascii="Times" w:hAnsi="Times" w:cstheme="minorHAnsi"/>
              </w:rPr>
              <w:t>Comprehensive Ranking System</w:t>
            </w:r>
          </w:p>
        </w:tc>
      </w:tr>
      <w:tr w:rsidR="0013122A" w:rsidRPr="000E50F1" w14:paraId="58B371F0" w14:textId="77777777" w:rsidTr="00056516">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11DD4C3F"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FST</w:t>
            </w:r>
          </w:p>
        </w:tc>
        <w:tc>
          <w:tcPr>
            <w:tcW w:w="6184" w:type="dxa"/>
            <w:shd w:val="clear" w:color="auto" w:fill="FFFFFF" w:themeFill="background1"/>
            <w:vAlign w:val="bottom"/>
          </w:tcPr>
          <w:p w14:paraId="71C2C95A" w14:textId="77777777" w:rsidR="0013122A" w:rsidRPr="000E50F1" w:rsidRDefault="0013122A" w:rsidP="00056516">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0E50F1">
              <w:rPr>
                <w:rFonts w:ascii="Times" w:hAnsi="Times" w:cstheme="minorHAnsi"/>
              </w:rPr>
              <w:t xml:space="preserve">Federal Skilled Trades </w:t>
            </w:r>
          </w:p>
        </w:tc>
      </w:tr>
      <w:tr w:rsidR="0013122A" w:rsidRPr="000E50F1" w14:paraId="45CA8DD6" w14:textId="77777777" w:rsidTr="00056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7726E1EB"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FSW</w:t>
            </w:r>
          </w:p>
        </w:tc>
        <w:tc>
          <w:tcPr>
            <w:tcW w:w="6184" w:type="dxa"/>
            <w:shd w:val="clear" w:color="auto" w:fill="FFFFFF" w:themeFill="background1"/>
            <w:vAlign w:val="bottom"/>
          </w:tcPr>
          <w:p w14:paraId="29B5FD7E" w14:textId="77777777" w:rsidR="0013122A" w:rsidRPr="000E50F1" w:rsidRDefault="0013122A" w:rsidP="00056516">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0E50F1">
              <w:rPr>
                <w:rFonts w:ascii="Times" w:hAnsi="Times" w:cstheme="minorHAnsi"/>
              </w:rPr>
              <w:t xml:space="preserve">Federal Skilled Workers </w:t>
            </w:r>
          </w:p>
        </w:tc>
      </w:tr>
      <w:tr w:rsidR="0013122A" w:rsidRPr="000E50F1" w14:paraId="2284DD07" w14:textId="77777777" w:rsidTr="00056516">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06B01407"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EE</w:t>
            </w:r>
          </w:p>
        </w:tc>
        <w:tc>
          <w:tcPr>
            <w:tcW w:w="6184" w:type="dxa"/>
            <w:shd w:val="clear" w:color="auto" w:fill="FFFFFF" w:themeFill="background1"/>
            <w:vAlign w:val="bottom"/>
          </w:tcPr>
          <w:p w14:paraId="2BFCF662" w14:textId="77777777" w:rsidR="0013122A" w:rsidRPr="000E50F1" w:rsidRDefault="0013122A" w:rsidP="00056516">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0E50F1">
              <w:rPr>
                <w:rFonts w:ascii="Times" w:hAnsi="Times" w:cstheme="minorHAnsi"/>
              </w:rPr>
              <w:t>Express Entry</w:t>
            </w:r>
          </w:p>
        </w:tc>
      </w:tr>
      <w:tr w:rsidR="0013122A" w:rsidRPr="000E50F1" w14:paraId="1B497CA0" w14:textId="77777777" w:rsidTr="00056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5E201DB3" w14:textId="77777777" w:rsidR="0013122A" w:rsidRPr="000E50F1" w:rsidRDefault="0013122A" w:rsidP="00056516">
            <w:pPr>
              <w:spacing w:line="276" w:lineRule="auto"/>
              <w:rPr>
                <w:rFonts w:ascii="Times" w:hAnsi="Times" w:cstheme="minorHAnsi"/>
              </w:rPr>
            </w:pPr>
            <w:r w:rsidRPr="000E50F1">
              <w:rPr>
                <w:rFonts w:ascii="Times" w:hAnsi="Times" w:cstheme="minorHAnsi"/>
                <w:b w:val="0"/>
                <w:bCs w:val="0"/>
              </w:rPr>
              <w:t>HIPC</w:t>
            </w:r>
          </w:p>
        </w:tc>
        <w:tc>
          <w:tcPr>
            <w:tcW w:w="6184" w:type="dxa"/>
            <w:shd w:val="clear" w:color="auto" w:fill="FFFFFF" w:themeFill="background1"/>
            <w:vAlign w:val="bottom"/>
          </w:tcPr>
          <w:p w14:paraId="112032CC" w14:textId="77777777" w:rsidR="0013122A" w:rsidRPr="000E50F1" w:rsidRDefault="0013122A" w:rsidP="00056516">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0E50F1">
              <w:rPr>
                <w:rFonts w:ascii="Times" w:hAnsi="Times" w:cstheme="minorHAnsi"/>
              </w:rPr>
              <w:t>Hamilton Immigration Partnership Council</w:t>
            </w:r>
          </w:p>
        </w:tc>
      </w:tr>
      <w:tr w:rsidR="0013122A" w:rsidRPr="000E50F1" w14:paraId="7C4A1CE2" w14:textId="77777777" w:rsidTr="00056516">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6D3EC8A9"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IRCC</w:t>
            </w:r>
          </w:p>
        </w:tc>
        <w:tc>
          <w:tcPr>
            <w:tcW w:w="6184" w:type="dxa"/>
            <w:shd w:val="clear" w:color="auto" w:fill="FFFFFF" w:themeFill="background1"/>
            <w:vAlign w:val="bottom"/>
          </w:tcPr>
          <w:p w14:paraId="1CA4E0A0" w14:textId="77777777" w:rsidR="0013122A" w:rsidRPr="000E50F1" w:rsidRDefault="0013122A" w:rsidP="00056516">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0E50F1">
              <w:rPr>
                <w:rFonts w:ascii="Times" w:hAnsi="Times" w:cstheme="minorHAnsi"/>
              </w:rPr>
              <w:t>Immigration, Refugees and Citizenship Canada</w:t>
            </w:r>
          </w:p>
        </w:tc>
      </w:tr>
      <w:tr w:rsidR="0013122A" w:rsidRPr="000E50F1" w14:paraId="2D0378B7" w14:textId="77777777" w:rsidTr="00056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4243043C"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ITA</w:t>
            </w:r>
          </w:p>
        </w:tc>
        <w:tc>
          <w:tcPr>
            <w:tcW w:w="6184" w:type="dxa"/>
            <w:shd w:val="clear" w:color="auto" w:fill="FFFFFF" w:themeFill="background1"/>
            <w:vAlign w:val="bottom"/>
          </w:tcPr>
          <w:p w14:paraId="20064EA3" w14:textId="77777777" w:rsidR="0013122A" w:rsidRPr="000E50F1" w:rsidRDefault="0013122A" w:rsidP="00056516">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0E50F1">
              <w:rPr>
                <w:rFonts w:ascii="Times" w:hAnsi="Times" w:cstheme="minorHAnsi"/>
              </w:rPr>
              <w:t>Invitation to Apply</w:t>
            </w:r>
          </w:p>
        </w:tc>
      </w:tr>
      <w:tr w:rsidR="0013122A" w:rsidRPr="000E50F1" w14:paraId="64E84A88" w14:textId="77777777" w:rsidTr="00056516">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793AD27A"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LIP</w:t>
            </w:r>
          </w:p>
        </w:tc>
        <w:tc>
          <w:tcPr>
            <w:tcW w:w="6184" w:type="dxa"/>
            <w:shd w:val="clear" w:color="auto" w:fill="FFFFFF" w:themeFill="background1"/>
            <w:vAlign w:val="bottom"/>
          </w:tcPr>
          <w:p w14:paraId="60A995E5" w14:textId="77777777" w:rsidR="0013122A" w:rsidRPr="000E50F1" w:rsidRDefault="0013122A" w:rsidP="00056516">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0E50F1">
              <w:rPr>
                <w:rFonts w:ascii="Times" w:hAnsi="Times" w:cstheme="minorHAnsi"/>
              </w:rPr>
              <w:t>Local Immigration Partnership</w:t>
            </w:r>
          </w:p>
        </w:tc>
      </w:tr>
      <w:tr w:rsidR="0013122A" w:rsidRPr="000E50F1" w14:paraId="12BEB3B4" w14:textId="77777777" w:rsidTr="00056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3E80232A"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spacing w:val="-5"/>
              </w:rPr>
              <w:t>LMIA</w:t>
            </w:r>
          </w:p>
        </w:tc>
        <w:tc>
          <w:tcPr>
            <w:tcW w:w="6184" w:type="dxa"/>
            <w:shd w:val="clear" w:color="auto" w:fill="FFFFFF" w:themeFill="background1"/>
            <w:vAlign w:val="bottom"/>
          </w:tcPr>
          <w:p w14:paraId="54D1E157" w14:textId="77777777" w:rsidR="0013122A" w:rsidRPr="000E50F1" w:rsidRDefault="0013122A" w:rsidP="00056516">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0E50F1">
              <w:rPr>
                <w:rFonts w:ascii="Times" w:hAnsi="Times" w:cstheme="minorHAnsi"/>
                <w:spacing w:val="-5"/>
              </w:rPr>
              <w:t xml:space="preserve">Labour Market Impact Assessment </w:t>
            </w:r>
          </w:p>
        </w:tc>
      </w:tr>
      <w:tr w:rsidR="0013122A" w:rsidRPr="000E50F1" w14:paraId="06D1F1F1" w14:textId="77777777" w:rsidTr="00056516">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3900C5DA"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PR</w:t>
            </w:r>
          </w:p>
        </w:tc>
        <w:tc>
          <w:tcPr>
            <w:tcW w:w="6184" w:type="dxa"/>
            <w:shd w:val="clear" w:color="auto" w:fill="FFFFFF" w:themeFill="background1"/>
            <w:vAlign w:val="bottom"/>
          </w:tcPr>
          <w:p w14:paraId="6DB2FE48" w14:textId="77777777" w:rsidR="0013122A" w:rsidRPr="000E50F1" w:rsidRDefault="0013122A" w:rsidP="00056516">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0E50F1">
              <w:rPr>
                <w:rFonts w:ascii="Times" w:hAnsi="Times" w:cstheme="minorHAnsi"/>
              </w:rPr>
              <w:t>Permanent Residence</w:t>
            </w:r>
          </w:p>
        </w:tc>
      </w:tr>
      <w:tr w:rsidR="0013122A" w:rsidRPr="000E50F1" w14:paraId="1422A4F8" w14:textId="77777777" w:rsidTr="00056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3F3B5FAD"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PGWP</w:t>
            </w:r>
          </w:p>
        </w:tc>
        <w:tc>
          <w:tcPr>
            <w:tcW w:w="6184" w:type="dxa"/>
            <w:shd w:val="clear" w:color="auto" w:fill="FFFFFF" w:themeFill="background1"/>
            <w:vAlign w:val="bottom"/>
          </w:tcPr>
          <w:p w14:paraId="63D2415E" w14:textId="77777777" w:rsidR="0013122A" w:rsidRPr="000E50F1" w:rsidRDefault="0013122A" w:rsidP="00056516">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0E50F1">
              <w:rPr>
                <w:rFonts w:ascii="Times" w:hAnsi="Times" w:cstheme="minorHAnsi"/>
              </w:rPr>
              <w:t xml:space="preserve">Post-Graduation Work Permit  </w:t>
            </w:r>
          </w:p>
        </w:tc>
      </w:tr>
      <w:tr w:rsidR="0013122A" w:rsidRPr="000E50F1" w14:paraId="68EAE56D" w14:textId="77777777" w:rsidTr="00056516">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101F6E33"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PNP</w:t>
            </w:r>
          </w:p>
        </w:tc>
        <w:tc>
          <w:tcPr>
            <w:tcW w:w="6184" w:type="dxa"/>
            <w:shd w:val="clear" w:color="auto" w:fill="FFFFFF" w:themeFill="background1"/>
            <w:vAlign w:val="bottom"/>
          </w:tcPr>
          <w:p w14:paraId="20D36588" w14:textId="77777777" w:rsidR="0013122A" w:rsidRPr="000E50F1" w:rsidRDefault="0013122A" w:rsidP="00056516">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0E50F1">
              <w:rPr>
                <w:rFonts w:ascii="Times" w:hAnsi="Times" w:cstheme="minorHAnsi"/>
              </w:rPr>
              <w:t>Provincial Nominee Programs</w:t>
            </w:r>
          </w:p>
        </w:tc>
      </w:tr>
      <w:tr w:rsidR="0013122A" w:rsidRPr="000E50F1" w14:paraId="6B218E60" w14:textId="77777777" w:rsidTr="00056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dxa"/>
            <w:shd w:val="clear" w:color="auto" w:fill="FFFFFF" w:themeFill="background1"/>
            <w:vAlign w:val="bottom"/>
          </w:tcPr>
          <w:p w14:paraId="16706A54" w14:textId="77777777" w:rsidR="0013122A" w:rsidRPr="000E50F1" w:rsidRDefault="0013122A" w:rsidP="00056516">
            <w:pPr>
              <w:spacing w:line="276" w:lineRule="auto"/>
              <w:rPr>
                <w:rFonts w:ascii="Times" w:hAnsi="Times" w:cstheme="minorHAnsi"/>
                <w:b w:val="0"/>
                <w:bCs w:val="0"/>
              </w:rPr>
            </w:pPr>
            <w:r w:rsidRPr="000E50F1">
              <w:rPr>
                <w:rFonts w:ascii="Times" w:hAnsi="Times" w:cstheme="minorHAnsi"/>
                <w:b w:val="0"/>
                <w:bCs w:val="0"/>
              </w:rPr>
              <w:t>SWIS</w:t>
            </w:r>
          </w:p>
        </w:tc>
        <w:tc>
          <w:tcPr>
            <w:tcW w:w="6184" w:type="dxa"/>
            <w:shd w:val="clear" w:color="auto" w:fill="FFFFFF" w:themeFill="background1"/>
            <w:vAlign w:val="bottom"/>
          </w:tcPr>
          <w:p w14:paraId="71ABE949" w14:textId="77777777" w:rsidR="0013122A" w:rsidRPr="000E50F1" w:rsidRDefault="0013122A" w:rsidP="00056516">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0E50F1">
              <w:rPr>
                <w:rFonts w:ascii="Times" w:hAnsi="Times" w:cstheme="minorHAnsi"/>
              </w:rPr>
              <w:t>Settlement Worker in Schools</w:t>
            </w:r>
          </w:p>
        </w:tc>
      </w:tr>
    </w:tbl>
    <w:p w14:paraId="6A71BFCF" w14:textId="16FD9821" w:rsidR="00904D3E" w:rsidRPr="000E50F1" w:rsidRDefault="00673590">
      <w:pPr>
        <w:rPr>
          <w:rFonts w:eastAsia="Calibri"/>
          <w:lang w:val="en-US"/>
        </w:rPr>
      </w:pPr>
      <w:r w:rsidRPr="000E50F1">
        <w:rPr>
          <w:rFonts w:ascii="Times" w:eastAsia="Calibri" w:hAnsi="Times"/>
        </w:rPr>
        <w:br w:type="page"/>
      </w:r>
    </w:p>
    <w:p w14:paraId="1D66C628" w14:textId="5B9E1F7B" w:rsidR="0013122A" w:rsidRPr="000E50F1" w:rsidRDefault="0013122A" w:rsidP="0013122A">
      <w:pPr>
        <w:pStyle w:val="Heading1"/>
        <w:spacing w:before="0" w:line="240" w:lineRule="auto"/>
        <w:jc w:val="center"/>
        <w:rPr>
          <w:rFonts w:ascii="Times" w:eastAsia="Calibri" w:hAnsi="Times"/>
          <w:color w:val="auto"/>
          <w:sz w:val="24"/>
          <w:szCs w:val="24"/>
        </w:rPr>
      </w:pPr>
      <w:bookmarkStart w:id="5" w:name="_Toc60231890"/>
      <w:r w:rsidRPr="000E50F1">
        <w:rPr>
          <w:rFonts w:ascii="Times" w:eastAsia="Calibri" w:hAnsi="Times"/>
          <w:color w:val="auto"/>
          <w:sz w:val="24"/>
          <w:szCs w:val="24"/>
        </w:rPr>
        <w:lastRenderedPageBreak/>
        <w:t>PREFACE</w:t>
      </w:r>
      <w:bookmarkEnd w:id="5"/>
    </w:p>
    <w:p w14:paraId="0ACCBD02" w14:textId="77777777" w:rsidR="0013122A" w:rsidRPr="000E50F1" w:rsidRDefault="0013122A" w:rsidP="0013122A">
      <w:pPr>
        <w:rPr>
          <w:rFonts w:eastAsia="Calibri"/>
          <w:lang w:val="en-US"/>
        </w:rPr>
      </w:pPr>
    </w:p>
    <w:p w14:paraId="6B7BAC59" w14:textId="77777777" w:rsidR="0013122A" w:rsidRPr="000E50F1" w:rsidRDefault="0013122A" w:rsidP="0013122A">
      <w:pPr>
        <w:rPr>
          <w:rFonts w:eastAsia="Calibri"/>
          <w:lang w:val="en-US"/>
        </w:rPr>
      </w:pPr>
    </w:p>
    <w:p w14:paraId="028FBC23" w14:textId="77777777" w:rsidR="0013122A" w:rsidRPr="000E50F1" w:rsidRDefault="0013122A" w:rsidP="0013122A">
      <w:pPr>
        <w:rPr>
          <w:b/>
        </w:rPr>
      </w:pPr>
      <w:r w:rsidRPr="000E50F1">
        <w:t xml:space="preserve">The headline of the </w:t>
      </w:r>
      <w:r w:rsidRPr="000E50F1">
        <w:rPr>
          <w:i/>
          <w:iCs/>
        </w:rPr>
        <w:t>Hamilton Spectator</w:t>
      </w:r>
      <w:r w:rsidRPr="000E50F1">
        <w:t xml:space="preserve"> on Saturday, January 15, 2011 announced, “The SISO empire falls”, and reads: </w:t>
      </w:r>
    </w:p>
    <w:p w14:paraId="5F312A1C" w14:textId="77777777" w:rsidR="0013122A" w:rsidRPr="000E50F1" w:rsidRDefault="0013122A" w:rsidP="0013122A"/>
    <w:p w14:paraId="7C295222" w14:textId="05D698D0" w:rsidR="0013122A" w:rsidRPr="000E50F1" w:rsidRDefault="0013122A" w:rsidP="003A77BD">
      <w:pPr>
        <w:ind w:left="567" w:right="559"/>
      </w:pPr>
      <w:r w:rsidRPr="000E50F1">
        <w:t>“Hamilton's Settlement and Integration Services Organization [SISO] has secured the services of financial firm KPMG, which has filed a notice of intention, the first step toward dissolving the agency […] The embattled settlement agency, once the largest in the city, began to unravel last September when the federal government chopped its funding because of financial irregularities. More cuts followed and SISO was forced to close even more programs. Citizenship and Immigrant Canada (CIC) confirmed Friday that close to $20 million will be allocated to 22 settlement services in Hamilton this spring but none of it will go to SISO […] It's the fall of an empire that once provided support to about 400 government-assisted refugees a year and helped 8,000 immigrants get access to services. SISO saw its funding quadruple from 2005/2006 when it was receiving $3 million to last year when it received more than $12 million. Ottawa accounted for 80 per cent of its revenue. SISO's provincial funds have also been frozen and last week the agency laid off its entire staff of 150 […] Mayor Bob Bratina said he is "worried" about settlement services in the city and has asked for a staff report to make sure immigrants are still being helped.” (Davey 2011)</w:t>
      </w:r>
    </w:p>
    <w:p w14:paraId="5840CAA7" w14:textId="77777777" w:rsidR="0013122A" w:rsidRPr="000E50F1" w:rsidRDefault="0013122A" w:rsidP="0013122A"/>
    <w:p w14:paraId="48AB3C83" w14:textId="52AB6E38" w:rsidR="0013122A" w:rsidRPr="000E50F1" w:rsidRDefault="006241D0" w:rsidP="0013122A">
      <w:r w:rsidRPr="000E50F1">
        <w:t>With much uncertainty and concerns in the months to come</w:t>
      </w:r>
      <w:r w:rsidR="00694033" w:rsidRPr="000E50F1">
        <w:t xml:space="preserve"> following the dissolvement of SISO in early 2011</w:t>
      </w:r>
      <w:r w:rsidRPr="000E50F1">
        <w:t>, s</w:t>
      </w:r>
      <w:r w:rsidR="0013122A" w:rsidRPr="000E50F1">
        <w:t xml:space="preserve">ettlement </w:t>
      </w:r>
      <w:r w:rsidRPr="000E50F1">
        <w:t xml:space="preserve">was </w:t>
      </w:r>
      <w:r w:rsidR="0013122A" w:rsidRPr="000E50F1">
        <w:t>rapidly</w:t>
      </w:r>
      <w:r w:rsidRPr="000E50F1">
        <w:t xml:space="preserve"> </w:t>
      </w:r>
      <w:r w:rsidR="0013122A" w:rsidRPr="000E50F1">
        <w:t>chang</w:t>
      </w:r>
      <w:r w:rsidRPr="000E50F1">
        <w:t>ing</w:t>
      </w:r>
      <w:r w:rsidR="0013122A" w:rsidRPr="000E50F1">
        <w:t xml:space="preserve"> in Hamilton, Ontario</w:t>
      </w:r>
      <w:r w:rsidRPr="000E50F1">
        <w:t xml:space="preserve">. </w:t>
      </w:r>
      <w:r w:rsidR="0013122A" w:rsidRPr="000E50F1">
        <w:t xml:space="preserve">Once considered a model of successful strategy and programming for immigrants and refugees, the saga of SISO’s ‘one-stop-shop’ model in immigrant settlement service delivery had come to an end. Fortunately, the relatively young Hamilton Immigration Partnership Council (HIPC) had been working to bring together partners from institutions, settlement provider organizations, and other key stakeholders </w:t>
      </w:r>
      <w:r w:rsidR="00694033" w:rsidRPr="000E50F1">
        <w:t xml:space="preserve">groups </w:t>
      </w:r>
      <w:r w:rsidR="0013122A" w:rsidRPr="000E50F1">
        <w:t xml:space="preserve">(including local government) to form a more cohesive network of providers. HIPC is Hamilton’s Local Immigration Partnership (LIP), which is a federally funded initiative that began in 2009. During this time, HIPC’s Program Director, Tim Rees, and secretariats had been hard at work conducting research and </w:t>
      </w:r>
      <w:r w:rsidR="00694033" w:rsidRPr="000E50F1">
        <w:t>gathering</w:t>
      </w:r>
      <w:r w:rsidR="0013122A" w:rsidRPr="000E50F1">
        <w:t xml:space="preserve"> various sector partners</w:t>
      </w:r>
      <w:r w:rsidR="00694033" w:rsidRPr="000E50F1">
        <w:t xml:space="preserve"> to this community table</w:t>
      </w:r>
      <w:r w:rsidR="0013122A" w:rsidRPr="000E50F1">
        <w:t xml:space="preserve">. However, it was the closure of SISO that propelled </w:t>
      </w:r>
      <w:r w:rsidR="00694033" w:rsidRPr="000E50F1">
        <w:t>HIPC’s</w:t>
      </w:r>
      <w:r w:rsidR="0013122A" w:rsidRPr="000E50F1">
        <w:t xml:space="preserve"> collective vision and mandat</w:t>
      </w:r>
      <w:r w:rsidR="00694033" w:rsidRPr="000E50F1">
        <w:t xml:space="preserve">e—of </w:t>
      </w:r>
      <w:r w:rsidR="0013122A" w:rsidRPr="000E50F1">
        <w:t xml:space="preserve">a new form of collaboration, connection, co-ordination, mobilization, and accountability through </w:t>
      </w:r>
      <w:r w:rsidR="00694033" w:rsidRPr="000E50F1">
        <w:t>trusted</w:t>
      </w:r>
      <w:r w:rsidR="0013122A" w:rsidRPr="000E50F1">
        <w:t xml:space="preserve"> partnerships and local governance</w:t>
      </w:r>
      <w:r w:rsidR="00694033" w:rsidRPr="000E50F1">
        <w:t xml:space="preserve">—to </w:t>
      </w:r>
      <w:r w:rsidR="0013122A" w:rsidRPr="000E50F1">
        <w:t xml:space="preserve">the fore. </w:t>
      </w:r>
    </w:p>
    <w:p w14:paraId="6C3D513E" w14:textId="77777777" w:rsidR="0013122A" w:rsidRPr="000E50F1" w:rsidRDefault="0013122A" w:rsidP="0013122A"/>
    <w:p w14:paraId="0762A7B2" w14:textId="7E3F573B" w:rsidR="0013122A" w:rsidRPr="000E50F1" w:rsidRDefault="00694033" w:rsidP="0013122A">
      <w:r w:rsidRPr="000E50F1">
        <w:t>As a former refugee to Canada and newcomer to Hamilton, I</w:t>
      </w:r>
      <w:r w:rsidR="0013122A" w:rsidRPr="000E50F1">
        <w:t xml:space="preserve"> was drawn to these concerns as a result of SISO’s dissolvement, and felt that I could best gain access </w:t>
      </w:r>
      <w:r w:rsidRPr="000E50F1">
        <w:lastRenderedPageBreak/>
        <w:t xml:space="preserve">with </w:t>
      </w:r>
      <w:r w:rsidR="0013122A" w:rsidRPr="000E50F1">
        <w:t xml:space="preserve">boots on the ground via a doctoral research project. By the summer of 2011, I had successfully applied </w:t>
      </w:r>
      <w:r w:rsidRPr="000E50F1">
        <w:t xml:space="preserve">to </w:t>
      </w:r>
      <w:r w:rsidR="0013122A" w:rsidRPr="000E50F1">
        <w:t>the PhD program at McMaster University</w:t>
      </w:r>
      <w:r w:rsidR="00E4219D" w:rsidRPr="000E50F1">
        <w:t>,</w:t>
      </w:r>
      <w:r w:rsidR="0013122A" w:rsidRPr="000E50F1">
        <w:t xml:space="preserve"> and </w:t>
      </w:r>
      <w:r w:rsidRPr="000E50F1">
        <w:t>the</w:t>
      </w:r>
      <w:r w:rsidR="0013122A" w:rsidRPr="000E50F1">
        <w:t xml:space="preserve"> Hamilton Immigration Partnership Council, which gave me a front row seat to current issues in immigration, settlement, and integration in Hamilton. Tim Rees, an early supporter of my research to explore and understand Hamilton’s shifting settlement </w:t>
      </w:r>
      <w:r w:rsidR="00E4219D" w:rsidRPr="000E50F1">
        <w:t>landscape</w:t>
      </w:r>
      <w:r w:rsidR="0013122A" w:rsidRPr="000E50F1">
        <w:t>, invited me to volunteer in the HIPC office in fall 2011</w:t>
      </w:r>
      <w:r w:rsidR="00E4219D" w:rsidRPr="000E50F1">
        <w:t xml:space="preserve">. </w:t>
      </w:r>
      <w:r w:rsidR="0013122A" w:rsidRPr="000E50F1">
        <w:t xml:space="preserve">I would spend many hours reviewing </w:t>
      </w:r>
      <w:r w:rsidR="00E4219D" w:rsidRPr="000E50F1">
        <w:t xml:space="preserve">LIP </w:t>
      </w:r>
      <w:r w:rsidR="0013122A" w:rsidRPr="000E50F1">
        <w:t>polic</w:t>
      </w:r>
      <w:r w:rsidR="00E4219D" w:rsidRPr="000E50F1">
        <w:t xml:space="preserve">ies to understand how the LIP had come into </w:t>
      </w:r>
      <w:r w:rsidR="008A4969" w:rsidRPr="000E50F1">
        <w:t>existence</w:t>
      </w:r>
      <w:r w:rsidR="00E4219D" w:rsidRPr="000E50F1">
        <w:t xml:space="preserve"> across Canada in addition to my </w:t>
      </w:r>
      <w:r w:rsidR="008A4969" w:rsidRPr="000E50F1">
        <w:t xml:space="preserve">research assistant </w:t>
      </w:r>
      <w:r w:rsidR="00E4219D" w:rsidRPr="000E50F1">
        <w:t xml:space="preserve">work </w:t>
      </w:r>
      <w:r w:rsidR="008A4969" w:rsidRPr="000E50F1">
        <w:t xml:space="preserve">at </w:t>
      </w:r>
      <w:r w:rsidR="00E4219D" w:rsidRPr="000E50F1">
        <w:t>with Dr. Bruce Newbold</w:t>
      </w:r>
      <w:r w:rsidR="00B339A1" w:rsidRPr="000E50F1">
        <w:t>—wh</w:t>
      </w:r>
      <w:r w:rsidR="00E4219D" w:rsidRPr="000E50F1">
        <w:t xml:space="preserve">o was the Health Domain Lead for </w:t>
      </w:r>
      <w:r w:rsidR="008A4969" w:rsidRPr="000E50F1">
        <w:t>‘</w:t>
      </w:r>
      <w:r w:rsidR="00E4219D" w:rsidRPr="000E50F1">
        <w:t>Welcoming Communities</w:t>
      </w:r>
      <w:r w:rsidR="008A4969" w:rsidRPr="000E50F1">
        <w:t xml:space="preserve"> Initiatives’ (now renamed as ‘Pathways to Prosperity’)</w:t>
      </w:r>
      <w:r w:rsidR="00B339A1" w:rsidRPr="000E50F1">
        <w:t>—examining promising practices in health and health care</w:t>
      </w:r>
      <w:r w:rsidR="00B339A1" w:rsidRPr="000E50F1">
        <w:rPr>
          <w:rStyle w:val="FootnoteReference"/>
        </w:rPr>
        <w:footnoteReference w:id="1"/>
      </w:r>
      <w:r w:rsidR="0013122A" w:rsidRPr="000E50F1">
        <w:t xml:space="preserve">. My academic goal from the beginning was to design and conduct research that was not only relevant to the community, but driven by needs on the ground. Over the course of my academic journey, much of my own </w:t>
      </w:r>
      <w:r w:rsidR="00E4219D" w:rsidRPr="000E50F1">
        <w:t xml:space="preserve">lived </w:t>
      </w:r>
      <w:r w:rsidR="0013122A" w:rsidRPr="000E50F1">
        <w:t>experience</w:t>
      </w:r>
      <w:r w:rsidR="00E4219D" w:rsidRPr="000E50F1">
        <w:t xml:space="preserve">, </w:t>
      </w:r>
      <w:r w:rsidR="0013122A" w:rsidRPr="000E50F1">
        <w:t xml:space="preserve">field observations, </w:t>
      </w:r>
      <w:r w:rsidR="008A4969" w:rsidRPr="000E50F1">
        <w:t xml:space="preserve">changing </w:t>
      </w:r>
      <w:r w:rsidR="0013122A" w:rsidRPr="000E50F1">
        <w:t>life circumstances</w:t>
      </w:r>
      <w:r w:rsidR="008A4969" w:rsidRPr="000E50F1">
        <w:t xml:space="preserve">, identity as a young, racialized women, and evolving skills and confidence as a researcher combined with the emerging and shifting community context </w:t>
      </w:r>
      <w:r w:rsidR="0013122A" w:rsidRPr="000E50F1">
        <w:t xml:space="preserve">began to inspire the topics of focus that has come together </w:t>
      </w:r>
      <w:r w:rsidR="008A4969" w:rsidRPr="000E50F1">
        <w:t>to</w:t>
      </w:r>
      <w:r w:rsidR="00E4219D" w:rsidRPr="000E50F1">
        <w:t xml:space="preserve"> form</w:t>
      </w:r>
      <w:r w:rsidR="0013122A" w:rsidRPr="000E50F1">
        <w:t xml:space="preserve"> </w:t>
      </w:r>
      <w:r w:rsidR="008A4969" w:rsidRPr="000E50F1">
        <w:t xml:space="preserve">this </w:t>
      </w:r>
      <w:r w:rsidR="0013122A" w:rsidRPr="000E50F1">
        <w:t xml:space="preserve">dissertation. These reflections are captured in my biography in Appendix </w:t>
      </w:r>
      <w:r w:rsidR="00D63BD7" w:rsidRPr="000E50F1">
        <w:t>A</w:t>
      </w:r>
      <w:r w:rsidR="00AF7E11" w:rsidRPr="000E50F1">
        <w:t xml:space="preserve"> and Appendix </w:t>
      </w:r>
      <w:r w:rsidR="00D63BD7" w:rsidRPr="000E50F1">
        <w:t>B</w:t>
      </w:r>
      <w:r w:rsidR="0013122A" w:rsidRPr="000E50F1">
        <w:t xml:space="preserve"> </w:t>
      </w:r>
      <w:r w:rsidR="00AF7E11" w:rsidRPr="000E50F1">
        <w:t xml:space="preserve">to </w:t>
      </w:r>
      <w:r w:rsidR="0013122A" w:rsidRPr="000E50F1">
        <w:t xml:space="preserve">demonstrate the transparent and reflexive process of a researcher’s journey in shaping and materializing this construction of meanings. </w:t>
      </w:r>
    </w:p>
    <w:p w14:paraId="6EC807FE" w14:textId="77777777" w:rsidR="0013122A" w:rsidRPr="000E50F1" w:rsidRDefault="0013122A" w:rsidP="0013122A"/>
    <w:p w14:paraId="0AE77B2F" w14:textId="452BACA6" w:rsidR="0013122A" w:rsidRPr="000E50F1" w:rsidRDefault="0013122A" w:rsidP="0013122A">
      <w:r w:rsidRPr="000E50F1">
        <w:t xml:space="preserve">In this </w:t>
      </w:r>
      <w:r w:rsidR="0092640F" w:rsidRPr="000E50F1">
        <w:t>thesis</w:t>
      </w:r>
      <w:r w:rsidRPr="000E50F1">
        <w:t xml:space="preserve">, I examine the changing context of immigration, settlement and integration that emerged from 2011 to 2020, and explore the social transformation of place in Hamilton, Ontario in three separate studies. The following describes the research projects captured in this dissertation in the order of data collection: </w:t>
      </w:r>
    </w:p>
    <w:p w14:paraId="6D6D80BB" w14:textId="77777777" w:rsidR="0013122A" w:rsidRPr="000E50F1" w:rsidRDefault="0013122A" w:rsidP="0013122A"/>
    <w:p w14:paraId="1CF06ACA" w14:textId="77777777" w:rsidR="0013122A" w:rsidRPr="000E50F1" w:rsidRDefault="0013122A" w:rsidP="0013122A">
      <w:pPr>
        <w:rPr>
          <w:i/>
          <w:iCs/>
        </w:rPr>
      </w:pPr>
      <w:r w:rsidRPr="000E50F1">
        <w:rPr>
          <w:i/>
          <w:iCs/>
        </w:rPr>
        <w:t>1) Integration: Youth Mental Health (2013-2014)</w:t>
      </w:r>
    </w:p>
    <w:p w14:paraId="4E3D8DBD" w14:textId="69531C04" w:rsidR="0013122A" w:rsidRPr="000E50F1" w:rsidRDefault="0013122A" w:rsidP="0013122A">
      <w:r w:rsidRPr="000E50F1">
        <w:t xml:space="preserve">During my first two years at HIPC, I </w:t>
      </w:r>
      <w:r w:rsidR="00845D3C" w:rsidRPr="000E50F1">
        <w:t xml:space="preserve">became </w:t>
      </w:r>
      <w:r w:rsidRPr="000E50F1">
        <w:t xml:space="preserve">interested in exploring issues of newcomer mental health in Hamilton given the number of programs </w:t>
      </w:r>
      <w:r w:rsidR="00A3401D" w:rsidRPr="000E50F1">
        <w:t xml:space="preserve">led by </w:t>
      </w:r>
      <w:r w:rsidRPr="000E50F1">
        <w:t xml:space="preserve">HIPC partners, all of which focused on bridging the </w:t>
      </w:r>
      <w:r w:rsidR="00A3401D" w:rsidRPr="000E50F1">
        <w:t xml:space="preserve">mental health </w:t>
      </w:r>
      <w:r w:rsidRPr="000E50F1">
        <w:t>service gap for newcomer</w:t>
      </w:r>
      <w:r w:rsidR="00A3401D" w:rsidRPr="000E50F1">
        <w:t>s</w:t>
      </w:r>
      <w:r w:rsidRPr="000E50F1">
        <w:t xml:space="preserve">. Programs led by the Hamilton Civic Centre for Inclusion, YMCA Hamilton, and Thrive were providing health education and improving service access for newcomer families via different approaches, including training ethno-cultural brokers, partnering with settlement workers in schools, and improving culturally safe practices in healthcare delivery. The research completed in chapter four explores the Settlement Workers in Schools (SWIS) program with newcomer students and families. Data was collected with nine settlement workers in Hamilton from September 2013 to March 2014. </w:t>
      </w:r>
    </w:p>
    <w:p w14:paraId="514FFAD1" w14:textId="47C6F514" w:rsidR="00B339A1" w:rsidRPr="000E50F1" w:rsidRDefault="00B339A1" w:rsidP="0013122A">
      <w:pPr>
        <w:rPr>
          <w:i/>
          <w:iCs/>
        </w:rPr>
      </w:pPr>
    </w:p>
    <w:p w14:paraId="36B4EBA4" w14:textId="77777777" w:rsidR="00543331" w:rsidRPr="000E50F1" w:rsidRDefault="00543331" w:rsidP="0013122A">
      <w:pPr>
        <w:rPr>
          <w:i/>
          <w:iCs/>
        </w:rPr>
      </w:pPr>
    </w:p>
    <w:p w14:paraId="2B42AC0F" w14:textId="143506BB" w:rsidR="0013122A" w:rsidRPr="000E50F1" w:rsidRDefault="0013122A" w:rsidP="0013122A">
      <w:pPr>
        <w:rPr>
          <w:i/>
          <w:iCs/>
        </w:rPr>
      </w:pPr>
      <w:r w:rsidRPr="000E50F1">
        <w:rPr>
          <w:i/>
          <w:iCs/>
        </w:rPr>
        <w:lastRenderedPageBreak/>
        <w:t>2) Immigration: International Students in Canada (2016-2017)</w:t>
      </w:r>
    </w:p>
    <w:p w14:paraId="37CF74FF" w14:textId="220D1A1C" w:rsidR="0013122A" w:rsidRPr="000E50F1" w:rsidRDefault="0013122A" w:rsidP="0013122A">
      <w:r w:rsidRPr="000E50F1">
        <w:t xml:space="preserve">In the spring of 2016, the executive board of Global Hamilton Connect </w:t>
      </w:r>
      <w:r w:rsidR="00886E54" w:rsidRPr="000E50F1">
        <w:t xml:space="preserve">(GHC) </w:t>
      </w:r>
      <w:r w:rsidRPr="000E50F1">
        <w:t xml:space="preserve">(a group I co-founded and co-chaired in 2014 and 2015) met to discuss the challenges experienced by international students in Hamilton. Much discussion had arisen anecdotally regarding the impact of the new Express Entry processing system which </w:t>
      </w:r>
      <w:r w:rsidR="00886E54" w:rsidRPr="000E50F1">
        <w:t xml:space="preserve">had </w:t>
      </w:r>
      <w:r w:rsidRPr="000E50F1">
        <w:t>le</w:t>
      </w:r>
      <w:r w:rsidR="00886E54" w:rsidRPr="000E50F1">
        <w:t>ft</w:t>
      </w:r>
      <w:r w:rsidRPr="000E50F1">
        <w:t xml:space="preserve"> many in precarious employment and life circumstances. Data in chapter three was gathered from September 2016 to February 2017, which  examined policy documents, newspaper articles, and year-end data from </w:t>
      </w:r>
      <w:r w:rsidR="00B93409" w:rsidRPr="000E50F1">
        <w:rPr>
          <w:rFonts w:ascii="Times" w:hAnsi="Times"/>
        </w:rPr>
        <w:t>Immigration, Refugees and Citizenship Canada</w:t>
      </w:r>
      <w:r w:rsidR="00B93409" w:rsidRPr="000E50F1">
        <w:t xml:space="preserve"> (</w:t>
      </w:r>
      <w:r w:rsidRPr="000E50F1">
        <w:t>IRCC</w:t>
      </w:r>
      <w:r w:rsidR="00B93409" w:rsidRPr="000E50F1">
        <w:t>)</w:t>
      </w:r>
      <w:r w:rsidRPr="000E50F1">
        <w:t xml:space="preserve"> to investigate the barriers to permanent residence facing </w:t>
      </w:r>
      <w:r w:rsidR="00B93409" w:rsidRPr="000E50F1">
        <w:t xml:space="preserve">international student following post-secondary </w:t>
      </w:r>
      <w:r w:rsidRPr="000E50F1">
        <w:t>graduat</w:t>
      </w:r>
      <w:r w:rsidR="00B93409" w:rsidRPr="000E50F1">
        <w:t>ion</w:t>
      </w:r>
      <w:r w:rsidRPr="000E50F1">
        <w:t>. Th</w:t>
      </w:r>
      <w:r w:rsidR="00886E54" w:rsidRPr="000E50F1">
        <w:t>is</w:t>
      </w:r>
      <w:r w:rsidRPr="000E50F1">
        <w:t xml:space="preserve"> research was motivated by </w:t>
      </w:r>
      <w:r w:rsidR="00886E54" w:rsidRPr="000E50F1">
        <w:t>GHC’s</w:t>
      </w:r>
      <w:r w:rsidRPr="000E50F1">
        <w:t xml:space="preserve"> </w:t>
      </w:r>
      <w:r w:rsidR="00886E54" w:rsidRPr="000E50F1">
        <w:t xml:space="preserve">emergent operating principle of </w:t>
      </w:r>
      <w:r w:rsidRPr="000E50F1">
        <w:t xml:space="preserve">creating dialogue, support, and advocacy at the local-level. An editorial was published in the </w:t>
      </w:r>
      <w:r w:rsidRPr="000E50F1">
        <w:rPr>
          <w:i/>
          <w:iCs/>
        </w:rPr>
        <w:t>Hamilton Spectator</w:t>
      </w:r>
      <w:r w:rsidRPr="000E50F1">
        <w:t xml:space="preserve"> on December 8, 2017 outlining these barriers and its implication for Hamilton’s future. Following this, meeting</w:t>
      </w:r>
      <w:r w:rsidR="00B93409" w:rsidRPr="000E50F1">
        <w:t xml:space="preserve">s—with </w:t>
      </w:r>
      <w:r w:rsidRPr="000E50F1">
        <w:t>the local Member of Parliament (Ms. Filomena Tassi), the Mayor of Hamilton (Mr. Fred Eisenberger), the president of McMaster University (Dr. Patrick Deane), and Mohawk College Dean of International and Partnerships (Mr. Keith Monrose)</w:t>
      </w:r>
      <w:r w:rsidR="00B93409" w:rsidRPr="000E50F1">
        <w:t xml:space="preserve">—were held </w:t>
      </w:r>
      <w:r w:rsidRPr="000E50F1">
        <w:t xml:space="preserve">in 2018 to discuss ways support can be leveraged locally. </w:t>
      </w:r>
    </w:p>
    <w:p w14:paraId="2CC8214C" w14:textId="77777777" w:rsidR="0013122A" w:rsidRPr="000E50F1" w:rsidRDefault="0013122A" w:rsidP="0013122A"/>
    <w:p w14:paraId="14B21F1A" w14:textId="134D1E61" w:rsidR="0013122A" w:rsidRPr="000E50F1" w:rsidRDefault="0013122A" w:rsidP="0013122A">
      <w:pPr>
        <w:rPr>
          <w:i/>
          <w:iCs/>
        </w:rPr>
      </w:pPr>
      <w:r w:rsidRPr="000E50F1">
        <w:rPr>
          <w:i/>
          <w:iCs/>
        </w:rPr>
        <w:t xml:space="preserve">3) Settlement: </w:t>
      </w:r>
      <w:r w:rsidR="002E3EC5" w:rsidRPr="000E50F1">
        <w:rPr>
          <w:i/>
          <w:iCs/>
        </w:rPr>
        <w:t>HIPC</w:t>
      </w:r>
      <w:r w:rsidR="006E5207" w:rsidRPr="000E50F1">
        <w:rPr>
          <w:i/>
          <w:iCs/>
        </w:rPr>
        <w:t xml:space="preserve"> during</w:t>
      </w:r>
      <w:r w:rsidR="00173BD7" w:rsidRPr="000E50F1">
        <w:rPr>
          <w:i/>
          <w:iCs/>
        </w:rPr>
        <w:t xml:space="preserve"> </w:t>
      </w:r>
      <w:r w:rsidRPr="000E50F1">
        <w:rPr>
          <w:i/>
          <w:iCs/>
        </w:rPr>
        <w:t>Syrian Refugee Resettlement (2016-2017)</w:t>
      </w:r>
    </w:p>
    <w:p w14:paraId="105FEEA8" w14:textId="7EEED2BD" w:rsidR="0013122A" w:rsidRPr="000E50F1" w:rsidRDefault="0013122A" w:rsidP="0013122A">
      <w:r w:rsidRPr="000E50F1">
        <w:t>Although the Syrian refugee crisis had been ongoing for many months prior to the fall of 2015, the image of a three</w:t>
      </w:r>
      <w:r w:rsidRPr="000E50F1">
        <w:rPr>
          <w:rFonts w:ascii="Cambria Math" w:hAnsi="Cambria Math" w:cs="Cambria Math"/>
        </w:rPr>
        <w:t>‐</w:t>
      </w:r>
      <w:r w:rsidRPr="000E50F1">
        <w:t>year</w:t>
      </w:r>
      <w:r w:rsidRPr="000E50F1">
        <w:rPr>
          <w:rFonts w:ascii="Cambria Math" w:hAnsi="Cambria Math" w:cs="Cambria Math"/>
        </w:rPr>
        <w:t>‐</w:t>
      </w:r>
      <w:r w:rsidRPr="000E50F1">
        <w:t xml:space="preserve">old Syrian refugee boy, Alan Kurdi, whose family had been trying to reach Canada prompted public outcry across Canada urging a more robust Canadian response to the crisis. Within five days of the photo’s publication, two local public rallies were held in Hamilton (Fragomeni 2015). Alan’s death immediately caused an upsurge in public concern over the refugee crisis globally and Hamiltonians wanted to be part of the solution. Immigration Minister John McCallum was on the phone with Hamilton’s Mayor Fred Eisenberger in November 2015 to thank him in advance for welcoming Syrians to the city. </w:t>
      </w:r>
      <w:r w:rsidR="003F5DAC" w:rsidRPr="000E50F1">
        <w:t>A</w:t>
      </w:r>
      <w:r w:rsidRPr="000E50F1">
        <w:t xml:space="preserve"> critical moment was </w:t>
      </w:r>
      <w:r w:rsidR="003F5DAC" w:rsidRPr="000E50F1">
        <w:t xml:space="preserve">yet </w:t>
      </w:r>
      <w:r w:rsidRPr="000E50F1">
        <w:t>unfolding in Hamilton and many (including private sponsors) were looking for an inclusive</w:t>
      </w:r>
      <w:r w:rsidR="003F5DAC" w:rsidRPr="000E50F1">
        <w:t xml:space="preserve"> mechanism and a</w:t>
      </w:r>
      <w:r w:rsidRPr="000E50F1">
        <w:t xml:space="preserve"> community-wide, coordinated response. In early 2016, a rapid evaluation initiative by Social Sciences and Humanities Research Council of Canada in partnership with IRCC was instigated to collate community experiences across Canada to capture the impact of this influx. A research team from Waterloo and Ottawa (under the direction of Dr. Margaret Walton-Roberts and Dr. Luisa Veronis, respectively) had coalesced to conduct a comparative case study of three mid-size Canadian city during the Syrian Refugee Resettlement Initiative (SRRI) that would include the Hamilton Local Immigration Partnership (LIP). I was invited to co-lead the Hamilton case study </w:t>
      </w:r>
      <w:r w:rsidR="003F5DAC" w:rsidRPr="000E50F1">
        <w:t xml:space="preserve">to examine the role of HIPC during this time with Dr. Sarah Wayland, Project Lead for Global Hamilton in </w:t>
      </w:r>
      <w:r w:rsidR="002200D9" w:rsidRPr="000E50F1">
        <w:t xml:space="preserve">the </w:t>
      </w:r>
      <w:r w:rsidR="003F5DAC" w:rsidRPr="000E50F1">
        <w:t xml:space="preserve">Economic Development Division at the City of Hamilton at the time. Data in chapter three was collected from November 2016 to December 2016. </w:t>
      </w:r>
    </w:p>
    <w:p w14:paraId="4B535E13" w14:textId="77777777" w:rsidR="0013122A" w:rsidRPr="000E50F1" w:rsidRDefault="0013122A" w:rsidP="0013122A"/>
    <w:p w14:paraId="584CDDD6" w14:textId="7464A74C" w:rsidR="0013122A" w:rsidRPr="000E50F1" w:rsidRDefault="0013122A" w:rsidP="0013122A">
      <w:r w:rsidRPr="000E50F1">
        <w:lastRenderedPageBreak/>
        <w:t xml:space="preserve">Much of the work presented in this thesis reflects the immediate research needs in Hamilton from 2013 to 2017, and I was in a position to help do this work. This thesis merges my academic interests with the local needs I saw through my </w:t>
      </w:r>
      <w:r w:rsidR="00EB4974" w:rsidRPr="000E50F1">
        <w:t xml:space="preserve">participation at </w:t>
      </w:r>
      <w:r w:rsidRPr="000E50F1">
        <w:t>HIPC</w:t>
      </w:r>
      <w:r w:rsidR="001D63C3" w:rsidRPr="000E50F1">
        <w:t>, and my engagement in the community more broadly</w:t>
      </w:r>
      <w:r w:rsidRPr="000E50F1">
        <w:t xml:space="preserve">. This dissertation is formatted as a sandwich thesis and is presented as a collection of research papers on immigration, settlement, and integration. Chapter Two is formatted as a policy brief and was published in the </w:t>
      </w:r>
      <w:r w:rsidRPr="000E50F1">
        <w:rPr>
          <w:i/>
          <w:iCs/>
        </w:rPr>
        <w:t>Journal of International Migration and Integration</w:t>
      </w:r>
      <w:r w:rsidRPr="000E50F1">
        <w:t xml:space="preserve"> in 2018. Chapter Three is formatted as a manuscript and was published in </w:t>
      </w:r>
      <w:r w:rsidRPr="000E50F1">
        <w:rPr>
          <w:i/>
          <w:iCs/>
        </w:rPr>
        <w:t>The Canadian Geographer</w:t>
      </w:r>
      <w:r w:rsidRPr="000E50F1">
        <w:t xml:space="preserve"> in 2019. Chapter Four, formatted as a manuscript, was submitted to </w:t>
      </w:r>
      <w:r w:rsidRPr="000E50F1">
        <w:rPr>
          <w:i/>
          <w:iCs/>
        </w:rPr>
        <w:t>International Migration Review</w:t>
      </w:r>
      <w:r w:rsidRPr="000E50F1">
        <w:t xml:space="preserve"> in 2020 for publication. Each chapter is written in the preferred format specified by each journal.</w:t>
      </w:r>
    </w:p>
    <w:p w14:paraId="732D9871" w14:textId="77777777" w:rsidR="00A3401D" w:rsidRPr="000E50F1" w:rsidRDefault="00A3401D" w:rsidP="0013122A">
      <w:pPr>
        <w:rPr>
          <w:b/>
          <w:bCs/>
        </w:rPr>
      </w:pPr>
    </w:p>
    <w:p w14:paraId="17E739E7" w14:textId="62EE833D" w:rsidR="0013122A" w:rsidRPr="000E50F1" w:rsidRDefault="0013122A" w:rsidP="0013122A">
      <w:pPr>
        <w:rPr>
          <w:b/>
          <w:bCs/>
        </w:rPr>
      </w:pPr>
      <w:r w:rsidRPr="000E50F1">
        <w:rPr>
          <w:b/>
          <w:bCs/>
        </w:rPr>
        <w:t>Chapter Two</w:t>
      </w:r>
    </w:p>
    <w:p w14:paraId="1CA5209F" w14:textId="77777777" w:rsidR="0013122A" w:rsidRPr="000E50F1" w:rsidRDefault="0013122A" w:rsidP="0013122A">
      <w:pPr>
        <w:ind w:left="567" w:hanging="567"/>
      </w:pPr>
      <w:r w:rsidRPr="000E50F1">
        <w:t>Dam, H., Chan, J., &amp; Wayland, S. (2018). Missed opportunity: International students in Canada face barriers to permanent residence. </w:t>
      </w:r>
      <w:r w:rsidRPr="000E50F1">
        <w:rPr>
          <w:i/>
          <w:iCs/>
        </w:rPr>
        <w:t>Journal of International Migration and Integration, 19</w:t>
      </w:r>
      <w:r w:rsidRPr="000E50F1">
        <w:t>(4), 891-903.</w:t>
      </w:r>
    </w:p>
    <w:p w14:paraId="05E1351A" w14:textId="77777777" w:rsidR="0013122A" w:rsidRPr="000E50F1" w:rsidRDefault="0013122A" w:rsidP="0013122A"/>
    <w:p w14:paraId="2BBEE8E9" w14:textId="77777777" w:rsidR="0013122A" w:rsidRPr="000E50F1" w:rsidRDefault="0013122A" w:rsidP="0013122A">
      <w:pPr>
        <w:rPr>
          <w:b/>
          <w:bCs/>
        </w:rPr>
      </w:pPr>
      <w:r w:rsidRPr="000E50F1">
        <w:rPr>
          <w:b/>
          <w:bCs/>
        </w:rPr>
        <w:t>Chapter Three</w:t>
      </w:r>
    </w:p>
    <w:p w14:paraId="55F9EA8A" w14:textId="77777777" w:rsidR="0013122A" w:rsidRPr="000E50F1" w:rsidRDefault="0013122A" w:rsidP="0013122A">
      <w:pPr>
        <w:ind w:left="567" w:hanging="567"/>
      </w:pPr>
      <w:r w:rsidRPr="000E50F1">
        <w:t>Dam, H., &amp; Wayland, S. V. (2019). Syrian refugee resettlement: A case study of local response in Hamilton, Ontario. </w:t>
      </w:r>
      <w:r w:rsidRPr="000E50F1">
        <w:rPr>
          <w:i/>
          <w:iCs/>
        </w:rPr>
        <w:t>The Canadian Geographer/Le Géographe Canadien, 63</w:t>
      </w:r>
      <w:r w:rsidRPr="000E50F1">
        <w:t>(3), 360-373.</w:t>
      </w:r>
    </w:p>
    <w:p w14:paraId="6FA79D4D" w14:textId="77777777" w:rsidR="0013122A" w:rsidRPr="000E50F1" w:rsidRDefault="0013122A" w:rsidP="0013122A"/>
    <w:p w14:paraId="0C4A85C4" w14:textId="77777777" w:rsidR="0013122A" w:rsidRPr="000E50F1" w:rsidRDefault="0013122A" w:rsidP="0013122A">
      <w:pPr>
        <w:rPr>
          <w:b/>
          <w:bCs/>
        </w:rPr>
      </w:pPr>
      <w:r w:rsidRPr="000E50F1">
        <w:rPr>
          <w:b/>
          <w:bCs/>
        </w:rPr>
        <w:t>Chapter Four</w:t>
      </w:r>
    </w:p>
    <w:p w14:paraId="21FA6E2C" w14:textId="77777777" w:rsidR="0013122A" w:rsidRPr="000E50F1" w:rsidRDefault="0013122A" w:rsidP="0013122A">
      <w:pPr>
        <w:ind w:left="567" w:hanging="567"/>
      </w:pPr>
      <w:r w:rsidRPr="000E50F1">
        <w:t xml:space="preserve">Dam, H., &amp; Newbold, B. (2020).  Mental Health Access and Accessibility: Bridging Spaces of School-Based Settlement Services and School-Based Mental Health for Immigrant and Refugee Youth. Manuscript submitted for publication to </w:t>
      </w:r>
      <w:r w:rsidRPr="000E50F1">
        <w:rPr>
          <w:i/>
          <w:iCs/>
        </w:rPr>
        <w:t>International Migration Review</w:t>
      </w:r>
      <w:r w:rsidRPr="000E50F1">
        <w:t>.</w:t>
      </w:r>
    </w:p>
    <w:p w14:paraId="1F6149C8" w14:textId="77777777" w:rsidR="0013122A" w:rsidRPr="000E50F1" w:rsidRDefault="0013122A" w:rsidP="0013122A"/>
    <w:p w14:paraId="7132C6C1" w14:textId="69E7AFAD" w:rsidR="00893BE3" w:rsidRPr="000E50F1" w:rsidRDefault="0013122A" w:rsidP="0013122A">
      <w:r w:rsidRPr="000E50F1">
        <w:t xml:space="preserve">Huyen Dam, author of this PhD dissertation, undertook proposal development, recruitment, data collection, transcription, analysis of data, and writing of the policy brief and research papers. </w:t>
      </w:r>
    </w:p>
    <w:p w14:paraId="784B61ED" w14:textId="7EF8B861" w:rsidR="00893BE3" w:rsidRPr="000E50F1" w:rsidRDefault="00893BE3" w:rsidP="0013122A"/>
    <w:p w14:paraId="26C66809" w14:textId="30B51419" w:rsidR="00893BE3" w:rsidRPr="000E50F1" w:rsidRDefault="00893BE3" w:rsidP="0013122A">
      <w:pPr>
        <w:rPr>
          <w:b/>
          <w:bCs/>
        </w:rPr>
      </w:pPr>
      <w:r w:rsidRPr="000E50F1">
        <w:rPr>
          <w:b/>
          <w:bCs/>
        </w:rPr>
        <w:t>Acknowledgements</w:t>
      </w:r>
    </w:p>
    <w:p w14:paraId="2DD0C924" w14:textId="5C5B852C" w:rsidR="00893BE3" w:rsidRPr="000E50F1" w:rsidRDefault="00893BE3" w:rsidP="0013122A">
      <w:r w:rsidRPr="000E50F1">
        <w:t>First and foremost</w:t>
      </w:r>
      <w:r w:rsidR="006D17DC">
        <w:t>,</w:t>
      </w:r>
      <w:r w:rsidRPr="000E50F1">
        <w:t xml:space="preserve"> I would like to thank my research </w:t>
      </w:r>
      <w:r w:rsidR="00935086" w:rsidRPr="000E50F1">
        <w:t>participants</w:t>
      </w:r>
      <w:r w:rsidRPr="000E50F1">
        <w:t xml:space="preserve"> who shared </w:t>
      </w:r>
      <w:r w:rsidR="00935086" w:rsidRPr="000E50F1">
        <w:t>their</w:t>
      </w:r>
      <w:r w:rsidRPr="000E50F1">
        <w:t xml:space="preserve"> </w:t>
      </w:r>
      <w:r w:rsidR="00EB2827" w:rsidRPr="000E50F1">
        <w:t xml:space="preserve">candid </w:t>
      </w:r>
      <w:r w:rsidRPr="000E50F1">
        <w:t xml:space="preserve">stories with me. This research would not have been possible without their </w:t>
      </w:r>
      <w:r w:rsidR="00935086" w:rsidRPr="000E50F1">
        <w:t>participation</w:t>
      </w:r>
      <w:r w:rsidRPr="000E50F1">
        <w:t>. I would like to thank my supervisor</w:t>
      </w:r>
      <w:r w:rsidR="006D17DC">
        <w:t>,</w:t>
      </w:r>
      <w:r w:rsidRPr="000E50F1">
        <w:t xml:space="preserve"> </w:t>
      </w:r>
      <w:r w:rsidR="00935086" w:rsidRPr="000E50F1">
        <w:t>Professor</w:t>
      </w:r>
      <w:r w:rsidRPr="000E50F1">
        <w:t xml:space="preserve"> Bruce Newbold</w:t>
      </w:r>
      <w:r w:rsidR="006D17DC">
        <w:t>,</w:t>
      </w:r>
      <w:r w:rsidRPr="000E50F1">
        <w:t xml:space="preserve"> for his </w:t>
      </w:r>
      <w:r w:rsidR="00935086" w:rsidRPr="000E50F1">
        <w:t xml:space="preserve">ongoing </w:t>
      </w:r>
      <w:r w:rsidRPr="000E50F1">
        <w:t xml:space="preserve">support </w:t>
      </w:r>
      <w:r w:rsidR="00EB2827" w:rsidRPr="000E50F1">
        <w:t xml:space="preserve">and patience </w:t>
      </w:r>
      <w:r w:rsidR="00935086" w:rsidRPr="000E50F1">
        <w:t>throughout</w:t>
      </w:r>
      <w:r w:rsidRPr="000E50F1">
        <w:t xml:space="preserve"> </w:t>
      </w:r>
      <w:r w:rsidR="00935086" w:rsidRPr="000E50F1">
        <w:t>this process</w:t>
      </w:r>
      <w:r w:rsidR="0093739A">
        <w:t xml:space="preserve">, and allowing me to complete this thesis in a </w:t>
      </w:r>
      <w:r w:rsidR="0003583B">
        <w:t>manner</w:t>
      </w:r>
      <w:r w:rsidR="0093739A">
        <w:t xml:space="preserve"> that felt most authentic</w:t>
      </w:r>
      <w:r w:rsidR="00935086" w:rsidRPr="000E50F1">
        <w:t>. Gratitude is expressed to</w:t>
      </w:r>
      <w:r w:rsidR="00EB2827" w:rsidRPr="000E50F1">
        <w:t xml:space="preserve"> Dr. Charmaine Williams and Dr. Robert Wilton, members of my supervisory committee, for their guidance and feedback. I would also like to thank </w:t>
      </w:r>
      <w:r w:rsidR="00935086" w:rsidRPr="000E50F1">
        <w:t>my friend</w:t>
      </w:r>
      <w:r w:rsidR="00EB2827" w:rsidRPr="000E50F1">
        <w:t xml:space="preserve"> and colleague,</w:t>
      </w:r>
      <w:r w:rsidR="00935086" w:rsidRPr="000E50F1">
        <w:t xml:space="preserve"> Dr. Sarah Wayland</w:t>
      </w:r>
      <w:r w:rsidR="00EB2827" w:rsidRPr="000E50F1">
        <w:t>,</w:t>
      </w:r>
      <w:r w:rsidR="00935086" w:rsidRPr="000E50F1">
        <w:t xml:space="preserve"> for the opportunities that allowed the richness of </w:t>
      </w:r>
      <w:r w:rsidR="00EB2827" w:rsidRPr="000E50F1">
        <w:t>community</w:t>
      </w:r>
      <w:r w:rsidR="00935086" w:rsidRPr="000E50F1">
        <w:t xml:space="preserve"> and work experience </w:t>
      </w:r>
      <w:r w:rsidR="00EB2827" w:rsidRPr="000E50F1">
        <w:t xml:space="preserve">to </w:t>
      </w:r>
      <w:r w:rsidR="00935086" w:rsidRPr="000E50F1">
        <w:t xml:space="preserve">inform this work. Finally, </w:t>
      </w:r>
      <w:r w:rsidR="006D17DC">
        <w:t xml:space="preserve">to </w:t>
      </w:r>
      <w:r w:rsidR="00935086" w:rsidRPr="000E50F1">
        <w:t>my family and friends</w:t>
      </w:r>
      <w:r w:rsidR="006D17DC">
        <w:t>, thank you for your</w:t>
      </w:r>
      <w:r w:rsidR="00935086" w:rsidRPr="000E50F1">
        <w:t xml:space="preserve"> inspiration</w:t>
      </w:r>
      <w:r w:rsidR="00EB2827" w:rsidRPr="000E50F1">
        <w:t>, encouragement,</w:t>
      </w:r>
      <w:r w:rsidR="00935086" w:rsidRPr="000E50F1">
        <w:t xml:space="preserve"> and constant support.    </w:t>
      </w:r>
    </w:p>
    <w:p w14:paraId="3DA082EB" w14:textId="43FFDE49" w:rsidR="00893BE3" w:rsidRPr="000E50F1" w:rsidRDefault="00893BE3" w:rsidP="0013122A">
      <w:pPr>
        <w:sectPr w:rsidR="00893BE3" w:rsidRPr="000E50F1" w:rsidSect="00F86430">
          <w:headerReference w:type="default" r:id="rId10"/>
          <w:footerReference w:type="default" r:id="rId11"/>
          <w:pgSz w:w="12240" w:h="15840"/>
          <w:pgMar w:top="2155" w:right="2155" w:bottom="1418" w:left="2155" w:header="709" w:footer="709" w:gutter="0"/>
          <w:pgNumType w:fmt="lowerRoman" w:start="1"/>
          <w:cols w:space="708"/>
          <w:titlePg/>
          <w:docGrid w:linePitch="360"/>
        </w:sectPr>
      </w:pPr>
    </w:p>
    <w:p w14:paraId="612A118C" w14:textId="275F9CD7" w:rsidR="00567803" w:rsidRPr="000E50F1" w:rsidRDefault="00F734CB" w:rsidP="002B4FDC">
      <w:pPr>
        <w:pStyle w:val="Heading1"/>
        <w:spacing w:before="0" w:line="240" w:lineRule="auto"/>
        <w:jc w:val="center"/>
        <w:rPr>
          <w:rFonts w:ascii="Times" w:eastAsia="Calibri" w:hAnsi="Times"/>
          <w:b w:val="0"/>
          <w:color w:val="auto"/>
        </w:rPr>
      </w:pPr>
      <w:bookmarkStart w:id="6" w:name="_Toc60231891"/>
      <w:r w:rsidRPr="000E50F1">
        <w:rPr>
          <w:rFonts w:ascii="Times" w:eastAsia="Calibri" w:hAnsi="Times"/>
          <w:color w:val="auto"/>
          <w:sz w:val="24"/>
          <w:szCs w:val="24"/>
        </w:rPr>
        <w:lastRenderedPageBreak/>
        <w:t xml:space="preserve">CHAPTER ONE: </w:t>
      </w:r>
      <w:r w:rsidR="008A74B6" w:rsidRPr="000E50F1">
        <w:rPr>
          <w:rFonts w:ascii="Times" w:eastAsia="Calibri" w:hAnsi="Times"/>
          <w:color w:val="auto"/>
          <w:sz w:val="24"/>
          <w:szCs w:val="24"/>
        </w:rPr>
        <w:t>INTRODUCTION</w:t>
      </w:r>
      <w:bookmarkEnd w:id="6"/>
    </w:p>
    <w:p w14:paraId="41F8799E" w14:textId="745E677B" w:rsidR="00AD78A0" w:rsidRPr="000E50F1" w:rsidRDefault="00AD78A0" w:rsidP="00AD78A0">
      <w:pPr>
        <w:rPr>
          <w:rFonts w:ascii="Times" w:eastAsia="Calibri" w:hAnsi="Times"/>
          <w:lang w:val="en-US"/>
        </w:rPr>
      </w:pPr>
    </w:p>
    <w:p w14:paraId="48B36B75" w14:textId="35C4EAC2" w:rsidR="00DD2840" w:rsidRPr="000E50F1" w:rsidRDefault="00DD2840" w:rsidP="00AD78A0">
      <w:pPr>
        <w:rPr>
          <w:rFonts w:ascii="Times" w:hAnsi="Times" w:cs="Arial"/>
        </w:rPr>
      </w:pPr>
    </w:p>
    <w:p w14:paraId="65D23E05" w14:textId="2CBBEB3D" w:rsidR="000B44FF" w:rsidRPr="000E50F1" w:rsidRDefault="000B44FF" w:rsidP="000B44FF">
      <w:pPr>
        <w:pStyle w:val="Heading2"/>
        <w:spacing w:before="0" w:line="240" w:lineRule="auto"/>
        <w:rPr>
          <w:rFonts w:ascii="Times" w:hAnsi="Times" w:cs="Arial"/>
          <w:bCs/>
          <w:sz w:val="24"/>
          <w:szCs w:val="24"/>
          <w:lang w:val="en-CA"/>
        </w:rPr>
      </w:pPr>
      <w:bookmarkStart w:id="7" w:name="_Toc60231892"/>
      <w:r w:rsidRPr="000E50F1">
        <w:rPr>
          <w:rFonts w:ascii="Times" w:hAnsi="Times"/>
          <w:bCs/>
        </w:rPr>
        <w:t>1.1 Research Scope</w:t>
      </w:r>
      <w:bookmarkEnd w:id="7"/>
    </w:p>
    <w:p w14:paraId="4DA230BD" w14:textId="0CA9B602" w:rsidR="000B44FF" w:rsidRPr="000E50F1" w:rsidRDefault="000B44FF" w:rsidP="000B44FF">
      <w:pPr>
        <w:tabs>
          <w:tab w:val="left" w:pos="1560"/>
        </w:tabs>
        <w:rPr>
          <w:rFonts w:ascii="Times" w:hAnsi="Times"/>
        </w:rPr>
      </w:pPr>
      <w:r w:rsidRPr="000E50F1">
        <w:rPr>
          <w:rFonts w:ascii="Times" w:hAnsi="Times"/>
        </w:rPr>
        <w:t>International migration flows and patterns shaped by the determinants, processes and outcomes of social, political, and economic conditions have led to important transformation of society and human geographies, including that of Canada’s post-colonial development and expansion. The major waves of immigration during the 20th century in Canada—linked to its membership in the Commonwealth, the cycle of economic boom and bust, the displacement of people by conflict and war, and the development and modification of Canada’s policies on immigration and multiculturalism (Boyd and Vickers 2000)—have resulted in significant social and economic progress. While many countries look to immigration policies to control and curb the significant rise of immigration, particularly to North American, Europe, and other wealthy countries in recent decades (</w:t>
      </w:r>
      <w:r w:rsidR="00390C75" w:rsidRPr="000E50F1">
        <w:rPr>
          <w:rFonts w:ascii="Times" w:hAnsi="Times"/>
        </w:rPr>
        <w:t>Czarina</w:t>
      </w:r>
      <w:r w:rsidRPr="000E50F1">
        <w:rPr>
          <w:rFonts w:ascii="Times" w:hAnsi="Times"/>
        </w:rPr>
        <w:t xml:space="preserve"> </w:t>
      </w:r>
      <w:r w:rsidR="003C674C" w:rsidRPr="000E50F1">
        <w:rPr>
          <w:rFonts w:ascii="Times" w:hAnsi="Times"/>
        </w:rPr>
        <w:t>and</w:t>
      </w:r>
      <w:r w:rsidRPr="000E50F1">
        <w:rPr>
          <w:rFonts w:ascii="Times" w:hAnsi="Times"/>
        </w:rPr>
        <w:t xml:space="preserve"> de Haas 2013), Canada critically relies on immigration for growth and stability. Given this position, it is imperative for Canada to look to research to effectively manag</w:t>
      </w:r>
      <w:r w:rsidR="00003A69" w:rsidRPr="000E50F1">
        <w:rPr>
          <w:rFonts w:ascii="Times" w:hAnsi="Times"/>
        </w:rPr>
        <w:t>e</w:t>
      </w:r>
      <w:r w:rsidRPr="000E50F1">
        <w:rPr>
          <w:rFonts w:ascii="Times" w:hAnsi="Times"/>
        </w:rPr>
        <w:t xml:space="preserve"> its immigration system and uphold its responsibilities. </w:t>
      </w:r>
    </w:p>
    <w:p w14:paraId="6234A437" w14:textId="77777777" w:rsidR="000B44FF" w:rsidRPr="000E50F1" w:rsidRDefault="000B44FF" w:rsidP="000B44FF">
      <w:pPr>
        <w:tabs>
          <w:tab w:val="left" w:pos="1560"/>
        </w:tabs>
        <w:rPr>
          <w:rFonts w:ascii="Times" w:hAnsi="Times"/>
        </w:rPr>
      </w:pPr>
    </w:p>
    <w:p w14:paraId="188CBEDB" w14:textId="334DEF60" w:rsidR="000B44FF" w:rsidRPr="000E50F1" w:rsidRDefault="000B44FF" w:rsidP="000B44FF">
      <w:pPr>
        <w:tabs>
          <w:tab w:val="left" w:pos="1560"/>
        </w:tabs>
        <w:rPr>
          <w:rFonts w:ascii="Times" w:hAnsi="Times"/>
        </w:rPr>
      </w:pPr>
      <w:r w:rsidRPr="000E50F1">
        <w:rPr>
          <w:rFonts w:ascii="Times" w:hAnsi="Times"/>
        </w:rPr>
        <w:t>According to the latest census, between 2011 and 2016 Canada received a total of 1,212,075 immigrants and ‘recent immigrants’</w:t>
      </w:r>
      <w:r w:rsidRPr="000E50F1">
        <w:rPr>
          <w:rFonts w:ascii="Times" w:eastAsiaTheme="minorHAnsi" w:hAnsi="Times"/>
          <w:vertAlign w:val="superscript"/>
        </w:rPr>
        <w:footnoteReference w:id="2"/>
      </w:r>
      <w:r w:rsidRPr="000E50F1">
        <w:rPr>
          <w:rFonts w:ascii="Times" w:hAnsi="Times"/>
        </w:rPr>
        <w:t xml:space="preserve"> (also referred to as ‘newcomers’) accounted for 16.1% of Canada’s total immigrant population in 2016 (Statistics Canada 2017). These figures are aligned to Canada’s expanding multi-year immigration plan to increase permanent resident admissions. </w:t>
      </w:r>
      <w:r w:rsidR="00DA604F" w:rsidRPr="000E50F1">
        <w:rPr>
          <w:rFonts w:ascii="Times" w:hAnsi="Times"/>
        </w:rPr>
        <w:t xml:space="preserve">In the next three years, </w:t>
      </w:r>
      <w:r w:rsidRPr="000E50F1">
        <w:rPr>
          <w:rFonts w:ascii="Times" w:hAnsi="Times"/>
        </w:rPr>
        <w:t xml:space="preserve">Canada aims to admit </w:t>
      </w:r>
      <w:r w:rsidR="00DA604F" w:rsidRPr="000E50F1">
        <w:rPr>
          <w:rFonts w:ascii="Times" w:hAnsi="Times"/>
        </w:rPr>
        <w:t>401,000</w:t>
      </w:r>
      <w:r w:rsidRPr="000E50F1">
        <w:rPr>
          <w:rFonts w:ascii="Times" w:hAnsi="Times"/>
        </w:rPr>
        <w:t xml:space="preserve"> </w:t>
      </w:r>
      <w:r w:rsidR="00DA604F" w:rsidRPr="000E50F1">
        <w:rPr>
          <w:rFonts w:ascii="Times" w:hAnsi="Times"/>
        </w:rPr>
        <w:t xml:space="preserve">new permanent </w:t>
      </w:r>
      <w:r w:rsidR="00704805" w:rsidRPr="000E50F1">
        <w:rPr>
          <w:rFonts w:ascii="Times" w:hAnsi="Times"/>
        </w:rPr>
        <w:t>residents</w:t>
      </w:r>
      <w:r w:rsidR="00DA604F" w:rsidRPr="000E50F1">
        <w:rPr>
          <w:rFonts w:ascii="Times" w:hAnsi="Times"/>
        </w:rPr>
        <w:t xml:space="preserve"> </w:t>
      </w:r>
      <w:r w:rsidRPr="000E50F1">
        <w:rPr>
          <w:rFonts w:ascii="Times" w:hAnsi="Times"/>
        </w:rPr>
        <w:t>in 202</w:t>
      </w:r>
      <w:r w:rsidR="00DA604F" w:rsidRPr="000E50F1">
        <w:rPr>
          <w:rFonts w:ascii="Times" w:hAnsi="Times"/>
        </w:rPr>
        <w:t xml:space="preserve">1, 411,000 </w:t>
      </w:r>
      <w:r w:rsidRPr="000E50F1">
        <w:rPr>
          <w:rFonts w:ascii="Times" w:hAnsi="Times"/>
        </w:rPr>
        <w:t>in 202</w:t>
      </w:r>
      <w:r w:rsidR="00DA604F" w:rsidRPr="000E50F1">
        <w:rPr>
          <w:rFonts w:ascii="Times" w:hAnsi="Times"/>
        </w:rPr>
        <w:t>2, and 421,000 in 2023, which total</w:t>
      </w:r>
      <w:r w:rsidR="00704805" w:rsidRPr="000E50F1">
        <w:rPr>
          <w:rFonts w:ascii="Times" w:hAnsi="Times"/>
        </w:rPr>
        <w:t>s</w:t>
      </w:r>
      <w:r w:rsidR="00DA604F" w:rsidRPr="000E50F1">
        <w:rPr>
          <w:rFonts w:ascii="Times" w:hAnsi="Times"/>
        </w:rPr>
        <w:t xml:space="preserve"> over 1.2 million </w:t>
      </w:r>
      <w:r w:rsidRPr="000E50F1">
        <w:rPr>
          <w:rFonts w:ascii="Times" w:hAnsi="Times"/>
        </w:rPr>
        <w:t>(IRCC 20</w:t>
      </w:r>
      <w:r w:rsidR="00DA604F" w:rsidRPr="000E50F1">
        <w:rPr>
          <w:rFonts w:ascii="Times" w:hAnsi="Times"/>
        </w:rPr>
        <w:t>20</w:t>
      </w:r>
      <w:r w:rsidRPr="000E50F1">
        <w:rPr>
          <w:rFonts w:ascii="Times" w:hAnsi="Times"/>
        </w:rPr>
        <w:t xml:space="preserve">). Immigration, Refugees and Citizenship Canada, better known as ‘IRCC’ for short, is the federal department that authorizes the arrival of immigrants to Canada, fund programming to help newcomers settle in Canada, and provides protection to refugees. Currently, IRCC’s operating priorities are focused on four key areas: (1) implementing increases in permanent resident admissions; (2) keeping up with demand for visitors, international students and other temporary resident admissions; (3) settlement services; and (4) asylum (IRCC 2019). Overall, these priorities reflect an extensive system that encompasses various pathways, processes, and outcomes in immigration, settlement, and integration. With immigrants arriving from various categories (i.e., economic-, family-, refugee-, and humanitarian-class), newcomers to Canada are highly diverse in skills, </w:t>
      </w:r>
      <w:r w:rsidRPr="000E50F1">
        <w:rPr>
          <w:rFonts w:ascii="Times" w:hAnsi="Times"/>
        </w:rPr>
        <w:lastRenderedPageBreak/>
        <w:t xml:space="preserve">talents, experiences, and needs, particularly those coming from more vulnerable contexts. </w:t>
      </w:r>
    </w:p>
    <w:p w14:paraId="6A82881C" w14:textId="77777777" w:rsidR="000B44FF" w:rsidRPr="000E50F1" w:rsidRDefault="000B44FF" w:rsidP="000B44FF">
      <w:pPr>
        <w:tabs>
          <w:tab w:val="left" w:pos="1560"/>
        </w:tabs>
        <w:rPr>
          <w:rFonts w:ascii="Times" w:hAnsi="Times"/>
        </w:rPr>
      </w:pPr>
    </w:p>
    <w:p w14:paraId="60AC80AD" w14:textId="2B17A388" w:rsidR="0027789C" w:rsidRPr="000E50F1" w:rsidRDefault="0027789C" w:rsidP="00735CB8">
      <w:pPr>
        <w:rPr>
          <w:rFonts w:ascii="Times" w:hAnsi="Times"/>
        </w:rPr>
      </w:pPr>
      <w:r w:rsidRPr="000E50F1">
        <w:rPr>
          <w:rFonts w:ascii="Times" w:hAnsi="Times"/>
        </w:rPr>
        <w:t xml:space="preserve">According to United Nations High Commissioner for Refugees (UNHCR), at the end of 2019 the number of refugees worldwide totalled 26 million, 73% of whom were being hosted in countries neighbouring to their countries of origin (UNHCR 2020). </w:t>
      </w:r>
      <w:r w:rsidR="000B44FF" w:rsidRPr="000E50F1">
        <w:rPr>
          <w:rFonts w:ascii="Times" w:hAnsi="Times"/>
        </w:rPr>
        <w:t xml:space="preserve">Unlike the international migratory trajectories of the 19th and 20th century which resembled fixed and long-term movement for labour and settlement, the </w:t>
      </w:r>
      <w:r w:rsidR="000B44FF" w:rsidRPr="000E50F1">
        <w:rPr>
          <w:rFonts w:ascii="Times" w:hAnsi="Times"/>
          <w:i/>
          <w:iCs/>
        </w:rPr>
        <w:t>Journal of Immigrant and Refugee Studies</w:t>
      </w:r>
      <w:r w:rsidR="000B44FF" w:rsidRPr="000E50F1">
        <w:rPr>
          <w:rFonts w:ascii="Times" w:hAnsi="Times"/>
        </w:rPr>
        <w:t xml:space="preserve"> notes that international migration in the 21</w:t>
      </w:r>
      <w:r w:rsidR="000B44FF" w:rsidRPr="000E50F1">
        <w:rPr>
          <w:rFonts w:ascii="Times" w:hAnsi="Times"/>
          <w:vertAlign w:val="superscript"/>
        </w:rPr>
        <w:t>st</w:t>
      </w:r>
      <w:r w:rsidR="000B44FF" w:rsidRPr="000E50F1">
        <w:rPr>
          <w:rFonts w:ascii="Times" w:hAnsi="Times"/>
        </w:rPr>
        <w:t xml:space="preserve"> century has seen multiplied flows of origins/destinations of migrants and it has become increasingly difficult to distinguish between those moving for economic reasons from those fleeing persecution and violence. </w:t>
      </w:r>
      <w:r w:rsidRPr="000E50F1">
        <w:rPr>
          <w:rFonts w:ascii="Times" w:hAnsi="Times"/>
        </w:rPr>
        <w:t>Similarly, geographers examining the importance of migration and its role in health studies acknowledges that “No longer can we imagine societies as stable, fixed entities; instead, we should acknowledge the flux and diversity of a world that may be better represented as a series of overlapping and interdependent mobilities” (</w:t>
      </w:r>
      <w:r w:rsidR="00735CB8" w:rsidRPr="000E50F1">
        <w:rPr>
          <w:rFonts w:ascii="Times" w:hAnsi="Times"/>
        </w:rPr>
        <w:t>Boyle and Norman 2009: 346).</w:t>
      </w:r>
    </w:p>
    <w:p w14:paraId="01C6AD0D" w14:textId="77777777" w:rsidR="00153F86" w:rsidRPr="000E50F1" w:rsidRDefault="00153F86" w:rsidP="000B44FF">
      <w:pPr>
        <w:tabs>
          <w:tab w:val="left" w:pos="1560"/>
        </w:tabs>
        <w:rPr>
          <w:rFonts w:ascii="Times" w:hAnsi="Times"/>
        </w:rPr>
      </w:pPr>
    </w:p>
    <w:p w14:paraId="4791482B" w14:textId="580ADC40" w:rsidR="00276D25" w:rsidRPr="000E50F1" w:rsidRDefault="000B44FF" w:rsidP="000B44FF">
      <w:pPr>
        <w:tabs>
          <w:tab w:val="left" w:pos="1560"/>
        </w:tabs>
        <w:rPr>
          <w:rFonts w:ascii="Times" w:hAnsi="Times"/>
        </w:rPr>
      </w:pPr>
      <w:r w:rsidRPr="000E50F1">
        <w:rPr>
          <w:rFonts w:ascii="Times" w:hAnsi="Times"/>
        </w:rPr>
        <w:t>It is not a surpris</w:t>
      </w:r>
      <w:r w:rsidR="00003A69" w:rsidRPr="000E50F1">
        <w:rPr>
          <w:rFonts w:ascii="Times" w:hAnsi="Times"/>
        </w:rPr>
        <w:t>e</w:t>
      </w:r>
      <w:r w:rsidRPr="000E50F1">
        <w:rPr>
          <w:rFonts w:ascii="Times" w:hAnsi="Times"/>
        </w:rPr>
        <w:t xml:space="preserve"> given the complexity and politics of movement and migration that analysts have called into question the effectiveness of immigration policies. </w:t>
      </w:r>
      <w:r w:rsidR="00390C75" w:rsidRPr="000E50F1">
        <w:rPr>
          <w:rFonts w:ascii="Times" w:hAnsi="Times"/>
        </w:rPr>
        <w:t>Czarina</w:t>
      </w:r>
      <w:r w:rsidRPr="000E50F1">
        <w:rPr>
          <w:rFonts w:ascii="Times" w:hAnsi="Times"/>
        </w:rPr>
        <w:t xml:space="preserve"> </w:t>
      </w:r>
      <w:r w:rsidR="003C674C" w:rsidRPr="000E50F1">
        <w:rPr>
          <w:rFonts w:ascii="Times" w:hAnsi="Times"/>
        </w:rPr>
        <w:t>and</w:t>
      </w:r>
      <w:r w:rsidRPr="000E50F1">
        <w:rPr>
          <w:rFonts w:ascii="Times" w:hAnsi="Times"/>
        </w:rPr>
        <w:t xml:space="preserve"> de Haas (2013) suggest that immigration “‘effectiveness’” establishes a relation to policy objectives by adding an evaluative and subjective dimension to the analysis of the ‘effects’ of immigration policies”, which in some cases result in the opposite direction to the intended effect (</w:t>
      </w:r>
      <w:r w:rsidR="00390C75" w:rsidRPr="000E50F1">
        <w:rPr>
          <w:rFonts w:ascii="Times" w:hAnsi="Times"/>
        </w:rPr>
        <w:t>Czarina</w:t>
      </w:r>
      <w:r w:rsidRPr="000E50F1">
        <w:rPr>
          <w:rFonts w:ascii="Times" w:hAnsi="Times"/>
        </w:rPr>
        <w:t xml:space="preserve"> </w:t>
      </w:r>
      <w:r w:rsidR="003C674C" w:rsidRPr="000E50F1">
        <w:rPr>
          <w:rFonts w:ascii="Times" w:hAnsi="Times"/>
        </w:rPr>
        <w:t>and</w:t>
      </w:r>
      <w:r w:rsidRPr="000E50F1">
        <w:rPr>
          <w:rFonts w:ascii="Times" w:hAnsi="Times"/>
        </w:rPr>
        <w:t xml:space="preserve"> de Haas 2013). Castle</w:t>
      </w:r>
      <w:r w:rsidR="0007432A" w:rsidRPr="000E50F1">
        <w:rPr>
          <w:rFonts w:ascii="Times" w:hAnsi="Times"/>
        </w:rPr>
        <w:t>s</w:t>
      </w:r>
      <w:r w:rsidRPr="000E50F1">
        <w:rPr>
          <w:rFonts w:ascii="Times" w:hAnsi="Times"/>
        </w:rPr>
        <w:t xml:space="preserve"> (2010) notes that while some have suggested that 21</w:t>
      </w:r>
      <w:r w:rsidRPr="000E50F1">
        <w:rPr>
          <w:rFonts w:ascii="Times" w:hAnsi="Times"/>
          <w:vertAlign w:val="superscript"/>
        </w:rPr>
        <w:t>st</w:t>
      </w:r>
      <w:r w:rsidRPr="000E50F1">
        <w:rPr>
          <w:rFonts w:ascii="Times" w:hAnsi="Times"/>
        </w:rPr>
        <w:t xml:space="preserve"> century international migration reflects an era of fluidity and openness, he argues that this image of geography without borders ha</w:t>
      </w:r>
      <w:r w:rsidR="00003A69" w:rsidRPr="000E50F1">
        <w:rPr>
          <w:rFonts w:ascii="Times" w:hAnsi="Times"/>
        </w:rPr>
        <w:t>s</w:t>
      </w:r>
      <w:r w:rsidRPr="000E50F1">
        <w:rPr>
          <w:rFonts w:ascii="Times" w:hAnsi="Times"/>
        </w:rPr>
        <w:t xml:space="preserve"> been overdrawn and the right to international mobility ha</w:t>
      </w:r>
      <w:r w:rsidR="00003A69" w:rsidRPr="000E50F1">
        <w:rPr>
          <w:rFonts w:ascii="Times" w:hAnsi="Times"/>
        </w:rPr>
        <w:t>s</w:t>
      </w:r>
      <w:r w:rsidRPr="000E50F1">
        <w:rPr>
          <w:rFonts w:ascii="Times" w:hAnsi="Times"/>
        </w:rPr>
        <w:t xml:space="preserve"> become more class-specific and selective, citing that only three percent of the world’s population are international migrant</w:t>
      </w:r>
      <w:r w:rsidR="00153F86" w:rsidRPr="000E50F1">
        <w:rPr>
          <w:rFonts w:ascii="Times" w:hAnsi="Times"/>
        </w:rPr>
        <w:t>s</w:t>
      </w:r>
      <w:r w:rsidRPr="000E50F1">
        <w:rPr>
          <w:rFonts w:ascii="Times" w:hAnsi="Times"/>
        </w:rPr>
        <w:t xml:space="preserve">. Similarly, </w:t>
      </w:r>
      <w:r w:rsidR="00390C75" w:rsidRPr="000E50F1">
        <w:rPr>
          <w:rFonts w:ascii="Times" w:hAnsi="Times"/>
        </w:rPr>
        <w:t>Czarina</w:t>
      </w:r>
      <w:r w:rsidRPr="000E50F1">
        <w:rPr>
          <w:rFonts w:ascii="Times" w:hAnsi="Times"/>
        </w:rPr>
        <w:t xml:space="preserve"> and de Haas (2013) explain that migration policies can be limited given the following constraints. First, international migration is mainly driven by structural factors such as labor market imbalances, inequalities in wealth, and political conflicts in origin countries, factors on which migration policies have little or no influence. Second, employers, networks and the migration industry (e.g., recruiters, lawyers, smugglers, and other intermediaries) facilitate the movement of people and this internal dynamic enable migration to become self-perpetuating. Third, borders are beyond the control of nation states given their obligation and legal binding to human rights and international law. Overall, effective management of immigration is proving more difficult under the context of rapid global change and the burgeoning challenges of contemporary society. </w:t>
      </w:r>
    </w:p>
    <w:p w14:paraId="53FD4B9A" w14:textId="6D51AB56" w:rsidR="00B728EA" w:rsidRPr="000E50F1" w:rsidRDefault="00297599" w:rsidP="0067295C">
      <w:pPr>
        <w:pStyle w:val="NormalWeb"/>
      </w:pPr>
      <w:r w:rsidRPr="000E50F1">
        <w:t>As Canada continues to manage its immigration system and uphold its commitment to international refugee protection and resettlement, it is critical for Canada to do so with an understa</w:t>
      </w:r>
      <w:r w:rsidR="004E11F5" w:rsidRPr="000E50F1">
        <w:t>nd</w:t>
      </w:r>
      <w:r w:rsidRPr="000E50F1">
        <w:t xml:space="preserve">ing of the changing </w:t>
      </w:r>
      <w:r w:rsidR="00E85B06" w:rsidRPr="000E50F1">
        <w:t xml:space="preserve">global and local </w:t>
      </w:r>
      <w:r w:rsidRPr="000E50F1">
        <w:t xml:space="preserve">context </w:t>
      </w:r>
      <w:r w:rsidR="00B728EA" w:rsidRPr="000E50F1">
        <w:lastRenderedPageBreak/>
        <w:t>vis-à-vis</w:t>
      </w:r>
      <w:r w:rsidR="00B728EA" w:rsidRPr="000E50F1">
        <w:rPr>
          <w:rStyle w:val="apple-converted-space"/>
          <w:rFonts w:ascii="Arial" w:hAnsi="Arial" w:cs="Arial"/>
          <w:shd w:val="clear" w:color="auto" w:fill="FFFFFF"/>
        </w:rPr>
        <w:t> </w:t>
      </w:r>
      <w:r w:rsidR="00BF6FBF" w:rsidRPr="000E50F1">
        <w:t>immigration</w:t>
      </w:r>
      <w:r w:rsidR="00CC252E" w:rsidRPr="000E50F1">
        <w:t xml:space="preserve">. This </w:t>
      </w:r>
      <w:r w:rsidR="0000050A" w:rsidRPr="000E50F1">
        <w:t>i</w:t>
      </w:r>
      <w:r w:rsidR="00E85B06" w:rsidRPr="000E50F1">
        <w:t>nclude</w:t>
      </w:r>
      <w:r w:rsidR="0000050A" w:rsidRPr="000E50F1">
        <w:rPr>
          <w:rFonts w:cs="Arial"/>
        </w:rPr>
        <w:t xml:space="preserve">s </w:t>
      </w:r>
      <w:r w:rsidR="00E85B06" w:rsidRPr="000E50F1">
        <w:rPr>
          <w:rFonts w:cs="Arial"/>
        </w:rPr>
        <w:t>the</w:t>
      </w:r>
      <w:r w:rsidR="002B4933" w:rsidRPr="000E50F1">
        <w:rPr>
          <w:rFonts w:cs="Arial"/>
        </w:rPr>
        <w:t xml:space="preserve"> </w:t>
      </w:r>
      <w:r w:rsidR="00E85B06" w:rsidRPr="000E50F1">
        <w:rPr>
          <w:rFonts w:cs="Arial"/>
        </w:rPr>
        <w:t xml:space="preserve">purview of </w:t>
      </w:r>
      <w:r w:rsidR="002B4933" w:rsidRPr="000E50F1">
        <w:rPr>
          <w:rFonts w:cs="Arial"/>
        </w:rPr>
        <w:t xml:space="preserve">shifted </w:t>
      </w:r>
      <w:r w:rsidR="002B4933" w:rsidRPr="000E50F1">
        <w:t>p</w:t>
      </w:r>
      <w:r w:rsidR="002B4933" w:rsidRPr="000E50F1">
        <w:rPr>
          <w:rFonts w:cs="Arial"/>
        </w:rPr>
        <w:t xml:space="preserve">aradigms </w:t>
      </w:r>
      <w:r w:rsidR="00BF6FBF" w:rsidRPr="000E50F1">
        <w:rPr>
          <w:rFonts w:cs="Arial"/>
        </w:rPr>
        <w:t>of neoliberal state restructuring</w:t>
      </w:r>
      <w:r w:rsidR="00FA096B" w:rsidRPr="000E50F1">
        <w:rPr>
          <w:rFonts w:cs="Arial"/>
        </w:rPr>
        <w:t xml:space="preserve"> and its impact </w:t>
      </w:r>
      <w:r w:rsidR="00B728EA" w:rsidRPr="000E50F1">
        <w:rPr>
          <w:rFonts w:cs="Arial"/>
        </w:rPr>
        <w:t>(</w:t>
      </w:r>
      <w:r w:rsidR="002658BF" w:rsidRPr="000E50F1">
        <w:rPr>
          <w:rFonts w:cs="Arial"/>
        </w:rPr>
        <w:t xml:space="preserve">i.e., </w:t>
      </w:r>
      <w:r w:rsidR="00B728EA" w:rsidRPr="000E50F1">
        <w:rPr>
          <w:rFonts w:cs="Arial"/>
        </w:rPr>
        <w:t xml:space="preserve">direct and indirect) </w:t>
      </w:r>
      <w:r w:rsidR="00FA096B" w:rsidRPr="000E50F1">
        <w:rPr>
          <w:rFonts w:cs="Arial"/>
        </w:rPr>
        <w:t>o</w:t>
      </w:r>
      <w:r w:rsidR="00B728EA" w:rsidRPr="000E50F1">
        <w:rPr>
          <w:rFonts w:cs="Arial"/>
        </w:rPr>
        <w:t>n</w:t>
      </w:r>
      <w:r w:rsidR="00FA096B" w:rsidRPr="000E50F1">
        <w:rPr>
          <w:rFonts w:cs="Arial"/>
        </w:rPr>
        <w:t xml:space="preserve"> the lives of newcomers themselves</w:t>
      </w:r>
      <w:r w:rsidR="0000050A" w:rsidRPr="000E50F1">
        <w:rPr>
          <w:rFonts w:cs="Arial"/>
        </w:rPr>
        <w:t xml:space="preserve">. For example, </w:t>
      </w:r>
      <w:r w:rsidR="0000050A" w:rsidRPr="000E50F1">
        <w:t>c</w:t>
      </w:r>
      <w:r w:rsidR="00E85B06" w:rsidRPr="000E50F1">
        <w:t xml:space="preserve">ritical approaches to the geographies of the non‐profit and </w:t>
      </w:r>
      <w:r w:rsidR="00E85B06" w:rsidRPr="000E50F1">
        <w:rPr>
          <w:rFonts w:cs="Arial"/>
        </w:rPr>
        <w:t xml:space="preserve">voluntary sector </w:t>
      </w:r>
      <w:r w:rsidR="0000050A" w:rsidRPr="000E50F1">
        <w:rPr>
          <w:rFonts w:cs="Arial"/>
        </w:rPr>
        <w:t>have shown</w:t>
      </w:r>
      <w:r w:rsidR="00BF6FBF" w:rsidRPr="000E50F1">
        <w:rPr>
          <w:rFonts w:cs="Arial"/>
        </w:rPr>
        <w:t xml:space="preserve"> </w:t>
      </w:r>
      <w:r w:rsidR="0047793A" w:rsidRPr="000E50F1">
        <w:rPr>
          <w:rFonts w:cs="Arial"/>
        </w:rPr>
        <w:t>uneven</w:t>
      </w:r>
      <w:r w:rsidR="00E85B06" w:rsidRPr="000E50F1">
        <w:rPr>
          <w:rFonts w:cs="Arial"/>
        </w:rPr>
        <w:t xml:space="preserve"> </w:t>
      </w:r>
      <w:r w:rsidR="00FA096B" w:rsidRPr="000E50F1">
        <w:rPr>
          <w:rFonts w:cs="Arial"/>
        </w:rPr>
        <w:t>responses to austerity policies in the settlement sector in Canada</w:t>
      </w:r>
      <w:r w:rsidRPr="000E50F1">
        <w:rPr>
          <w:rFonts w:eastAsia="Times New Roman" w:cs="Arial"/>
          <w:lang w:val="en-CA"/>
        </w:rPr>
        <w:t xml:space="preserve"> </w:t>
      </w:r>
      <w:r w:rsidR="00A21386" w:rsidRPr="000E50F1">
        <w:rPr>
          <w:rFonts w:cs="Arial"/>
        </w:rPr>
        <w:t>(Veronis 2019).</w:t>
      </w:r>
      <w:r w:rsidR="004E11F5" w:rsidRPr="000E50F1">
        <w:rPr>
          <w:rFonts w:eastAsia="Times New Roman" w:cs="Arial"/>
          <w:lang w:val="en-CA"/>
        </w:rPr>
        <w:t xml:space="preserve"> </w:t>
      </w:r>
      <w:r w:rsidR="00CC252E" w:rsidRPr="000E50F1">
        <w:rPr>
          <w:rFonts w:cs="Arial"/>
        </w:rPr>
        <w:t>Given that</w:t>
      </w:r>
      <w:r w:rsidR="00276D25" w:rsidRPr="000E50F1">
        <w:rPr>
          <w:rFonts w:cs="Arial"/>
        </w:rPr>
        <w:t xml:space="preserve"> </w:t>
      </w:r>
      <w:r w:rsidR="0000050A" w:rsidRPr="000E50F1">
        <w:t>m</w:t>
      </w:r>
      <w:r w:rsidR="004E11F5" w:rsidRPr="000E50F1">
        <w:t xml:space="preserve">any </w:t>
      </w:r>
      <w:r w:rsidR="00CC252E" w:rsidRPr="000E50F1">
        <w:t xml:space="preserve">non-migration </w:t>
      </w:r>
      <w:r w:rsidR="004E11F5" w:rsidRPr="000E50F1">
        <w:t>policies</w:t>
      </w:r>
      <w:r w:rsidR="0047793A" w:rsidRPr="000E50F1">
        <w:t xml:space="preserve"> (i.e., labor market, macro-economic, welfare, foreign, military, etc.) </w:t>
      </w:r>
      <w:r w:rsidR="00CC252E" w:rsidRPr="000E50F1">
        <w:t xml:space="preserve">have direct </w:t>
      </w:r>
      <w:r w:rsidR="004E11F5" w:rsidRPr="000E50F1">
        <w:t>influence</w:t>
      </w:r>
      <w:r w:rsidR="002658BF" w:rsidRPr="000E50F1">
        <w:t>s</w:t>
      </w:r>
      <w:r w:rsidR="004E11F5" w:rsidRPr="000E50F1">
        <w:t xml:space="preserve"> </w:t>
      </w:r>
      <w:r w:rsidR="00CC252E" w:rsidRPr="000E50F1">
        <w:t xml:space="preserve">on </w:t>
      </w:r>
      <w:r w:rsidR="004E11F5" w:rsidRPr="000E50F1">
        <w:t xml:space="preserve">migration </w:t>
      </w:r>
      <w:r w:rsidR="00276D25" w:rsidRPr="000E50F1">
        <w:t>outcome</w:t>
      </w:r>
      <w:r w:rsidR="00CC252E" w:rsidRPr="000E50F1">
        <w:t xml:space="preserve">, Czarina and de Haas (2013: 489) suggests that this makes </w:t>
      </w:r>
      <w:r w:rsidR="00276D25" w:rsidRPr="000E50F1">
        <w:t>“</w:t>
      </w:r>
      <w:r w:rsidR="00CC252E" w:rsidRPr="000E50F1">
        <w:t xml:space="preserve">the </w:t>
      </w:r>
      <w:r w:rsidR="00276D25" w:rsidRPr="000E50F1">
        <w:t>role of the state much greater than a narrow focus on migration policies alone would suggest”</w:t>
      </w:r>
      <w:r w:rsidR="0047793A" w:rsidRPr="000E50F1">
        <w:t xml:space="preserve">. </w:t>
      </w:r>
      <w:r w:rsidR="00046D97" w:rsidRPr="000E50F1">
        <w:t>I</w:t>
      </w:r>
      <w:r w:rsidR="004E11F5" w:rsidRPr="000E50F1">
        <w:t xml:space="preserve">t is </w:t>
      </w:r>
      <w:r w:rsidR="00276D25" w:rsidRPr="000E50F1">
        <w:t xml:space="preserve">thus </w:t>
      </w:r>
      <w:r w:rsidR="004E11F5" w:rsidRPr="000E50F1">
        <w:t xml:space="preserve">important to pay attention </w:t>
      </w:r>
      <w:r w:rsidR="001F0BF0" w:rsidRPr="000E50F1">
        <w:t xml:space="preserve">to these </w:t>
      </w:r>
      <w:r w:rsidR="00046D97" w:rsidRPr="000E50F1">
        <w:t xml:space="preserve">external forces and </w:t>
      </w:r>
      <w:r w:rsidR="001F0BF0" w:rsidRPr="000E50F1">
        <w:t xml:space="preserve">their </w:t>
      </w:r>
      <w:r w:rsidR="0000050A" w:rsidRPr="000E50F1">
        <w:t xml:space="preserve">influences over </w:t>
      </w:r>
      <w:r w:rsidR="00FA096B" w:rsidRPr="000E50F1">
        <w:t xml:space="preserve">the </w:t>
      </w:r>
      <w:r w:rsidR="0000050A" w:rsidRPr="000E50F1">
        <w:t xml:space="preserve">economic, </w:t>
      </w:r>
      <w:r w:rsidR="009318F5" w:rsidRPr="000E50F1">
        <w:t xml:space="preserve">social, </w:t>
      </w:r>
      <w:r w:rsidR="0000050A" w:rsidRPr="000E50F1">
        <w:t>and health</w:t>
      </w:r>
      <w:r w:rsidR="00CC252E" w:rsidRPr="000E50F1">
        <w:t xml:space="preserve"> </w:t>
      </w:r>
      <w:r w:rsidR="009318F5" w:rsidRPr="000E50F1">
        <w:t xml:space="preserve">outcome </w:t>
      </w:r>
      <w:r w:rsidR="00CC252E" w:rsidRPr="000E50F1">
        <w:t xml:space="preserve">of immigrants </w:t>
      </w:r>
      <w:r w:rsidR="00276D25" w:rsidRPr="000E50F1">
        <w:t>along the migration trajectory</w:t>
      </w:r>
      <w:r w:rsidR="002658BF" w:rsidRPr="000E50F1">
        <w:t xml:space="preserve">, which calls for </w:t>
      </w:r>
      <w:r w:rsidR="00CC252E" w:rsidRPr="000E50F1">
        <w:t>greater accountability to immigration policy and management</w:t>
      </w:r>
      <w:r w:rsidR="00A21386" w:rsidRPr="000E50F1">
        <w:t>.</w:t>
      </w:r>
      <w:r w:rsidR="00276D25" w:rsidRPr="000E50F1">
        <w:t xml:space="preserve"> </w:t>
      </w:r>
    </w:p>
    <w:p w14:paraId="5B78295C" w14:textId="5255CF00" w:rsidR="00904D3E" w:rsidRPr="000E50F1" w:rsidRDefault="00904D3E" w:rsidP="00904D3E">
      <w:pPr>
        <w:pStyle w:val="Heading2"/>
        <w:spacing w:before="0" w:line="240" w:lineRule="auto"/>
        <w:rPr>
          <w:rFonts w:ascii="Times" w:eastAsia="Calibri" w:hAnsi="Times"/>
          <w:sz w:val="24"/>
          <w:szCs w:val="24"/>
        </w:rPr>
      </w:pPr>
      <w:bookmarkStart w:id="8" w:name="_Toc60231893"/>
      <w:r w:rsidRPr="000E50F1">
        <w:rPr>
          <w:rFonts w:ascii="Times" w:hAnsi="Times"/>
          <w:bCs/>
        </w:rPr>
        <w:t>1.</w:t>
      </w:r>
      <w:r w:rsidR="00FC21CA" w:rsidRPr="000E50F1">
        <w:rPr>
          <w:rFonts w:ascii="Times" w:hAnsi="Times"/>
          <w:bCs/>
        </w:rPr>
        <w:t>2</w:t>
      </w:r>
      <w:r w:rsidRPr="000E50F1">
        <w:rPr>
          <w:rFonts w:ascii="Times" w:hAnsi="Times"/>
          <w:bCs/>
        </w:rPr>
        <w:t xml:space="preserve"> Research Objectives &amp; Questions</w:t>
      </w:r>
      <w:bookmarkEnd w:id="8"/>
    </w:p>
    <w:p w14:paraId="2BD7893D" w14:textId="09BAE267" w:rsidR="00904D3E" w:rsidRPr="000E50F1" w:rsidRDefault="00904D3E" w:rsidP="00904D3E">
      <w:pPr>
        <w:tabs>
          <w:tab w:val="left" w:pos="1560"/>
        </w:tabs>
        <w:rPr>
          <w:rFonts w:ascii="Times" w:hAnsi="Times" w:cs="Arial"/>
        </w:rPr>
      </w:pPr>
      <w:r w:rsidRPr="000E50F1">
        <w:rPr>
          <w:rFonts w:ascii="Times" w:hAnsi="Times"/>
        </w:rPr>
        <w:t>In this thesis, I investigate the migrat</w:t>
      </w:r>
      <w:r w:rsidR="00B20B6A" w:rsidRPr="000E50F1">
        <w:rPr>
          <w:rFonts w:ascii="Times" w:hAnsi="Times"/>
        </w:rPr>
        <w:t>ion</w:t>
      </w:r>
      <w:r w:rsidRPr="000E50F1">
        <w:rPr>
          <w:rFonts w:ascii="Times" w:hAnsi="Times"/>
        </w:rPr>
        <w:t xml:space="preserve"> trajectory of three groups of newcomers to Canada: international students, Syrian refugees, and refugee youth. The impetus to focus on these groups is to highlight the commonality of </w:t>
      </w:r>
      <w:r w:rsidRPr="000E50F1">
        <w:rPr>
          <w:rFonts w:ascii="Times" w:hAnsi="Times" w:cs="Arial"/>
        </w:rPr>
        <w:t xml:space="preserve">varying </w:t>
      </w:r>
      <w:r w:rsidR="008B1A09" w:rsidRPr="000E50F1">
        <w:rPr>
          <w:rFonts w:ascii="Times" w:hAnsi="Times"/>
        </w:rPr>
        <w:t xml:space="preserve">external </w:t>
      </w:r>
      <w:r w:rsidR="00046D97" w:rsidRPr="000E50F1">
        <w:rPr>
          <w:rFonts w:ascii="Times" w:hAnsi="Times"/>
        </w:rPr>
        <w:t xml:space="preserve">forces </w:t>
      </w:r>
      <w:r w:rsidR="00DE47FD" w:rsidRPr="000E50F1">
        <w:rPr>
          <w:rFonts w:ascii="Times" w:hAnsi="Times"/>
        </w:rPr>
        <w:t xml:space="preserve">(i.e. policies and conditions) </w:t>
      </w:r>
      <w:r w:rsidRPr="000E50F1">
        <w:rPr>
          <w:rFonts w:ascii="Times" w:hAnsi="Times" w:cs="Arial"/>
        </w:rPr>
        <w:t xml:space="preserve">that can create group risks and vulnerabilities in </w:t>
      </w:r>
      <w:r w:rsidRPr="000E50F1">
        <w:rPr>
          <w:rFonts w:ascii="Times" w:hAnsi="Times"/>
        </w:rPr>
        <w:t xml:space="preserve">immigration, settlement and integration </w:t>
      </w:r>
      <w:r w:rsidR="009318F5" w:rsidRPr="000E50F1">
        <w:rPr>
          <w:rFonts w:ascii="Times" w:hAnsi="Times"/>
        </w:rPr>
        <w:t xml:space="preserve">as groups transition to life in Canada </w:t>
      </w:r>
      <w:r w:rsidRPr="000E50F1">
        <w:rPr>
          <w:rFonts w:ascii="Times" w:hAnsi="Times"/>
        </w:rPr>
        <w:t xml:space="preserve">after arrival. Additionally, two studies in this thesis explore these conditions, patterns, and relationships at the local level to investigate their interaction and </w:t>
      </w:r>
      <w:r w:rsidRPr="000E50F1">
        <w:rPr>
          <w:rFonts w:ascii="Times" w:hAnsi="Times" w:cs="Arial"/>
        </w:rPr>
        <w:t xml:space="preserve">impact </w:t>
      </w:r>
      <w:r w:rsidRPr="000E50F1">
        <w:rPr>
          <w:rFonts w:ascii="Times" w:hAnsi="Times"/>
          <w:spacing w:val="-5"/>
        </w:rPr>
        <w:t>a</w:t>
      </w:r>
      <w:r w:rsidRPr="000E50F1">
        <w:rPr>
          <w:rFonts w:ascii="Times" w:hAnsi="Times" w:cs="Arial"/>
        </w:rPr>
        <w:t xml:space="preserve">cross place in one mid-size Canadian city of Hamilton, Ontario. Two overarching research questions were used to guide this thesis: </w:t>
      </w:r>
    </w:p>
    <w:p w14:paraId="527ED3C3" w14:textId="77777777" w:rsidR="009318F5" w:rsidRPr="000E50F1" w:rsidRDefault="009318F5" w:rsidP="00904D3E">
      <w:pPr>
        <w:tabs>
          <w:tab w:val="left" w:pos="1560"/>
        </w:tabs>
        <w:rPr>
          <w:rFonts w:ascii="Times" w:hAnsi="Times"/>
        </w:rPr>
      </w:pPr>
    </w:p>
    <w:p w14:paraId="7438610E" w14:textId="1C4B3E0D" w:rsidR="00904D3E" w:rsidRPr="000E50F1" w:rsidRDefault="00904D3E" w:rsidP="00BC2822">
      <w:pPr>
        <w:pStyle w:val="ListParagraph"/>
        <w:numPr>
          <w:ilvl w:val="0"/>
          <w:numId w:val="6"/>
        </w:numPr>
        <w:tabs>
          <w:tab w:val="left" w:pos="1560"/>
        </w:tabs>
        <w:spacing w:after="0" w:line="240" w:lineRule="auto"/>
        <w:ind w:right="559"/>
        <w:rPr>
          <w:rFonts w:ascii="Times" w:hAnsi="Times"/>
        </w:rPr>
      </w:pPr>
      <w:r w:rsidRPr="000E50F1">
        <w:rPr>
          <w:rFonts w:ascii="Times" w:hAnsi="Times"/>
        </w:rPr>
        <w:t xml:space="preserve">Which policies create </w:t>
      </w:r>
      <w:r w:rsidR="008F1E98" w:rsidRPr="000E50F1">
        <w:rPr>
          <w:rFonts w:ascii="Times" w:hAnsi="Times"/>
        </w:rPr>
        <w:t xml:space="preserve">conditions of </w:t>
      </w:r>
      <w:r w:rsidRPr="000E50F1">
        <w:rPr>
          <w:rFonts w:ascii="Times" w:hAnsi="Times"/>
        </w:rPr>
        <w:t>vulnerabili</w:t>
      </w:r>
      <w:r w:rsidR="00E17265" w:rsidRPr="000E50F1">
        <w:rPr>
          <w:rFonts w:ascii="Times" w:hAnsi="Times"/>
        </w:rPr>
        <w:t>ty</w:t>
      </w:r>
      <w:r w:rsidRPr="000E50F1">
        <w:rPr>
          <w:rFonts w:ascii="Times" w:hAnsi="Times"/>
        </w:rPr>
        <w:t xml:space="preserve"> and roadblocks to immigration, settlement, and integration for newcomers after arrival in Canada?</w:t>
      </w:r>
    </w:p>
    <w:p w14:paraId="31F04F8C" w14:textId="695FD3BF" w:rsidR="00904D3E" w:rsidRPr="000E50F1" w:rsidRDefault="00904D3E" w:rsidP="00BC2822">
      <w:pPr>
        <w:pStyle w:val="ListParagraph"/>
        <w:numPr>
          <w:ilvl w:val="0"/>
          <w:numId w:val="6"/>
        </w:numPr>
        <w:tabs>
          <w:tab w:val="left" w:pos="1560"/>
        </w:tabs>
        <w:spacing w:after="0" w:line="240" w:lineRule="auto"/>
        <w:ind w:left="924" w:right="561" w:hanging="357"/>
        <w:rPr>
          <w:rFonts w:ascii="Times" w:hAnsi="Times"/>
        </w:rPr>
      </w:pPr>
      <w:r w:rsidRPr="000E50F1">
        <w:rPr>
          <w:rFonts w:ascii="Times" w:hAnsi="Times"/>
        </w:rPr>
        <w:t xml:space="preserve">How can </w:t>
      </w:r>
      <w:r w:rsidR="00E17265" w:rsidRPr="000E50F1">
        <w:rPr>
          <w:rFonts w:ascii="Times" w:hAnsi="Times"/>
        </w:rPr>
        <w:t xml:space="preserve">these </w:t>
      </w:r>
      <w:r w:rsidR="008F1E98" w:rsidRPr="000E50F1">
        <w:rPr>
          <w:rFonts w:ascii="Times" w:hAnsi="Times"/>
        </w:rPr>
        <w:t xml:space="preserve">policies be addressed </w:t>
      </w:r>
      <w:r w:rsidRPr="000E50F1">
        <w:rPr>
          <w:rFonts w:ascii="Times" w:hAnsi="Times"/>
        </w:rPr>
        <w:t xml:space="preserve">to improve successful outcome for newcomers? </w:t>
      </w:r>
    </w:p>
    <w:p w14:paraId="6B287244" w14:textId="77777777" w:rsidR="00904D3E" w:rsidRPr="000E50F1" w:rsidRDefault="00904D3E" w:rsidP="00904D3E">
      <w:pPr>
        <w:tabs>
          <w:tab w:val="left" w:pos="1560"/>
        </w:tabs>
        <w:ind w:right="559"/>
        <w:rPr>
          <w:rFonts w:ascii="Times" w:hAnsi="Times" w:cs="Arial"/>
        </w:rPr>
      </w:pPr>
    </w:p>
    <w:p w14:paraId="09B494B1" w14:textId="203C60C7" w:rsidR="00904D3E" w:rsidRPr="000E50F1" w:rsidRDefault="00904D3E" w:rsidP="00904D3E">
      <w:pPr>
        <w:tabs>
          <w:tab w:val="left" w:pos="1560"/>
        </w:tabs>
        <w:ind w:right="559"/>
        <w:rPr>
          <w:rFonts w:ascii="Times" w:hAnsi="Times" w:cs="Arial"/>
        </w:rPr>
      </w:pPr>
      <w:r w:rsidRPr="000E50F1">
        <w:rPr>
          <w:rFonts w:ascii="Times" w:hAnsi="Times" w:cs="Arial"/>
        </w:rPr>
        <w:t xml:space="preserve">To this end, three unique studies were undertaken from 2014 to 2017. These studies were conducted in response to the urgency </w:t>
      </w:r>
      <w:r w:rsidR="00AF7E65" w:rsidRPr="000E50F1">
        <w:rPr>
          <w:rFonts w:ascii="Times" w:hAnsi="Times" w:cs="Arial"/>
        </w:rPr>
        <w:t xml:space="preserve">of </w:t>
      </w:r>
      <w:r w:rsidRPr="000E50F1">
        <w:rPr>
          <w:rFonts w:ascii="Times" w:hAnsi="Times" w:cs="Arial"/>
        </w:rPr>
        <w:t xml:space="preserve">shifting contexts </w:t>
      </w:r>
      <w:r w:rsidR="00AF7E65" w:rsidRPr="000E50F1">
        <w:rPr>
          <w:rFonts w:ascii="Times" w:hAnsi="Times" w:cs="Arial"/>
        </w:rPr>
        <w:t xml:space="preserve">(i.e. temporal and spatial dimensions) </w:t>
      </w:r>
      <w:r w:rsidRPr="000E50F1">
        <w:rPr>
          <w:rFonts w:ascii="Times" w:hAnsi="Times" w:cs="Arial"/>
        </w:rPr>
        <w:t>in Canadian immigration in 2015 (and following) as a result of critical changes</w:t>
      </w:r>
      <w:r w:rsidR="00AF7E65" w:rsidRPr="000E50F1">
        <w:rPr>
          <w:rFonts w:ascii="Times" w:hAnsi="Times" w:cs="Arial"/>
        </w:rPr>
        <w:t xml:space="preserve">. </w:t>
      </w:r>
      <w:r w:rsidRPr="000E50F1">
        <w:rPr>
          <w:rFonts w:ascii="Times" w:hAnsi="Times" w:cs="Arial"/>
        </w:rPr>
        <w:t>The first</w:t>
      </w:r>
      <w:r w:rsidR="00AF7E65" w:rsidRPr="000E50F1">
        <w:rPr>
          <w:rFonts w:ascii="Times" w:hAnsi="Times" w:cs="Arial"/>
        </w:rPr>
        <w:t xml:space="preserve"> is the </w:t>
      </w:r>
      <w:r w:rsidRPr="000E50F1">
        <w:rPr>
          <w:rFonts w:ascii="Times" w:hAnsi="Times" w:cs="Arial"/>
        </w:rPr>
        <w:t>immediate impact of Express Entry implementation</w:t>
      </w:r>
      <w:r w:rsidR="00AF7E65" w:rsidRPr="000E50F1">
        <w:rPr>
          <w:rFonts w:ascii="Times" w:hAnsi="Times" w:cs="Arial"/>
        </w:rPr>
        <w:t xml:space="preserve"> in January 2015 on international students in Canada. </w:t>
      </w:r>
      <w:r w:rsidRPr="000E50F1">
        <w:rPr>
          <w:rFonts w:ascii="Times" w:hAnsi="Times" w:cs="Arial"/>
        </w:rPr>
        <w:t xml:space="preserve">The second </w:t>
      </w:r>
      <w:r w:rsidR="00AF7E65" w:rsidRPr="000E50F1">
        <w:rPr>
          <w:rFonts w:ascii="Times" w:hAnsi="Times" w:cs="Arial"/>
        </w:rPr>
        <w:t>is the impact</w:t>
      </w:r>
      <w:r w:rsidRPr="000E50F1">
        <w:rPr>
          <w:rFonts w:ascii="Times" w:hAnsi="Times" w:cs="Arial"/>
        </w:rPr>
        <w:t xml:space="preserve"> </w:t>
      </w:r>
      <w:r w:rsidR="00AF7E65" w:rsidRPr="000E50F1">
        <w:rPr>
          <w:rFonts w:ascii="Times" w:hAnsi="Times" w:cs="Arial"/>
        </w:rPr>
        <w:t xml:space="preserve">on communities across Canada </w:t>
      </w:r>
      <w:r w:rsidRPr="000E50F1">
        <w:rPr>
          <w:rFonts w:ascii="Times" w:hAnsi="Times" w:cs="Arial"/>
        </w:rPr>
        <w:t>following the Prime Minister</w:t>
      </w:r>
      <w:r w:rsidR="00AF7E65" w:rsidRPr="000E50F1">
        <w:rPr>
          <w:rFonts w:ascii="Times" w:hAnsi="Times" w:cs="Arial"/>
        </w:rPr>
        <w:t xml:space="preserve">’s </w:t>
      </w:r>
      <w:r w:rsidRPr="000E50F1">
        <w:rPr>
          <w:rFonts w:ascii="Times" w:hAnsi="Times" w:cs="Arial"/>
        </w:rPr>
        <w:t xml:space="preserve">announcement </w:t>
      </w:r>
      <w:r w:rsidR="00AF7E65" w:rsidRPr="000E50F1">
        <w:rPr>
          <w:rFonts w:ascii="Times" w:hAnsi="Times" w:cs="Arial"/>
        </w:rPr>
        <w:t xml:space="preserve">in October 2015 </w:t>
      </w:r>
      <w:r w:rsidRPr="000E50F1">
        <w:rPr>
          <w:rFonts w:ascii="Times" w:hAnsi="Times" w:cs="Arial"/>
        </w:rPr>
        <w:t xml:space="preserve">to rapidly resettle 25,000 Syrian refugees by the end of the </w:t>
      </w:r>
      <w:r w:rsidR="00AF7E65" w:rsidRPr="000E50F1">
        <w:rPr>
          <w:rFonts w:ascii="Times" w:hAnsi="Times" w:cs="Arial"/>
        </w:rPr>
        <w:t>year</w:t>
      </w:r>
      <w:r w:rsidRPr="000E50F1">
        <w:rPr>
          <w:rFonts w:ascii="Times" w:hAnsi="Times" w:cs="Arial"/>
        </w:rPr>
        <w:t xml:space="preserve">. </w:t>
      </w:r>
    </w:p>
    <w:p w14:paraId="6FB8F2AF" w14:textId="77777777" w:rsidR="00904D3E" w:rsidRPr="000E50F1" w:rsidRDefault="00904D3E" w:rsidP="00904D3E">
      <w:pPr>
        <w:tabs>
          <w:tab w:val="left" w:pos="1560"/>
        </w:tabs>
        <w:rPr>
          <w:rFonts w:ascii="Times" w:hAnsi="Times" w:cs="Arial"/>
        </w:rPr>
      </w:pPr>
    </w:p>
    <w:p w14:paraId="1B338174" w14:textId="44E97072" w:rsidR="00904D3E" w:rsidRPr="000E50F1" w:rsidRDefault="00D07CBE" w:rsidP="00904D3E">
      <w:pPr>
        <w:tabs>
          <w:tab w:val="left" w:pos="1560"/>
        </w:tabs>
        <w:rPr>
          <w:rFonts w:ascii="Times" w:hAnsi="Times" w:cs="Arial"/>
        </w:rPr>
      </w:pPr>
      <w:r w:rsidRPr="000E50F1">
        <w:rPr>
          <w:rFonts w:ascii="Times" w:hAnsi="Times" w:cs="Arial"/>
        </w:rPr>
        <w:t xml:space="preserve">International students represent an ideal immigration source for Canada. Despite recognition by the federal government of the attractiveness of international students, federal policies enacted in 2015 have inadvertently created barriers for international students wishing to become permanent residents. </w:t>
      </w:r>
      <w:r w:rsidR="00904D3E" w:rsidRPr="000E50F1">
        <w:rPr>
          <w:rFonts w:ascii="Times" w:hAnsi="Times" w:cs="Arial"/>
        </w:rPr>
        <w:t xml:space="preserve">In the first study, I examine the changes in economic immigrant selection (including system </w:t>
      </w:r>
      <w:r w:rsidR="00904D3E" w:rsidRPr="000E50F1">
        <w:rPr>
          <w:rFonts w:ascii="Times" w:hAnsi="Times" w:cs="Arial"/>
        </w:rPr>
        <w:lastRenderedPageBreak/>
        <w:t>recalibration</w:t>
      </w:r>
      <w:r w:rsidR="00904D3E" w:rsidRPr="000E50F1">
        <w:rPr>
          <w:rFonts w:ascii="Times" w:hAnsi="Times"/>
        </w:rPr>
        <w:t xml:space="preserve">) and its impact on international student </w:t>
      </w:r>
      <w:r w:rsidR="00AF7E65" w:rsidRPr="000E50F1">
        <w:rPr>
          <w:rFonts w:ascii="Times" w:hAnsi="Times"/>
        </w:rPr>
        <w:t xml:space="preserve">graduates </w:t>
      </w:r>
      <w:r w:rsidR="00904D3E" w:rsidRPr="000E50F1">
        <w:rPr>
          <w:rFonts w:ascii="Times" w:hAnsi="Times"/>
        </w:rPr>
        <w:t xml:space="preserve">in Canada </w:t>
      </w:r>
      <w:r w:rsidR="00AF7E65" w:rsidRPr="000E50F1">
        <w:rPr>
          <w:rFonts w:ascii="Times" w:hAnsi="Times"/>
        </w:rPr>
        <w:t>seeking permanent immigration</w:t>
      </w:r>
      <w:r w:rsidR="00904D3E" w:rsidRPr="000E50F1">
        <w:rPr>
          <w:rFonts w:ascii="Times" w:hAnsi="Times"/>
        </w:rPr>
        <w:t xml:space="preserve">. The outcome on international students (i.e. lower rates of admission in comparison to years past) suggest the ineffectiveness of the current vetting process to qualify those with Canadian education and work experience to be selected, despite Canada’s objective to retain these postgraduates in the labour market. </w:t>
      </w:r>
      <w:r w:rsidRPr="000E50F1">
        <w:rPr>
          <w:rFonts w:ascii="Times" w:hAnsi="Times"/>
        </w:rPr>
        <w:t xml:space="preserve">It is important to </w:t>
      </w:r>
      <w:r w:rsidR="00904D3E" w:rsidRPr="000E50F1">
        <w:rPr>
          <w:rFonts w:ascii="Times" w:hAnsi="Times"/>
        </w:rPr>
        <w:t xml:space="preserve">recognize </w:t>
      </w:r>
      <w:r w:rsidRPr="000E50F1">
        <w:rPr>
          <w:rFonts w:ascii="Times" w:hAnsi="Times"/>
        </w:rPr>
        <w:t xml:space="preserve">(and scrutinize) </w:t>
      </w:r>
      <w:r w:rsidR="00904D3E" w:rsidRPr="000E50F1">
        <w:rPr>
          <w:rFonts w:ascii="Times" w:hAnsi="Times"/>
        </w:rPr>
        <w:t>the</w:t>
      </w:r>
      <w:r w:rsidRPr="000E50F1">
        <w:rPr>
          <w:rFonts w:ascii="Times" w:hAnsi="Times"/>
        </w:rPr>
        <w:t>se</w:t>
      </w:r>
      <w:r w:rsidR="00904D3E" w:rsidRPr="000E50F1">
        <w:rPr>
          <w:rFonts w:ascii="Times" w:hAnsi="Times"/>
        </w:rPr>
        <w:t xml:space="preserve"> </w:t>
      </w:r>
      <w:r w:rsidRPr="000E50F1">
        <w:rPr>
          <w:rFonts w:ascii="Times" w:hAnsi="Times"/>
        </w:rPr>
        <w:t xml:space="preserve">trends, which can </w:t>
      </w:r>
      <w:r w:rsidR="00904D3E" w:rsidRPr="000E50F1">
        <w:rPr>
          <w:rFonts w:ascii="Times" w:hAnsi="Times"/>
        </w:rPr>
        <w:t xml:space="preserve"> creat</w:t>
      </w:r>
      <w:r w:rsidRPr="000E50F1">
        <w:rPr>
          <w:rFonts w:ascii="Times" w:hAnsi="Times"/>
        </w:rPr>
        <w:t>e</w:t>
      </w:r>
      <w:r w:rsidR="00904D3E" w:rsidRPr="000E50F1">
        <w:rPr>
          <w:rFonts w:ascii="Times" w:hAnsi="Times"/>
        </w:rPr>
        <w:t xml:space="preserve"> barriers to permanent immigration for international students</w:t>
      </w:r>
      <w:r w:rsidRPr="000E50F1">
        <w:rPr>
          <w:rFonts w:ascii="Times" w:hAnsi="Times"/>
        </w:rPr>
        <w:t xml:space="preserve"> and lead to conditions of inequities</w:t>
      </w:r>
      <w:r w:rsidR="00904D3E" w:rsidRPr="000E50F1">
        <w:rPr>
          <w:rFonts w:ascii="Times" w:hAnsi="Times"/>
        </w:rPr>
        <w:t xml:space="preserve">. Additionally, it is vital to identify where system recalibration may rectify future migratory flows and patterns of economic immigration. </w:t>
      </w:r>
    </w:p>
    <w:p w14:paraId="73778A16" w14:textId="6A1FA2D3" w:rsidR="009318F5" w:rsidRPr="000E50F1" w:rsidRDefault="009318F5" w:rsidP="00904D3E">
      <w:pPr>
        <w:tabs>
          <w:tab w:val="left" w:pos="1560"/>
        </w:tabs>
        <w:rPr>
          <w:rFonts w:ascii="Times" w:hAnsi="Times"/>
        </w:rPr>
      </w:pPr>
    </w:p>
    <w:p w14:paraId="21FA0A39" w14:textId="23C32048" w:rsidR="00904D3E" w:rsidRPr="000E50F1" w:rsidRDefault="00D07CBE" w:rsidP="00904D3E">
      <w:pPr>
        <w:tabs>
          <w:tab w:val="left" w:pos="1560"/>
        </w:tabs>
        <w:rPr>
          <w:rFonts w:ascii="Times" w:hAnsi="Times"/>
        </w:rPr>
      </w:pPr>
      <w:r w:rsidRPr="000E50F1">
        <w:rPr>
          <w:rFonts w:ascii="Times" w:hAnsi="Times"/>
        </w:rPr>
        <w:t>Following the federal government’s announcement to admit 25,000 Syrian refugees by the end of 2015, this propelled many communities to take up the call to coordinate and support the settlement of the new Syrian arrivals. Given the Hamilton Local Implication Partnership</w:t>
      </w:r>
      <w:r w:rsidR="002200D9" w:rsidRPr="000E50F1">
        <w:rPr>
          <w:rFonts w:ascii="Times" w:hAnsi="Times"/>
        </w:rPr>
        <w:t>’s</w:t>
      </w:r>
      <w:r w:rsidRPr="000E50F1">
        <w:rPr>
          <w:rFonts w:ascii="Times" w:hAnsi="Times"/>
        </w:rPr>
        <w:t xml:space="preserve"> (LIP) role and function </w:t>
      </w:r>
      <w:r w:rsidR="006A6835" w:rsidRPr="000E50F1">
        <w:rPr>
          <w:rFonts w:ascii="Times" w:hAnsi="Times"/>
        </w:rPr>
        <w:t>to execute</w:t>
      </w:r>
      <w:r w:rsidRPr="000E50F1">
        <w:rPr>
          <w:rFonts w:ascii="Times" w:hAnsi="Times"/>
        </w:rPr>
        <w:t xml:space="preserve"> place</w:t>
      </w:r>
      <w:r w:rsidRPr="000E50F1">
        <w:rPr>
          <w:rFonts w:ascii="Cambria Math" w:hAnsi="Cambria Math" w:cs="Cambria Math"/>
        </w:rPr>
        <w:t>‐</w:t>
      </w:r>
      <w:r w:rsidRPr="000E50F1">
        <w:rPr>
          <w:rFonts w:ascii="Times" w:hAnsi="Times"/>
        </w:rPr>
        <w:t xml:space="preserve">based approach </w:t>
      </w:r>
      <w:r w:rsidR="006A6835" w:rsidRPr="000E50F1">
        <w:rPr>
          <w:rFonts w:ascii="Times" w:hAnsi="Times"/>
        </w:rPr>
        <w:t xml:space="preserve">that </w:t>
      </w:r>
      <w:r w:rsidRPr="000E50F1">
        <w:rPr>
          <w:rFonts w:ascii="Times" w:hAnsi="Times"/>
        </w:rPr>
        <w:t>bypass</w:t>
      </w:r>
      <w:r w:rsidR="006A6835" w:rsidRPr="000E50F1">
        <w:rPr>
          <w:rFonts w:ascii="Times" w:hAnsi="Times"/>
        </w:rPr>
        <w:t>es</w:t>
      </w:r>
      <w:r w:rsidRPr="000E50F1">
        <w:rPr>
          <w:rFonts w:ascii="Times" w:hAnsi="Times"/>
        </w:rPr>
        <w:t xml:space="preserve"> top</w:t>
      </w:r>
      <w:r w:rsidRPr="000E50F1">
        <w:rPr>
          <w:rFonts w:ascii="Cambria Math" w:hAnsi="Cambria Math" w:cs="Cambria Math"/>
        </w:rPr>
        <w:t>‐</w:t>
      </w:r>
      <w:r w:rsidRPr="000E50F1">
        <w:rPr>
          <w:rFonts w:ascii="Times" w:hAnsi="Times"/>
        </w:rPr>
        <w:t>down policy ineffectiveness</w:t>
      </w:r>
      <w:r w:rsidR="006A6835" w:rsidRPr="000E50F1">
        <w:rPr>
          <w:rFonts w:ascii="Times" w:hAnsi="Times"/>
        </w:rPr>
        <w:t xml:space="preserve">, </w:t>
      </w:r>
      <w:r w:rsidR="002200D9" w:rsidRPr="000E50F1">
        <w:rPr>
          <w:rFonts w:ascii="Times" w:hAnsi="Times"/>
        </w:rPr>
        <w:t>the i</w:t>
      </w:r>
      <w:r w:rsidRPr="000E50F1">
        <w:rPr>
          <w:rFonts w:ascii="Times" w:hAnsi="Times"/>
        </w:rPr>
        <w:t xml:space="preserve">nflux of Syrian newcomers to Hamilton presented an opportunity for Hamilton LIP to live out its potential. </w:t>
      </w:r>
      <w:r w:rsidR="00904D3E" w:rsidRPr="000E50F1">
        <w:rPr>
          <w:rFonts w:ascii="Times" w:hAnsi="Times"/>
        </w:rPr>
        <w:t xml:space="preserve">In the second study, I examine the impact of expedited refugee processing and community influx in an in-depth case study of the LIP in Hamilton, Ontario. This research examines the response of the Hamilton LIP to the Syrian Refugee Resettlement Initiative (SRRI). This research contextualizes various constraints (i.e. neoliberal policies and place history) encountered by the </w:t>
      </w:r>
      <w:r w:rsidRPr="000E50F1">
        <w:rPr>
          <w:rFonts w:ascii="Times" w:hAnsi="Times"/>
        </w:rPr>
        <w:t xml:space="preserve">Hamilton </w:t>
      </w:r>
      <w:r w:rsidR="00904D3E" w:rsidRPr="000E50F1">
        <w:rPr>
          <w:rFonts w:ascii="Times" w:hAnsi="Times"/>
        </w:rPr>
        <w:t xml:space="preserve">LIP to enact local and multilevel collaborative governance that would encourage cooperation between the federal, provincial, and municipal governments in resettlement. The impact of these constraints highlight the long-standing (and continued) challenge, and lack of jurisdiction, of local government and communities in refugee settlement in Canada. </w:t>
      </w:r>
    </w:p>
    <w:p w14:paraId="1066E056" w14:textId="77777777" w:rsidR="00904D3E" w:rsidRPr="000E50F1" w:rsidRDefault="00904D3E" w:rsidP="00904D3E">
      <w:pPr>
        <w:tabs>
          <w:tab w:val="left" w:pos="1560"/>
        </w:tabs>
        <w:rPr>
          <w:rFonts w:ascii="Times" w:hAnsi="Times"/>
        </w:rPr>
      </w:pPr>
    </w:p>
    <w:p w14:paraId="29B5B642" w14:textId="081C0AC7" w:rsidR="00FC21CA" w:rsidRPr="000E50F1" w:rsidRDefault="00904D3E" w:rsidP="00347790">
      <w:pPr>
        <w:tabs>
          <w:tab w:val="left" w:pos="1560"/>
        </w:tabs>
        <w:rPr>
          <w:rFonts w:ascii="Times" w:hAnsi="Times"/>
        </w:rPr>
      </w:pPr>
      <w:r w:rsidRPr="000E50F1">
        <w:rPr>
          <w:rFonts w:ascii="Times" w:hAnsi="Times"/>
        </w:rPr>
        <w:t>In the third study, I explore the context of pre-migratory exposure and post-migratory impact in a case study on refugee youth mental health in secondary schools (i.e., grade 9 to 12) in Hamilton, Ontario. In this research, I explore the role of settlement workers bridging</w:t>
      </w:r>
      <w:r w:rsidR="00441E54" w:rsidRPr="000E50F1">
        <w:rPr>
          <w:rFonts w:ascii="Times" w:hAnsi="Times"/>
        </w:rPr>
        <w:t xml:space="preserve"> support and brokering</w:t>
      </w:r>
      <w:r w:rsidRPr="000E50F1">
        <w:rPr>
          <w:rFonts w:ascii="Times" w:hAnsi="Times"/>
        </w:rPr>
        <w:t xml:space="preserve"> </w:t>
      </w:r>
      <w:r w:rsidR="00441E54" w:rsidRPr="000E50F1">
        <w:rPr>
          <w:rFonts w:ascii="Times" w:hAnsi="Times"/>
        </w:rPr>
        <w:t xml:space="preserve">places </w:t>
      </w:r>
      <w:r w:rsidRPr="000E50F1">
        <w:rPr>
          <w:rFonts w:ascii="Times" w:hAnsi="Times"/>
        </w:rPr>
        <w:t xml:space="preserve">of </w:t>
      </w:r>
      <w:r w:rsidR="00441E54" w:rsidRPr="000E50F1">
        <w:rPr>
          <w:rFonts w:ascii="Times" w:hAnsi="Times"/>
        </w:rPr>
        <w:t xml:space="preserve">mental health </w:t>
      </w:r>
      <w:r w:rsidRPr="000E50F1">
        <w:rPr>
          <w:rFonts w:ascii="Times" w:hAnsi="Times"/>
        </w:rPr>
        <w:t>access and accessibility</w:t>
      </w:r>
      <w:r w:rsidR="00441E54" w:rsidRPr="000E50F1">
        <w:rPr>
          <w:rFonts w:ascii="Times" w:hAnsi="Times"/>
        </w:rPr>
        <w:t xml:space="preserve"> in schools. Given their position, role, and lived experience of immigration, settlement workers’ human and social capital enabled </w:t>
      </w:r>
      <w:r w:rsidRPr="000E50F1">
        <w:rPr>
          <w:rFonts w:ascii="Times" w:hAnsi="Times"/>
        </w:rPr>
        <w:t xml:space="preserve">refugee youth and their families </w:t>
      </w:r>
      <w:r w:rsidR="00441E54" w:rsidRPr="000E50F1">
        <w:rPr>
          <w:rFonts w:ascii="Times" w:hAnsi="Times"/>
        </w:rPr>
        <w:t xml:space="preserve">to enact </w:t>
      </w:r>
      <w:r w:rsidRPr="000E50F1">
        <w:rPr>
          <w:rFonts w:ascii="Times" w:hAnsi="Times"/>
        </w:rPr>
        <w:t>agency to overcom</w:t>
      </w:r>
      <w:r w:rsidR="00441E54" w:rsidRPr="000E50F1">
        <w:rPr>
          <w:rFonts w:ascii="Times" w:hAnsi="Times"/>
        </w:rPr>
        <w:t>e</w:t>
      </w:r>
      <w:r w:rsidRPr="000E50F1">
        <w:rPr>
          <w:rFonts w:ascii="Times" w:hAnsi="Times"/>
        </w:rPr>
        <w:t xml:space="preserve"> cultural and structural barrier</w:t>
      </w:r>
      <w:r w:rsidR="00441E54" w:rsidRPr="000E50F1">
        <w:rPr>
          <w:rFonts w:ascii="Times" w:hAnsi="Times"/>
        </w:rPr>
        <w:t xml:space="preserve">, which often inhibit </w:t>
      </w:r>
      <w:r w:rsidR="002200D9" w:rsidRPr="000E50F1">
        <w:rPr>
          <w:rFonts w:ascii="Times" w:hAnsi="Times"/>
        </w:rPr>
        <w:t>their access to services</w:t>
      </w:r>
      <w:r w:rsidRPr="000E50F1">
        <w:rPr>
          <w:rFonts w:ascii="Times" w:hAnsi="Times"/>
        </w:rPr>
        <w:t xml:space="preserve">. This research identifies strategies to increase equitable access to mental health support in schools for refugee youth and identifies practices that promote population-focused and ethical support </w:t>
      </w:r>
      <w:r w:rsidR="00441E54" w:rsidRPr="000E50F1">
        <w:rPr>
          <w:rFonts w:ascii="Times" w:hAnsi="Times"/>
        </w:rPr>
        <w:t xml:space="preserve">that are </w:t>
      </w:r>
      <w:r w:rsidRPr="000E50F1">
        <w:rPr>
          <w:rFonts w:ascii="Times" w:hAnsi="Times"/>
        </w:rPr>
        <w:t>specific to students and their families</w:t>
      </w:r>
      <w:r w:rsidR="00441E54" w:rsidRPr="000E50F1">
        <w:rPr>
          <w:rFonts w:ascii="Times" w:hAnsi="Times"/>
        </w:rPr>
        <w:t xml:space="preserve"> that face language and cultural barriers when accessing health care</w:t>
      </w:r>
      <w:r w:rsidRPr="000E50F1">
        <w:rPr>
          <w:rFonts w:ascii="Times" w:hAnsi="Times"/>
        </w:rPr>
        <w:t xml:space="preserve">. </w:t>
      </w:r>
    </w:p>
    <w:p w14:paraId="36D61B42" w14:textId="77777777" w:rsidR="008B0456" w:rsidRPr="000E50F1" w:rsidRDefault="008B0456" w:rsidP="00347790">
      <w:pPr>
        <w:tabs>
          <w:tab w:val="left" w:pos="1560"/>
        </w:tabs>
      </w:pPr>
    </w:p>
    <w:p w14:paraId="6A1E9AF6" w14:textId="7CBAEA26" w:rsidR="000B44FF" w:rsidRPr="000E50F1" w:rsidRDefault="000B44FF" w:rsidP="000B44FF">
      <w:pPr>
        <w:pStyle w:val="Heading2"/>
        <w:spacing w:before="0" w:line="240" w:lineRule="auto"/>
        <w:rPr>
          <w:rFonts w:ascii="Times" w:eastAsia="Calibri" w:hAnsi="Times"/>
          <w:sz w:val="24"/>
          <w:szCs w:val="24"/>
        </w:rPr>
      </w:pPr>
      <w:bookmarkStart w:id="9" w:name="_Toc60231894"/>
      <w:r w:rsidRPr="000E50F1">
        <w:rPr>
          <w:rFonts w:ascii="Times" w:hAnsi="Times"/>
          <w:bCs/>
        </w:rPr>
        <w:t>1.3 Placing Immigration Research in Hamilton, Ontario</w:t>
      </w:r>
      <w:bookmarkEnd w:id="9"/>
      <w:r w:rsidRPr="000E50F1">
        <w:rPr>
          <w:rFonts w:ascii="Times" w:hAnsi="Times"/>
          <w:bCs/>
        </w:rPr>
        <w:t xml:space="preserve"> </w:t>
      </w:r>
    </w:p>
    <w:p w14:paraId="4F7C3ABF" w14:textId="33B061E3" w:rsidR="000B44FF" w:rsidRPr="000E50F1" w:rsidRDefault="000B44FF" w:rsidP="000B44FF">
      <w:pPr>
        <w:tabs>
          <w:tab w:val="left" w:pos="1560"/>
        </w:tabs>
        <w:rPr>
          <w:rFonts w:ascii="Times" w:hAnsi="Times"/>
        </w:rPr>
      </w:pPr>
      <w:r w:rsidRPr="000E50F1">
        <w:rPr>
          <w:rFonts w:ascii="Times" w:hAnsi="Times"/>
        </w:rPr>
        <w:t>Castle</w:t>
      </w:r>
      <w:r w:rsidR="0007432A" w:rsidRPr="000E50F1">
        <w:rPr>
          <w:rFonts w:ascii="Times" w:hAnsi="Times"/>
        </w:rPr>
        <w:t>s</w:t>
      </w:r>
      <w:r w:rsidRPr="000E50F1">
        <w:rPr>
          <w:rFonts w:ascii="Times" w:hAnsi="Times"/>
        </w:rPr>
        <w:t xml:space="preserve"> (2007: 358) states, “global forces are experienced at the local, national and regional levels, where they are mediated by varying historical and cultural </w:t>
      </w:r>
      <w:r w:rsidRPr="000E50F1">
        <w:rPr>
          <w:rFonts w:ascii="Times" w:hAnsi="Times"/>
        </w:rPr>
        <w:lastRenderedPageBreak/>
        <w:t xml:space="preserve">constellations. Global transformations must therefore be analysed on multiple spatial levels.” While much Canadian research has focused on large immigrant receiving cities such as Toronto, Montreal, and Vancouver, smaller mid-size cities are also deserving of attention. Hamilton, Ontario is an important Canadian city to ground current immigration debates for several reasons. The ebb and flow of its changing economy and demographics is typical of </w:t>
      </w:r>
      <w:r w:rsidR="00003A69" w:rsidRPr="000E50F1">
        <w:rPr>
          <w:rFonts w:ascii="Times" w:hAnsi="Times"/>
        </w:rPr>
        <w:t>a</w:t>
      </w:r>
      <w:r w:rsidRPr="000E50F1">
        <w:rPr>
          <w:rFonts w:ascii="Times" w:hAnsi="Times"/>
        </w:rPr>
        <w:t xml:space="preserve"> 21</w:t>
      </w:r>
      <w:r w:rsidRPr="000E50F1">
        <w:rPr>
          <w:rFonts w:ascii="Times" w:hAnsi="Times"/>
          <w:vertAlign w:val="superscript"/>
        </w:rPr>
        <w:t xml:space="preserve">st </w:t>
      </w:r>
      <w:r w:rsidRPr="000E50F1">
        <w:rPr>
          <w:rFonts w:ascii="Times" w:hAnsi="Times"/>
        </w:rPr>
        <w:t xml:space="preserve">century a post-industrial city. Hamilton’s industries have shifted from a predominantly manufacturing steel-based economy towards diversification in healthcare and research (City of Hamilton 2020). The interplay of economic revitalization and roll-back of neo-liberal policies are also reflected in Hamilton’s </w:t>
      </w:r>
      <w:r w:rsidR="00CF57EF" w:rsidRPr="000E50F1">
        <w:rPr>
          <w:rFonts w:ascii="Times" w:hAnsi="Times"/>
        </w:rPr>
        <w:t xml:space="preserve">contemporary </w:t>
      </w:r>
      <w:r w:rsidRPr="000E50F1">
        <w:rPr>
          <w:rFonts w:ascii="Times" w:hAnsi="Times"/>
        </w:rPr>
        <w:t>urban landscape. The previous</w:t>
      </w:r>
      <w:r w:rsidR="00CF57EF" w:rsidRPr="000E50F1">
        <w:rPr>
          <w:rFonts w:ascii="Times" w:hAnsi="Times"/>
        </w:rPr>
        <w:t xml:space="preserve"> often cited analogy of Hamilton’s</w:t>
      </w:r>
      <w:r w:rsidRPr="000E50F1">
        <w:rPr>
          <w:rFonts w:ascii="Times" w:hAnsi="Times"/>
        </w:rPr>
        <w:t xml:space="preserve"> “donut effect”</w:t>
      </w:r>
      <w:r w:rsidR="00CF57EF" w:rsidRPr="000E50F1">
        <w:rPr>
          <w:rFonts w:ascii="Times" w:hAnsi="Times"/>
        </w:rPr>
        <w:t xml:space="preserve">, which spoke of its </w:t>
      </w:r>
      <w:r w:rsidRPr="000E50F1">
        <w:rPr>
          <w:rFonts w:ascii="Times" w:hAnsi="Times"/>
        </w:rPr>
        <w:t xml:space="preserve">former </w:t>
      </w:r>
      <w:r w:rsidR="00CF57EF" w:rsidRPr="000E50F1">
        <w:rPr>
          <w:rFonts w:ascii="Times" w:hAnsi="Times"/>
        </w:rPr>
        <w:t xml:space="preserve">hollowing effect in the downturn business district, has entered into a new era of economic and social </w:t>
      </w:r>
      <w:r w:rsidRPr="000E50F1">
        <w:rPr>
          <w:rFonts w:ascii="Times" w:hAnsi="Times"/>
        </w:rPr>
        <w:t>transformation. Named as Canada’s number one city to invest in 2011 and 2012 (Author unknown 2012), the current rhetoric of Hamilton’s economic and cultural renaissance is juxtaposed by issues of gentrification and growing income inequality (Harris 2018)</w:t>
      </w:r>
      <w:r w:rsidR="00CF57EF" w:rsidRPr="000E50F1">
        <w:rPr>
          <w:rFonts w:ascii="Times" w:hAnsi="Times"/>
        </w:rPr>
        <w:t xml:space="preserve">, which are often exposed in the realities that fall along divides of race, class, gender, and immigration status in the city. </w:t>
      </w:r>
    </w:p>
    <w:p w14:paraId="6BE68288" w14:textId="77777777" w:rsidR="000B44FF" w:rsidRPr="000E50F1" w:rsidRDefault="000B44FF" w:rsidP="000B44FF">
      <w:pPr>
        <w:tabs>
          <w:tab w:val="left" w:pos="1560"/>
        </w:tabs>
        <w:rPr>
          <w:rFonts w:ascii="Times" w:hAnsi="Times"/>
        </w:rPr>
      </w:pPr>
    </w:p>
    <w:p w14:paraId="052A90BF" w14:textId="4746E2E7" w:rsidR="000B44FF" w:rsidRPr="000E50F1" w:rsidRDefault="000B44FF" w:rsidP="000B44FF">
      <w:pPr>
        <w:tabs>
          <w:tab w:val="left" w:pos="1560"/>
        </w:tabs>
        <w:rPr>
          <w:rFonts w:ascii="Times" w:hAnsi="Times"/>
        </w:rPr>
      </w:pPr>
      <w:r w:rsidRPr="000E50F1">
        <w:rPr>
          <w:rFonts w:ascii="Times" w:hAnsi="Times"/>
        </w:rPr>
        <w:t>Hamilton, Ontario remains a vital place for immigration research. Hamilton is home to many foreign born; including refugees and international students. Overall, 25% of Hamilton’s residents were born outside of Canada</w:t>
      </w:r>
      <w:r w:rsidR="00153F86" w:rsidRPr="000E50F1">
        <w:rPr>
          <w:rFonts w:ascii="Times" w:hAnsi="Times"/>
        </w:rPr>
        <w:t>,</w:t>
      </w:r>
      <w:r w:rsidRPr="000E50F1">
        <w:rPr>
          <w:rFonts w:ascii="Times" w:hAnsi="Times"/>
        </w:rPr>
        <w:t xml:space="preserve"> and Hamilton has welcomed a higher proportion of refugees in its immigrant population than Ontario (Social Planning and Research Council 2016). Hamilton’s history of helping newcomers, via the informal settlement network (i.e., faith-based and ethnocultural groups) and formal service provider agencies, also adds richness to this complex and interconnected locale (Dam 2019). Hamilton is also home to the largest private international boarding school (i.e., Columbia International College) in Canada, many of whom transition into post-secondary education and permanent residence thereafter. According to Buist (2016) there are approximately 5,000 international students in Hamilton and there is a strong desire to keep them here. Overall, </w:t>
      </w:r>
      <w:r w:rsidR="00580C11" w:rsidRPr="000E50F1">
        <w:rPr>
          <w:rFonts w:ascii="Times" w:hAnsi="Times"/>
        </w:rPr>
        <w:t xml:space="preserve">these </w:t>
      </w:r>
      <w:r w:rsidRPr="000E50F1">
        <w:rPr>
          <w:rFonts w:ascii="Times" w:hAnsi="Times"/>
        </w:rPr>
        <w:t>dynamics</w:t>
      </w:r>
      <w:r w:rsidR="00580C11" w:rsidRPr="000E50F1">
        <w:rPr>
          <w:rFonts w:ascii="Times" w:hAnsi="Times"/>
        </w:rPr>
        <w:t xml:space="preserve">, </w:t>
      </w:r>
      <w:r w:rsidRPr="000E50F1">
        <w:rPr>
          <w:rFonts w:ascii="Times" w:hAnsi="Times"/>
        </w:rPr>
        <w:t>historical</w:t>
      </w:r>
      <w:r w:rsidR="00580C11" w:rsidRPr="000E50F1">
        <w:rPr>
          <w:rFonts w:ascii="Times" w:hAnsi="Times"/>
        </w:rPr>
        <w:t>,</w:t>
      </w:r>
      <w:r w:rsidRPr="000E50F1">
        <w:rPr>
          <w:rFonts w:ascii="Times" w:hAnsi="Times"/>
        </w:rPr>
        <w:t xml:space="preserve"> and contemporary contexts make Hamilton an important place worthy of ongoing </w:t>
      </w:r>
      <w:r w:rsidR="00580C11" w:rsidRPr="000E50F1">
        <w:rPr>
          <w:rFonts w:ascii="Times" w:hAnsi="Times"/>
        </w:rPr>
        <w:t xml:space="preserve">academic </w:t>
      </w:r>
      <w:r w:rsidRPr="000E50F1">
        <w:rPr>
          <w:rFonts w:ascii="Times" w:hAnsi="Times"/>
        </w:rPr>
        <w:t>investigation.</w:t>
      </w:r>
    </w:p>
    <w:p w14:paraId="501D5143" w14:textId="485C1E65" w:rsidR="00AD78A0" w:rsidRPr="000E50F1" w:rsidRDefault="00AD78A0" w:rsidP="007F2FEF">
      <w:pPr>
        <w:tabs>
          <w:tab w:val="left" w:pos="1560"/>
        </w:tabs>
        <w:rPr>
          <w:rFonts w:ascii="Times" w:hAnsi="Times" w:cs="Arial"/>
        </w:rPr>
      </w:pPr>
    </w:p>
    <w:p w14:paraId="62391F9C" w14:textId="2EEF6E33" w:rsidR="00FC21CA" w:rsidRPr="000E50F1" w:rsidRDefault="00FC21CA" w:rsidP="002B4FDC">
      <w:pPr>
        <w:pStyle w:val="Heading2"/>
        <w:spacing w:before="0" w:line="240" w:lineRule="auto"/>
        <w:rPr>
          <w:rFonts w:ascii="Times" w:eastAsia="Calibri" w:hAnsi="Times"/>
          <w:sz w:val="24"/>
          <w:szCs w:val="24"/>
        </w:rPr>
      </w:pPr>
      <w:bookmarkStart w:id="10" w:name="_Toc60231895"/>
      <w:r w:rsidRPr="000E50F1">
        <w:rPr>
          <w:rFonts w:ascii="Times" w:hAnsi="Times"/>
          <w:bCs/>
        </w:rPr>
        <w:t>1.4 Migration as Social &amp; Geographical Transformation</w:t>
      </w:r>
      <w:bookmarkEnd w:id="10"/>
    </w:p>
    <w:p w14:paraId="447E9FAE" w14:textId="18CB17F0" w:rsidR="00FC21CA" w:rsidRPr="000E50F1" w:rsidRDefault="00FC21CA" w:rsidP="00FC21CA">
      <w:pPr>
        <w:tabs>
          <w:tab w:val="left" w:pos="1560"/>
        </w:tabs>
        <w:rPr>
          <w:rFonts w:ascii="Times" w:hAnsi="Times"/>
        </w:rPr>
      </w:pPr>
      <w:r w:rsidRPr="000E50F1">
        <w:rPr>
          <w:rFonts w:ascii="Times" w:hAnsi="Times"/>
        </w:rPr>
        <w:t>According to Castle</w:t>
      </w:r>
      <w:r w:rsidR="0007432A" w:rsidRPr="000E50F1">
        <w:rPr>
          <w:rFonts w:ascii="Times" w:hAnsi="Times"/>
        </w:rPr>
        <w:t>s</w:t>
      </w:r>
      <w:r w:rsidRPr="000E50F1">
        <w:rPr>
          <w:rFonts w:ascii="Times" w:hAnsi="Times"/>
        </w:rPr>
        <w:t xml:space="preserve"> (2010), the search for a ‘single’ grand theory of migration at the end of 20</w:t>
      </w:r>
      <w:r w:rsidRPr="000E50F1">
        <w:rPr>
          <w:rFonts w:ascii="Times" w:hAnsi="Times"/>
          <w:vertAlign w:val="superscript"/>
        </w:rPr>
        <w:t xml:space="preserve">th </w:t>
      </w:r>
      <w:r w:rsidRPr="000E50F1">
        <w:rPr>
          <w:rFonts w:ascii="Times" w:hAnsi="Times"/>
        </w:rPr>
        <w:t>century to explain why some people become mobile and its impact is neither possible nor desirable. While the interest of researchers to understand migration across various academic disciplines have multiplied, Castle</w:t>
      </w:r>
      <w:r w:rsidR="0007432A" w:rsidRPr="000E50F1">
        <w:rPr>
          <w:rFonts w:ascii="Times" w:hAnsi="Times"/>
        </w:rPr>
        <w:t>s</w:t>
      </w:r>
      <w:r w:rsidRPr="000E50F1">
        <w:rPr>
          <w:rFonts w:ascii="Times" w:hAnsi="Times"/>
        </w:rPr>
        <w:t xml:space="preserve"> (2010) has noted that the lack of conceptual framework to serve as a starting point for intellectual debates or aid in the formation of hypotheses have resulted in what Czarina and de Haas (2013) described as the “conceptual confusion” in immigration research. With some focusing on the impact of specific measures on certain immigration categories over limited time periods and others offering more </w:t>
      </w:r>
      <w:r w:rsidRPr="000E50F1">
        <w:rPr>
          <w:rFonts w:ascii="Times" w:hAnsi="Times"/>
        </w:rPr>
        <w:lastRenderedPageBreak/>
        <w:t xml:space="preserve">generic assessments of the effects of migration policies on long-term trends, these have led to differing conclusions in the debate about what constitutes effective migration policy (Czarina and de Haas (2013). </w:t>
      </w:r>
    </w:p>
    <w:p w14:paraId="48C0A14A" w14:textId="77777777" w:rsidR="00FC21CA" w:rsidRPr="000E50F1" w:rsidRDefault="00FC21CA" w:rsidP="00FC21CA">
      <w:pPr>
        <w:tabs>
          <w:tab w:val="left" w:pos="1560"/>
        </w:tabs>
        <w:rPr>
          <w:rFonts w:ascii="Times" w:hAnsi="Times"/>
        </w:rPr>
      </w:pPr>
    </w:p>
    <w:p w14:paraId="20F86DE0" w14:textId="475A6717" w:rsidR="00FC21CA" w:rsidRPr="000E50F1" w:rsidRDefault="00FC21CA" w:rsidP="00FC21CA">
      <w:pPr>
        <w:tabs>
          <w:tab w:val="left" w:pos="1560"/>
        </w:tabs>
        <w:rPr>
          <w:rFonts w:ascii="Times" w:hAnsi="Times"/>
          <w:spacing w:val="-5"/>
        </w:rPr>
      </w:pPr>
      <w:r w:rsidRPr="000E50F1">
        <w:rPr>
          <w:rFonts w:ascii="Times" w:hAnsi="Times"/>
        </w:rPr>
        <w:t>To resolve this, Castle</w:t>
      </w:r>
      <w:r w:rsidR="0007432A" w:rsidRPr="000E50F1">
        <w:rPr>
          <w:rFonts w:ascii="Times" w:hAnsi="Times"/>
        </w:rPr>
        <w:t>s</w:t>
      </w:r>
      <w:r w:rsidRPr="000E50F1">
        <w:rPr>
          <w:rFonts w:ascii="Times" w:hAnsi="Times"/>
        </w:rPr>
        <w:t xml:space="preserve"> (2010) suggest that 21</w:t>
      </w:r>
      <w:r w:rsidRPr="000E50F1">
        <w:rPr>
          <w:rFonts w:ascii="Times" w:hAnsi="Times"/>
          <w:vertAlign w:val="superscript"/>
        </w:rPr>
        <w:t xml:space="preserve">st </w:t>
      </w:r>
      <w:r w:rsidRPr="000E50F1">
        <w:rPr>
          <w:rFonts w:ascii="Times" w:hAnsi="Times"/>
        </w:rPr>
        <w:t>migration researchers ought to embed their work in broader theories of social change to facilitate understanding of the complexity, interconnectedness, variability, contextuality and multi-mediation of migratory process in the context of rapid change. Castle</w:t>
      </w:r>
      <w:r w:rsidR="0007432A" w:rsidRPr="000E50F1">
        <w:rPr>
          <w:rFonts w:ascii="Times" w:hAnsi="Times"/>
        </w:rPr>
        <w:t>s</w:t>
      </w:r>
      <w:r w:rsidRPr="000E50F1">
        <w:rPr>
          <w:rFonts w:ascii="Times" w:hAnsi="Times"/>
        </w:rPr>
        <w:t xml:space="preserve"> (2010) emphasizes the importance of examining the dynamics of migration as part of the complex and varied process of societal change, which is in fact a reflection of the transformation of structures and institutions arising through major changes in global, political, economic, and social relationships. Such an embedding could bring this body of work out of isolation and into conformity with the empirical conditions suggested by Massey (1998) over two decades ago. </w:t>
      </w:r>
    </w:p>
    <w:p w14:paraId="6567ADC5" w14:textId="77777777" w:rsidR="00C07EAE" w:rsidRPr="000E50F1" w:rsidRDefault="00C07EAE" w:rsidP="00C07EAE">
      <w:pPr>
        <w:rPr>
          <w:lang w:val="en-US"/>
        </w:rPr>
      </w:pPr>
    </w:p>
    <w:p w14:paraId="50D2AC7B" w14:textId="028D2473" w:rsidR="005D2A6F" w:rsidRPr="000E50F1" w:rsidRDefault="005D2A6F" w:rsidP="005D2A6F">
      <w:pPr>
        <w:rPr>
          <w:rFonts w:ascii="Times" w:hAnsi="Times"/>
        </w:rPr>
      </w:pPr>
      <w:r w:rsidRPr="000E50F1">
        <w:rPr>
          <w:rFonts w:ascii="Times" w:hAnsi="Times"/>
          <w:spacing w:val="-5"/>
        </w:rPr>
        <w:t xml:space="preserve">The thesis </w:t>
      </w:r>
      <w:r w:rsidR="00C07EAE" w:rsidRPr="000E50F1">
        <w:rPr>
          <w:rFonts w:ascii="Times" w:hAnsi="Times"/>
          <w:spacing w:val="-5"/>
        </w:rPr>
        <w:t xml:space="preserve">addresses this dearth in </w:t>
      </w:r>
      <w:r w:rsidR="00BF6FBF" w:rsidRPr="000E50F1">
        <w:rPr>
          <w:rFonts w:ascii="Times" w:hAnsi="Times"/>
          <w:spacing w:val="-5"/>
        </w:rPr>
        <w:t xml:space="preserve">migration </w:t>
      </w:r>
      <w:r w:rsidR="00C07EAE" w:rsidRPr="000E50F1">
        <w:rPr>
          <w:rFonts w:ascii="Times" w:hAnsi="Times"/>
          <w:spacing w:val="-5"/>
        </w:rPr>
        <w:t xml:space="preserve">research by employing a geographical lens and linking these processes and complexities to structuration theory. This thesis </w:t>
      </w:r>
      <w:r w:rsidRPr="000E50F1">
        <w:rPr>
          <w:rFonts w:ascii="Times" w:hAnsi="Times"/>
          <w:spacing w:val="-5"/>
        </w:rPr>
        <w:t xml:space="preserve">builds upon the three social scientific domains of place, culture, and health, which have been studied independently, in paired combinations, and together by geographers (Gesler and Kearns 2005). Researchers applying these domains to the study of immigration, settlement, integration can </w:t>
      </w:r>
      <w:r w:rsidR="00C07EAE" w:rsidRPr="000E50F1">
        <w:rPr>
          <w:rFonts w:ascii="Times" w:hAnsi="Times"/>
          <w:spacing w:val="-5"/>
        </w:rPr>
        <w:t xml:space="preserve">advance studies of migration </w:t>
      </w:r>
      <w:r w:rsidRPr="000E50F1">
        <w:rPr>
          <w:rFonts w:ascii="Times" w:hAnsi="Times"/>
          <w:spacing w:val="-5"/>
        </w:rPr>
        <w:t xml:space="preserve">within </w:t>
      </w:r>
      <w:r w:rsidRPr="000E50F1">
        <w:rPr>
          <w:rFonts w:ascii="Times" w:hAnsi="Times"/>
        </w:rPr>
        <w:t>those broader theories of social change as suggested by Castle</w:t>
      </w:r>
      <w:r w:rsidR="0007432A" w:rsidRPr="000E50F1">
        <w:rPr>
          <w:rFonts w:ascii="Times" w:hAnsi="Times"/>
        </w:rPr>
        <w:t>s</w:t>
      </w:r>
      <w:r w:rsidRPr="000E50F1">
        <w:rPr>
          <w:rFonts w:ascii="Times" w:hAnsi="Times"/>
        </w:rPr>
        <w:t xml:space="preserve"> (2010).</w:t>
      </w:r>
    </w:p>
    <w:p w14:paraId="5ADD4766" w14:textId="77777777" w:rsidR="00E80AAE" w:rsidRPr="000E50F1" w:rsidRDefault="00E80AAE" w:rsidP="009E11D8">
      <w:pPr>
        <w:rPr>
          <w:b/>
          <w:bCs/>
          <w:i/>
          <w:iCs/>
        </w:rPr>
      </w:pPr>
    </w:p>
    <w:p w14:paraId="0BC9A770" w14:textId="747C2D28" w:rsidR="00FC21CA" w:rsidRPr="000E50F1" w:rsidRDefault="000B44FF" w:rsidP="009E11D8">
      <w:pPr>
        <w:rPr>
          <w:rFonts w:ascii="Times" w:hAnsi="Times"/>
          <w:spacing w:val="-5"/>
        </w:rPr>
      </w:pPr>
      <w:r w:rsidRPr="000E50F1">
        <w:rPr>
          <w:b/>
          <w:bCs/>
          <w:i/>
          <w:iCs/>
        </w:rPr>
        <w:t>Geography Lens</w:t>
      </w:r>
      <w:r w:rsidR="00FC21CA" w:rsidRPr="000E50F1">
        <w:rPr>
          <w:rFonts w:ascii="Times" w:hAnsi="Times"/>
          <w:spacing w:val="-5"/>
        </w:rPr>
        <w:t xml:space="preserve"> </w:t>
      </w:r>
    </w:p>
    <w:p w14:paraId="39CCDBEF" w14:textId="47C0EC0D" w:rsidR="00F179C9" w:rsidRPr="000E50F1" w:rsidRDefault="000B44FF" w:rsidP="000B44FF">
      <w:pPr>
        <w:tabs>
          <w:tab w:val="left" w:pos="1560"/>
        </w:tabs>
        <w:rPr>
          <w:rFonts w:ascii="Times" w:hAnsi="Times"/>
          <w:spacing w:val="-5"/>
        </w:rPr>
      </w:pPr>
      <w:r w:rsidRPr="000E50F1">
        <w:rPr>
          <w:rFonts w:ascii="Times" w:hAnsi="Times"/>
        </w:rPr>
        <w:t xml:space="preserve">This research is situated in the sub-discipline of </w:t>
      </w:r>
      <w:r w:rsidR="00B63CB0" w:rsidRPr="000E50F1">
        <w:rPr>
          <w:rFonts w:ascii="Times" w:hAnsi="Times"/>
        </w:rPr>
        <w:t>social</w:t>
      </w:r>
      <w:r w:rsidRPr="000E50F1">
        <w:rPr>
          <w:rFonts w:ascii="Times" w:hAnsi="Times"/>
        </w:rPr>
        <w:t xml:space="preserve"> and health geography </w:t>
      </w:r>
      <w:r w:rsidR="002270D8" w:rsidRPr="000E50F1">
        <w:rPr>
          <w:rFonts w:ascii="Times" w:hAnsi="Times"/>
        </w:rPr>
        <w:t>in</w:t>
      </w:r>
      <w:r w:rsidRPr="000E50F1">
        <w:rPr>
          <w:rFonts w:ascii="Times" w:hAnsi="Times"/>
        </w:rPr>
        <w:t xml:space="preserve"> it</w:t>
      </w:r>
      <w:r w:rsidR="002270D8" w:rsidRPr="000E50F1">
        <w:rPr>
          <w:rFonts w:ascii="Times" w:hAnsi="Times"/>
        </w:rPr>
        <w:t>s</w:t>
      </w:r>
      <w:r w:rsidRPr="000E50F1">
        <w:rPr>
          <w:rFonts w:ascii="Times" w:hAnsi="Times"/>
        </w:rPr>
        <w:t xml:space="preserve"> investigat</w:t>
      </w:r>
      <w:r w:rsidR="002270D8" w:rsidRPr="000E50F1">
        <w:rPr>
          <w:rFonts w:ascii="Times" w:hAnsi="Times"/>
        </w:rPr>
        <w:t xml:space="preserve">ion of </w:t>
      </w:r>
      <w:r w:rsidRPr="000E50F1">
        <w:rPr>
          <w:rFonts w:ascii="Times" w:hAnsi="Times"/>
        </w:rPr>
        <w:t>‘place’</w:t>
      </w:r>
      <w:r w:rsidR="002270D8" w:rsidRPr="000E50F1">
        <w:rPr>
          <w:rFonts w:ascii="Times" w:hAnsi="Times"/>
        </w:rPr>
        <w:t xml:space="preserve"> in </w:t>
      </w:r>
      <w:r w:rsidRPr="000E50F1">
        <w:rPr>
          <w:rFonts w:ascii="Times" w:hAnsi="Times"/>
        </w:rPr>
        <w:t>immigration, settlement and integration in one mid-size post-industrial Canadian city in Ontario. The significance of understa</w:t>
      </w:r>
      <w:r w:rsidR="00F179C9" w:rsidRPr="000E50F1">
        <w:rPr>
          <w:rFonts w:ascii="Times" w:hAnsi="Times"/>
        </w:rPr>
        <w:t>ndin</w:t>
      </w:r>
      <w:r w:rsidRPr="000E50F1">
        <w:rPr>
          <w:rFonts w:ascii="Times" w:hAnsi="Times"/>
        </w:rPr>
        <w:t>g and representing ‘place’ in social and health geography research came with the adoption of a relational approach in which space was implicated in human activity and vice versa (Jones and Moon 1993). This thesis is connected to, and by, place. It demonstrates the role of locality and human activity in Hamilton in structuring the social and health impact in place, and these have in turn transformed Hamilton itself. Geographers</w:t>
      </w:r>
      <w:r w:rsidR="003B0732" w:rsidRPr="000E50F1">
        <w:rPr>
          <w:rFonts w:ascii="Times" w:hAnsi="Times"/>
        </w:rPr>
        <w:t>’</w:t>
      </w:r>
      <w:r w:rsidRPr="000E50F1">
        <w:rPr>
          <w:rFonts w:ascii="Times" w:hAnsi="Times"/>
        </w:rPr>
        <w:t xml:space="preserve"> view of ‘place’ as context embodi</w:t>
      </w:r>
      <w:r w:rsidR="003B0732" w:rsidRPr="000E50F1">
        <w:rPr>
          <w:rFonts w:ascii="Times" w:hAnsi="Times"/>
        </w:rPr>
        <w:t>es</w:t>
      </w:r>
      <w:r w:rsidRPr="000E50F1">
        <w:rPr>
          <w:rFonts w:ascii="Times" w:hAnsi="Times"/>
        </w:rPr>
        <w:t xml:space="preserve"> more than simply a passive surface where the interaction between structure and agency is played out, rather, place </w:t>
      </w:r>
      <w:r w:rsidR="003B0732" w:rsidRPr="000E50F1">
        <w:rPr>
          <w:rFonts w:ascii="Times" w:hAnsi="Times"/>
        </w:rPr>
        <w:t xml:space="preserve">is </w:t>
      </w:r>
      <w:r w:rsidRPr="000E50F1">
        <w:rPr>
          <w:rFonts w:ascii="Times" w:hAnsi="Times"/>
        </w:rPr>
        <w:t xml:space="preserve">itself an outcome. As stated by Kearns and Joseph (1993: 175), “Places record the constant ebb and flow of social policy and its local outcomes. It is this palimpsest of places that provides the mottle canvas upon which the record of new initiatives and fresh injustices is written”. </w:t>
      </w:r>
      <w:r w:rsidRPr="000E50F1">
        <w:rPr>
          <w:rFonts w:ascii="Times" w:hAnsi="Times"/>
          <w:spacing w:val="-5"/>
        </w:rPr>
        <w:t xml:space="preserve">Thus, </w:t>
      </w:r>
      <w:r w:rsidR="004B4B59" w:rsidRPr="000E50F1">
        <w:rPr>
          <w:rFonts w:ascii="Times" w:hAnsi="Times"/>
          <w:spacing w:val="-5"/>
        </w:rPr>
        <w:t>‘</w:t>
      </w:r>
      <w:r w:rsidRPr="000E50F1">
        <w:rPr>
          <w:rFonts w:ascii="Times" w:hAnsi="Times"/>
          <w:spacing w:val="-5"/>
        </w:rPr>
        <w:t>place</w:t>
      </w:r>
      <w:r w:rsidR="004B4B59" w:rsidRPr="000E50F1">
        <w:rPr>
          <w:rFonts w:ascii="Times" w:hAnsi="Times"/>
          <w:spacing w:val="-5"/>
        </w:rPr>
        <w:t>’</w:t>
      </w:r>
      <w:r w:rsidRPr="000E50F1">
        <w:rPr>
          <w:rFonts w:ascii="Times" w:hAnsi="Times"/>
          <w:spacing w:val="-5"/>
        </w:rPr>
        <w:t xml:space="preserve"> in this research is </w:t>
      </w:r>
      <w:r w:rsidR="003B0732" w:rsidRPr="000E50F1">
        <w:rPr>
          <w:rFonts w:ascii="Times" w:hAnsi="Times"/>
          <w:spacing w:val="-5"/>
        </w:rPr>
        <w:t xml:space="preserve">understood and operationalized </w:t>
      </w:r>
      <w:r w:rsidRPr="000E50F1">
        <w:rPr>
          <w:rFonts w:ascii="Times" w:hAnsi="Times"/>
          <w:spacing w:val="-5"/>
        </w:rPr>
        <w:t>as immigration</w:t>
      </w:r>
      <w:r w:rsidR="003B0732" w:rsidRPr="000E50F1">
        <w:rPr>
          <w:rFonts w:ascii="Times" w:hAnsi="Times"/>
          <w:spacing w:val="-5"/>
        </w:rPr>
        <w:t xml:space="preserve">, settlement, and integration processes and </w:t>
      </w:r>
      <w:r w:rsidRPr="000E50F1">
        <w:rPr>
          <w:rFonts w:ascii="Times" w:hAnsi="Times"/>
          <w:spacing w:val="-5"/>
        </w:rPr>
        <w:t>outcomes</w:t>
      </w:r>
      <w:r w:rsidR="003B0732" w:rsidRPr="000E50F1">
        <w:rPr>
          <w:rFonts w:ascii="Times" w:hAnsi="Times"/>
          <w:spacing w:val="-5"/>
        </w:rPr>
        <w:t xml:space="preserve">, which are </w:t>
      </w:r>
      <w:r w:rsidRPr="000E50F1">
        <w:rPr>
          <w:rFonts w:ascii="Times" w:hAnsi="Times"/>
          <w:spacing w:val="-5"/>
        </w:rPr>
        <w:t xml:space="preserve">the embodiment of </w:t>
      </w:r>
      <w:r w:rsidR="003B0732" w:rsidRPr="000E50F1">
        <w:rPr>
          <w:rFonts w:ascii="Times" w:hAnsi="Times"/>
          <w:spacing w:val="-5"/>
        </w:rPr>
        <w:t xml:space="preserve">evolving </w:t>
      </w:r>
      <w:r w:rsidRPr="000E50F1">
        <w:rPr>
          <w:rFonts w:ascii="Times" w:hAnsi="Times"/>
          <w:spacing w:val="-5"/>
        </w:rPr>
        <w:t>social transformation</w:t>
      </w:r>
      <w:r w:rsidR="004B4B59" w:rsidRPr="000E50F1">
        <w:rPr>
          <w:rFonts w:ascii="Times" w:hAnsi="Times"/>
          <w:spacing w:val="-5"/>
        </w:rPr>
        <w:t xml:space="preserve"> of place</w:t>
      </w:r>
      <w:r w:rsidRPr="000E50F1">
        <w:rPr>
          <w:rFonts w:ascii="Times" w:hAnsi="Times"/>
          <w:spacing w:val="-5"/>
        </w:rPr>
        <w:t>.</w:t>
      </w:r>
      <w:r w:rsidR="00F179C9" w:rsidRPr="000E50F1">
        <w:rPr>
          <w:rFonts w:ascii="Times" w:hAnsi="Times"/>
          <w:spacing w:val="-5"/>
        </w:rPr>
        <w:t xml:space="preserve"> </w:t>
      </w:r>
    </w:p>
    <w:p w14:paraId="33F38C69" w14:textId="215E60FA" w:rsidR="007C3CCB" w:rsidRPr="000E50F1" w:rsidRDefault="007C3CCB" w:rsidP="000B44FF">
      <w:pPr>
        <w:tabs>
          <w:tab w:val="left" w:pos="1560"/>
        </w:tabs>
        <w:rPr>
          <w:rFonts w:ascii="Times" w:hAnsi="Times"/>
          <w:spacing w:val="-5"/>
        </w:rPr>
      </w:pPr>
    </w:p>
    <w:p w14:paraId="532204BC" w14:textId="049199F7" w:rsidR="00347790" w:rsidRPr="000E50F1" w:rsidRDefault="007C3CCB" w:rsidP="00347790">
      <w:pPr>
        <w:tabs>
          <w:tab w:val="left" w:pos="1560"/>
        </w:tabs>
        <w:rPr>
          <w:rFonts w:ascii="Times" w:hAnsi="Times"/>
        </w:rPr>
      </w:pPr>
      <w:r w:rsidRPr="000E50F1">
        <w:rPr>
          <w:rFonts w:ascii="Times" w:hAnsi="Times"/>
          <w:spacing w:val="-5"/>
        </w:rPr>
        <w:t xml:space="preserve">It is worthy to highlight the ‘cultural turn’ </w:t>
      </w:r>
      <w:r w:rsidR="00D25479" w:rsidRPr="000E50F1">
        <w:rPr>
          <w:rFonts w:ascii="Times" w:hAnsi="Times"/>
          <w:spacing w:val="-5"/>
        </w:rPr>
        <w:t xml:space="preserve">of </w:t>
      </w:r>
      <w:r w:rsidRPr="000E50F1">
        <w:rPr>
          <w:rFonts w:ascii="Times" w:hAnsi="Times"/>
          <w:spacing w:val="-5"/>
        </w:rPr>
        <w:t>medical to health geography in the field</w:t>
      </w:r>
      <w:r w:rsidR="00D25479" w:rsidRPr="000E50F1">
        <w:rPr>
          <w:rFonts w:ascii="Times" w:hAnsi="Times"/>
          <w:spacing w:val="-5"/>
        </w:rPr>
        <w:t>,</w:t>
      </w:r>
      <w:r w:rsidR="0048499A" w:rsidRPr="000E50F1">
        <w:rPr>
          <w:rFonts w:ascii="Times" w:hAnsi="Times"/>
          <w:spacing w:val="-5"/>
        </w:rPr>
        <w:t xml:space="preserve"> </w:t>
      </w:r>
      <w:r w:rsidR="00D25479" w:rsidRPr="000E50F1">
        <w:rPr>
          <w:rFonts w:ascii="Times" w:hAnsi="Times"/>
          <w:spacing w:val="-5"/>
        </w:rPr>
        <w:t xml:space="preserve">which </w:t>
      </w:r>
      <w:r w:rsidRPr="000E50F1">
        <w:rPr>
          <w:rFonts w:ascii="Times" w:hAnsi="Times"/>
          <w:spacing w:val="-5"/>
        </w:rPr>
        <w:t>make</w:t>
      </w:r>
      <w:r w:rsidR="00D25479" w:rsidRPr="000E50F1">
        <w:rPr>
          <w:rFonts w:ascii="Times" w:hAnsi="Times"/>
          <w:spacing w:val="-5"/>
        </w:rPr>
        <w:t>s</w:t>
      </w:r>
      <w:r w:rsidRPr="000E50F1">
        <w:rPr>
          <w:rFonts w:ascii="Times" w:hAnsi="Times"/>
          <w:spacing w:val="-5"/>
        </w:rPr>
        <w:t xml:space="preserve"> visible research examining the difference in the sites (i.e.</w:t>
      </w:r>
      <w:r w:rsidR="00D25479" w:rsidRPr="000E50F1">
        <w:rPr>
          <w:rFonts w:ascii="Times" w:hAnsi="Times"/>
          <w:spacing w:val="-5"/>
        </w:rPr>
        <w:t xml:space="preserve"> </w:t>
      </w:r>
      <w:r w:rsidRPr="000E50F1">
        <w:rPr>
          <w:rFonts w:ascii="Times" w:hAnsi="Times"/>
          <w:spacing w:val="-5"/>
        </w:rPr>
        <w:t>place) of health care and care provision</w:t>
      </w:r>
      <w:r w:rsidR="00735CB8" w:rsidRPr="000E50F1">
        <w:rPr>
          <w:rFonts w:ascii="Times" w:hAnsi="Times"/>
          <w:spacing w:val="-5"/>
        </w:rPr>
        <w:t xml:space="preserve">, </w:t>
      </w:r>
      <w:r w:rsidR="0048499A" w:rsidRPr="000E50F1">
        <w:rPr>
          <w:rFonts w:ascii="Times" w:hAnsi="Times"/>
          <w:spacing w:val="-5"/>
        </w:rPr>
        <w:t xml:space="preserve">and has </w:t>
      </w:r>
      <w:r w:rsidR="00735CB8" w:rsidRPr="000E50F1">
        <w:rPr>
          <w:rFonts w:ascii="Times" w:hAnsi="Times"/>
          <w:spacing w:val="-5"/>
        </w:rPr>
        <w:t>place</w:t>
      </w:r>
      <w:r w:rsidR="0048499A" w:rsidRPr="000E50F1">
        <w:rPr>
          <w:rFonts w:ascii="Times" w:hAnsi="Times"/>
          <w:spacing w:val="-5"/>
        </w:rPr>
        <w:t>d</w:t>
      </w:r>
      <w:r w:rsidR="00735CB8" w:rsidRPr="000E50F1">
        <w:rPr>
          <w:rFonts w:ascii="Times" w:hAnsi="Times"/>
          <w:spacing w:val="-5"/>
        </w:rPr>
        <w:t xml:space="preserve"> geographers </w:t>
      </w:r>
      <w:r w:rsidR="0048499A" w:rsidRPr="000E50F1">
        <w:rPr>
          <w:rFonts w:ascii="Times" w:hAnsi="Times"/>
          <w:spacing w:val="-5"/>
        </w:rPr>
        <w:t xml:space="preserve">substantively </w:t>
      </w:r>
      <w:r w:rsidR="00735CB8" w:rsidRPr="000E50F1">
        <w:rPr>
          <w:rFonts w:ascii="Times" w:hAnsi="Times"/>
          <w:spacing w:val="-5"/>
        </w:rPr>
        <w:t xml:space="preserve">in the field of </w:t>
      </w:r>
      <w:r w:rsidR="00735CB8" w:rsidRPr="000E50F1">
        <w:rPr>
          <w:rFonts w:ascii="Times" w:hAnsi="Times"/>
          <w:spacing w:val="-5"/>
        </w:rPr>
        <w:lastRenderedPageBreak/>
        <w:t>migration and health research (</w:t>
      </w:r>
      <w:r w:rsidR="00735CB8" w:rsidRPr="000E50F1">
        <w:rPr>
          <w:rFonts w:ascii="Times" w:hAnsi="Times"/>
        </w:rPr>
        <w:t>Brown, McLafferty and Moon 2009)</w:t>
      </w:r>
      <w:r w:rsidRPr="000E50F1">
        <w:rPr>
          <w:rFonts w:ascii="Times" w:hAnsi="Times"/>
          <w:spacing w:val="-5"/>
        </w:rPr>
        <w:t xml:space="preserve">. </w:t>
      </w:r>
      <w:r w:rsidR="0048499A" w:rsidRPr="000E50F1">
        <w:rPr>
          <w:rFonts w:ascii="Times" w:hAnsi="Times"/>
          <w:spacing w:val="-5"/>
        </w:rPr>
        <w:t xml:space="preserve">As noted in Gesler and Kearns (2005: 3) “culture is expressed ‘through the power-laden character and emplaced nature of social relations’.” Dissecting such power-laden character in social relations and </w:t>
      </w:r>
      <w:r w:rsidR="0048499A" w:rsidRPr="000E50F1">
        <w:rPr>
          <w:rFonts w:ascii="Times" w:hAnsi="Times" w:cs="Arial"/>
          <w:bCs/>
        </w:rPr>
        <w:t>geo-sociopolitical environments</w:t>
      </w:r>
      <w:r w:rsidR="0048499A" w:rsidRPr="000E50F1">
        <w:rPr>
          <w:rFonts w:ascii="Times" w:hAnsi="Times"/>
          <w:spacing w:val="-5"/>
        </w:rPr>
        <w:t xml:space="preserve"> can thus enable geographers to explore how place and culture affects health and vice versa. </w:t>
      </w:r>
      <w:r w:rsidRPr="000E50F1">
        <w:rPr>
          <w:rFonts w:ascii="Times" w:hAnsi="Times"/>
          <w:spacing w:val="-5"/>
        </w:rPr>
        <w:t>Bringing culture to the fore has also helped geographers to examine th</w:t>
      </w:r>
      <w:r w:rsidR="00851260" w:rsidRPr="000E50F1">
        <w:rPr>
          <w:rFonts w:ascii="Times" w:hAnsi="Times"/>
          <w:spacing w:val="-5"/>
        </w:rPr>
        <w:t>ose</w:t>
      </w:r>
      <w:r w:rsidRPr="000E50F1">
        <w:rPr>
          <w:rFonts w:ascii="Times" w:hAnsi="Times"/>
          <w:spacing w:val="-5"/>
        </w:rPr>
        <w:t xml:space="preserve"> disparities</w:t>
      </w:r>
      <w:r w:rsidR="00851260" w:rsidRPr="000E50F1">
        <w:rPr>
          <w:rFonts w:ascii="Times" w:hAnsi="Times"/>
          <w:spacing w:val="-5"/>
        </w:rPr>
        <w:t>, disproportionalities, and inequalities</w:t>
      </w:r>
      <w:r w:rsidRPr="000E50F1">
        <w:rPr>
          <w:rFonts w:ascii="Times" w:hAnsi="Times"/>
          <w:spacing w:val="-5"/>
        </w:rPr>
        <w:t xml:space="preserve"> in the health experiences of groups defined by markers of class, age, </w:t>
      </w:r>
      <w:r w:rsidR="00DE7733" w:rsidRPr="000E50F1">
        <w:rPr>
          <w:rFonts w:ascii="Times" w:hAnsi="Times"/>
          <w:spacing w:val="-5"/>
        </w:rPr>
        <w:t xml:space="preserve">abilities, </w:t>
      </w:r>
      <w:r w:rsidRPr="000E50F1">
        <w:rPr>
          <w:rFonts w:ascii="Times" w:hAnsi="Times"/>
          <w:spacing w:val="-5"/>
        </w:rPr>
        <w:t xml:space="preserve">race, gender, religion, etc., </w:t>
      </w:r>
      <w:r w:rsidR="00851260" w:rsidRPr="000E50F1">
        <w:rPr>
          <w:rFonts w:ascii="Times" w:hAnsi="Times"/>
          <w:spacing w:val="-5"/>
        </w:rPr>
        <w:t xml:space="preserve">or </w:t>
      </w:r>
      <w:r w:rsidRPr="000E50F1">
        <w:rPr>
          <w:rFonts w:ascii="Times" w:hAnsi="Times"/>
          <w:spacing w:val="-5"/>
        </w:rPr>
        <w:t>the combinations of these identities</w:t>
      </w:r>
      <w:r w:rsidR="00891E64" w:rsidRPr="000E50F1">
        <w:rPr>
          <w:rFonts w:ascii="Times" w:hAnsi="Times"/>
          <w:spacing w:val="-5"/>
        </w:rPr>
        <w:t xml:space="preserve"> (</w:t>
      </w:r>
      <w:r w:rsidR="00891E64" w:rsidRPr="000E50F1">
        <w:rPr>
          <w:rFonts w:ascii="Times" w:hAnsi="Times"/>
        </w:rPr>
        <w:t>Kulkarni and Subramanian 2009)</w:t>
      </w:r>
      <w:r w:rsidR="0048499A" w:rsidRPr="000E50F1">
        <w:rPr>
          <w:rFonts w:ascii="Times" w:hAnsi="Times"/>
          <w:spacing w:val="-5"/>
        </w:rPr>
        <w:t xml:space="preserve">. </w:t>
      </w:r>
      <w:r w:rsidR="00891E64" w:rsidRPr="000E50F1">
        <w:rPr>
          <w:rFonts w:ascii="Times" w:hAnsi="Times"/>
          <w:spacing w:val="-5"/>
        </w:rPr>
        <w:t xml:space="preserve">As noted by </w:t>
      </w:r>
      <w:r w:rsidR="00891E64" w:rsidRPr="000E50F1">
        <w:rPr>
          <w:rFonts w:ascii="Times" w:hAnsi="Times"/>
        </w:rPr>
        <w:t>Boyle and Norman (2009: 346), t</w:t>
      </w:r>
      <w:r w:rsidR="0048499A" w:rsidRPr="000E50F1">
        <w:rPr>
          <w:rFonts w:ascii="Times" w:hAnsi="Times"/>
          <w:spacing w:val="-5"/>
        </w:rPr>
        <w:t xml:space="preserve">hinking </w:t>
      </w:r>
      <w:r w:rsidR="0048499A" w:rsidRPr="000E50F1">
        <w:rPr>
          <w:rFonts w:ascii="Times" w:hAnsi="Times"/>
        </w:rPr>
        <w:t xml:space="preserve">geographically about </w:t>
      </w:r>
      <w:r w:rsidR="00851260" w:rsidRPr="000E50F1">
        <w:rPr>
          <w:rFonts w:ascii="Times" w:hAnsi="Times"/>
        </w:rPr>
        <w:t>health and place</w:t>
      </w:r>
      <w:r w:rsidR="0048499A" w:rsidRPr="000E50F1">
        <w:rPr>
          <w:rFonts w:ascii="Times" w:hAnsi="Times"/>
        </w:rPr>
        <w:t xml:space="preserve"> is to think seriously about the role of mobility and “the movement of people between different places and some of the consequences of this on individual and population health”</w:t>
      </w:r>
      <w:r w:rsidR="00891E64" w:rsidRPr="000E50F1">
        <w:rPr>
          <w:rFonts w:ascii="Times" w:hAnsi="Times"/>
          <w:spacing w:val="-5"/>
        </w:rPr>
        <w:t xml:space="preserve">. </w:t>
      </w:r>
      <w:r w:rsidR="00851260" w:rsidRPr="000E50F1">
        <w:rPr>
          <w:rFonts w:ascii="Times" w:hAnsi="Times"/>
        </w:rPr>
        <w:t xml:space="preserve">Additionally, geographers examining health </w:t>
      </w:r>
      <w:r w:rsidR="00D97A3B" w:rsidRPr="000E50F1">
        <w:rPr>
          <w:rFonts w:ascii="Times" w:hAnsi="Times"/>
        </w:rPr>
        <w:t>have argued that</w:t>
      </w:r>
      <w:r w:rsidR="00347790" w:rsidRPr="000E50F1">
        <w:rPr>
          <w:rFonts w:ascii="Times" w:hAnsi="Times"/>
        </w:rPr>
        <w:t>:</w:t>
      </w:r>
      <w:r w:rsidR="00D97A3B" w:rsidRPr="000E50F1">
        <w:rPr>
          <w:rFonts w:ascii="Times" w:hAnsi="Times"/>
        </w:rPr>
        <w:t xml:space="preserve">  </w:t>
      </w:r>
    </w:p>
    <w:p w14:paraId="6D4FF05A" w14:textId="77777777" w:rsidR="00347790" w:rsidRPr="000E50F1" w:rsidRDefault="00347790" w:rsidP="00347790">
      <w:pPr>
        <w:tabs>
          <w:tab w:val="left" w:pos="1560"/>
        </w:tabs>
        <w:rPr>
          <w:rFonts w:ascii="Times" w:hAnsi="Times"/>
        </w:rPr>
      </w:pPr>
    </w:p>
    <w:p w14:paraId="0BD17248" w14:textId="51B923EF" w:rsidR="00D97A3B" w:rsidRPr="000E50F1" w:rsidRDefault="00D97A3B" w:rsidP="00347790">
      <w:pPr>
        <w:tabs>
          <w:tab w:val="left" w:pos="1560"/>
        </w:tabs>
        <w:ind w:left="567" w:right="559"/>
        <w:rPr>
          <w:rFonts w:ascii="Times" w:hAnsi="Times"/>
          <w:lang w:val="en-US"/>
        </w:rPr>
      </w:pPr>
      <w:r w:rsidRPr="000E50F1">
        <w:rPr>
          <w:rFonts w:ascii="Times" w:hAnsi="Times"/>
        </w:rPr>
        <w:t>“</w:t>
      </w:r>
      <w:r w:rsidR="00851260" w:rsidRPr="000E50F1">
        <w:rPr>
          <w:rFonts w:ascii="Times" w:hAnsi="Times"/>
        </w:rPr>
        <w:t>social factors influence health inequalities in relation to other factors that exist in the environment and not independently of them</w:t>
      </w:r>
      <w:r w:rsidR="00347790" w:rsidRPr="000E50F1">
        <w:rPr>
          <w:rFonts w:ascii="Times" w:hAnsi="Times"/>
        </w:rPr>
        <w:t xml:space="preserve">, </w:t>
      </w:r>
      <w:r w:rsidR="00347790" w:rsidRPr="000E50F1">
        <w:rPr>
          <w:rFonts w:ascii="Times" w:hAnsi="Times"/>
          <w:lang w:val="en-US"/>
        </w:rPr>
        <w:t>and that social inequalities in health are not always those inequalities that are unfair and unjust</w:t>
      </w:r>
      <w:r w:rsidR="00564234" w:rsidRPr="000E50F1">
        <w:rPr>
          <w:rFonts w:ascii="Times" w:hAnsi="Times"/>
          <w:lang w:val="en-US"/>
        </w:rPr>
        <w:t xml:space="preserve">. They are also </w:t>
      </w:r>
      <w:r w:rsidRPr="000E50F1">
        <w:rPr>
          <w:rFonts w:ascii="Times" w:hAnsi="Times"/>
        </w:rPr>
        <w:t xml:space="preserve">those health inequalities that </w:t>
      </w:r>
      <w:r w:rsidR="00851260" w:rsidRPr="000E50F1">
        <w:rPr>
          <w:rFonts w:ascii="Times" w:hAnsi="Times"/>
        </w:rPr>
        <w:t xml:space="preserve">are </w:t>
      </w:r>
      <w:r w:rsidR="00851260" w:rsidRPr="000E50F1">
        <w:rPr>
          <w:rFonts w:ascii="Times" w:hAnsi="Times"/>
          <w:i/>
          <w:iCs/>
        </w:rPr>
        <w:t>systemic</w:t>
      </w:r>
      <w:r w:rsidR="00851260" w:rsidRPr="000E50F1">
        <w:rPr>
          <w:rFonts w:ascii="Times" w:hAnsi="Times"/>
        </w:rPr>
        <w:t xml:space="preserve"> and simply a product of cultural ideologies.</w:t>
      </w:r>
      <w:r w:rsidRPr="000E50F1">
        <w:rPr>
          <w:rFonts w:ascii="Times" w:hAnsi="Times"/>
        </w:rPr>
        <w:t>” (Kulkarni and Subramanian 2009: 375)</w:t>
      </w:r>
    </w:p>
    <w:p w14:paraId="3B1B5DCA" w14:textId="77777777" w:rsidR="0027789C" w:rsidRPr="000E50F1" w:rsidRDefault="0027789C" w:rsidP="00AD78A0">
      <w:pPr>
        <w:rPr>
          <w:rFonts w:ascii="Times" w:eastAsia="Calibri" w:hAnsi="Times"/>
          <w:lang w:val="en-US"/>
        </w:rPr>
      </w:pPr>
    </w:p>
    <w:p w14:paraId="0314D55F" w14:textId="77777777" w:rsidR="001B3312" w:rsidRPr="000E50F1" w:rsidRDefault="000B44FF" w:rsidP="001B3312">
      <w:pPr>
        <w:rPr>
          <w:b/>
          <w:bCs/>
          <w:i/>
          <w:iCs/>
        </w:rPr>
      </w:pPr>
      <w:r w:rsidRPr="000E50F1">
        <w:rPr>
          <w:b/>
          <w:bCs/>
          <w:i/>
          <w:iCs/>
        </w:rPr>
        <w:t>Structuration Theory</w:t>
      </w:r>
    </w:p>
    <w:p w14:paraId="66DA7F4B" w14:textId="4BA45CF2" w:rsidR="00D63BD7" w:rsidRPr="000E50F1" w:rsidRDefault="009A24BE" w:rsidP="001B3312">
      <w:pPr>
        <w:rPr>
          <w:spacing w:val="-5"/>
        </w:rPr>
      </w:pPr>
      <w:r w:rsidRPr="000E50F1">
        <w:t>According to Dyck and Kearns (200</w:t>
      </w:r>
      <w:r w:rsidR="00C46FAA" w:rsidRPr="000E50F1">
        <w:t>6</w:t>
      </w:r>
      <w:r w:rsidR="00587196" w:rsidRPr="000E50F1">
        <w:t>: 86</w:t>
      </w:r>
      <w:r w:rsidRPr="000E50F1">
        <w:t xml:space="preserve">), geographers’ engagement with structuration theory initially in the 1980s reflected the shift towards exploration  of the ‘sociospatial dialectic’ as </w:t>
      </w:r>
      <w:r w:rsidR="00587196" w:rsidRPr="000E50F1">
        <w:t>“</w:t>
      </w:r>
      <w:r w:rsidRPr="000E50F1">
        <w:t xml:space="preserve">historical materialism </w:t>
      </w:r>
      <w:r w:rsidR="00B938A5" w:rsidRPr="000E50F1">
        <w:t>vied</w:t>
      </w:r>
      <w:r w:rsidRPr="000E50F1">
        <w:t xml:space="preserve"> with humanism in theorizing the recursive</w:t>
      </w:r>
      <w:r w:rsidR="00B938A5" w:rsidRPr="000E50F1">
        <w:t>ness</w:t>
      </w:r>
      <w:r w:rsidRPr="000E50F1">
        <w:t xml:space="preserve"> of social </w:t>
      </w:r>
      <w:r w:rsidR="00587196" w:rsidRPr="000E50F1">
        <w:t>relations</w:t>
      </w:r>
      <w:r w:rsidRPr="000E50F1">
        <w:t xml:space="preserve"> and spatial </w:t>
      </w:r>
      <w:r w:rsidR="00587196" w:rsidRPr="000E50F1">
        <w:t>structures”</w:t>
      </w:r>
      <w:r w:rsidRPr="000E50F1">
        <w:t xml:space="preserve">. </w:t>
      </w:r>
      <w:r w:rsidR="00587196" w:rsidRPr="000E50F1">
        <w:t xml:space="preserve">Gidden’s theorizing, which urged the </w:t>
      </w:r>
      <w:r w:rsidR="00587196" w:rsidRPr="000E50F1">
        <w:rPr>
          <w:rFonts w:eastAsiaTheme="minorHAnsi"/>
          <w:lang w:val="en-US"/>
        </w:rPr>
        <w:t>conceptualization of the contextuality of social life</w:t>
      </w:r>
      <w:r w:rsidR="00587196" w:rsidRPr="000E50F1">
        <w:t>,</w:t>
      </w:r>
      <w:r w:rsidR="00587196" w:rsidRPr="000E50F1">
        <w:rPr>
          <w:rFonts w:eastAsiaTheme="minorHAnsi"/>
          <w:lang w:val="en-US"/>
        </w:rPr>
        <w:t xml:space="preserve"> </w:t>
      </w:r>
      <w:r w:rsidR="00587196" w:rsidRPr="000E50F1">
        <w:t xml:space="preserve">conflated with </w:t>
      </w:r>
      <w:r w:rsidR="00587196" w:rsidRPr="000E50F1">
        <w:rPr>
          <w:rFonts w:eastAsiaTheme="minorHAnsi"/>
          <w:lang w:val="en-US"/>
        </w:rPr>
        <w:t>contemporary geographical concerns</w:t>
      </w:r>
      <w:r w:rsidR="00587196" w:rsidRPr="000E50F1">
        <w:t xml:space="preserve"> particularly </w:t>
      </w:r>
      <w:r w:rsidR="00B938A5" w:rsidRPr="000E50F1">
        <w:t xml:space="preserve">in the </w:t>
      </w:r>
      <w:r w:rsidR="00587196" w:rsidRPr="000E50F1">
        <w:t>sub</w:t>
      </w:r>
      <w:r w:rsidR="00B938A5" w:rsidRPr="000E50F1">
        <w:t>f</w:t>
      </w:r>
      <w:r w:rsidR="00587196" w:rsidRPr="000E50F1">
        <w:t>ield</w:t>
      </w:r>
      <w:r w:rsidR="00B938A5" w:rsidRPr="000E50F1">
        <w:t>s</w:t>
      </w:r>
      <w:r w:rsidR="00587196" w:rsidRPr="000E50F1">
        <w:t xml:space="preserve">  of social and cultural geography. In fact,</w:t>
      </w:r>
      <w:r w:rsidR="001B3312" w:rsidRPr="000E50F1">
        <w:t xml:space="preserve"> the theoretical importance of</w:t>
      </w:r>
      <w:r w:rsidR="00587196" w:rsidRPr="000E50F1">
        <w:t xml:space="preserve"> </w:t>
      </w:r>
      <w:r w:rsidR="00B938A5" w:rsidRPr="000E50F1">
        <w:t xml:space="preserve">Gidden’s ideas were critical </w:t>
      </w:r>
      <w:r w:rsidR="008E49E8" w:rsidRPr="000E50F1">
        <w:t xml:space="preserve">to </w:t>
      </w:r>
      <w:r w:rsidR="00B938A5" w:rsidRPr="000E50F1">
        <w:t>the reformulation of medical geography into ‘health geography’ in its embrace of a sociocultural framework (Dyck and Kearns 200</w:t>
      </w:r>
      <w:r w:rsidR="00C46FAA" w:rsidRPr="000E50F1">
        <w:t>6</w:t>
      </w:r>
      <w:r w:rsidR="00B938A5" w:rsidRPr="000E50F1">
        <w:t xml:space="preserve">). </w:t>
      </w:r>
      <w:r w:rsidR="00891E64" w:rsidRPr="000E50F1">
        <w:rPr>
          <w:rFonts w:eastAsiaTheme="minorHAnsi"/>
          <w:lang w:val="en-US"/>
        </w:rPr>
        <w:t>A</w:t>
      </w:r>
      <w:r w:rsidR="008E49E8" w:rsidRPr="000E50F1">
        <w:rPr>
          <w:rFonts w:eastAsiaTheme="minorHAnsi"/>
          <w:lang w:val="en-US"/>
        </w:rPr>
        <w:t>pplication of</w:t>
      </w:r>
      <w:r w:rsidR="00B938A5" w:rsidRPr="000E50F1">
        <w:rPr>
          <w:rFonts w:eastAsiaTheme="minorHAnsi"/>
          <w:lang w:val="en-US"/>
        </w:rPr>
        <w:t xml:space="preserve"> structuration theory </w:t>
      </w:r>
      <w:r w:rsidR="008E49E8" w:rsidRPr="000E50F1">
        <w:rPr>
          <w:rFonts w:eastAsiaTheme="minorHAnsi"/>
          <w:lang w:val="en-US"/>
        </w:rPr>
        <w:t>in empirical work explicitly</w:t>
      </w:r>
      <w:r w:rsidR="00B938A5" w:rsidRPr="000E50F1">
        <w:t xml:space="preserve">, or implicitly </w:t>
      </w:r>
      <w:r w:rsidR="00D131C1" w:rsidRPr="000E50F1">
        <w:t>“</w:t>
      </w:r>
      <w:r w:rsidR="00B938A5" w:rsidRPr="000E50F1">
        <w:rPr>
          <w:rFonts w:eastAsiaTheme="minorHAnsi"/>
          <w:lang w:val="en-US"/>
        </w:rPr>
        <w:t>through a more generalized recognition of the complex links between the individual and society that operate at different, layered scales</w:t>
      </w:r>
      <w:r w:rsidR="00D131C1" w:rsidRPr="000E50F1">
        <w:t>”</w:t>
      </w:r>
      <w:r w:rsidR="00B938A5" w:rsidRPr="000E50F1">
        <w:rPr>
          <w:rFonts w:eastAsiaTheme="minorHAnsi"/>
          <w:lang w:val="en-US"/>
        </w:rPr>
        <w:t xml:space="preserve"> </w:t>
      </w:r>
      <w:r w:rsidR="008E49E8" w:rsidRPr="000E50F1">
        <w:t>both highlight its</w:t>
      </w:r>
      <w:r w:rsidR="00D131C1" w:rsidRPr="000E50F1">
        <w:t xml:space="preserve"> relevance in</w:t>
      </w:r>
      <w:r w:rsidR="00B938A5" w:rsidRPr="000E50F1">
        <w:rPr>
          <w:rFonts w:eastAsiaTheme="minorHAnsi"/>
          <w:lang w:val="en-US"/>
        </w:rPr>
        <w:t xml:space="preserve"> inform</w:t>
      </w:r>
      <w:r w:rsidR="00D131C1" w:rsidRPr="000E50F1">
        <w:t>ing</w:t>
      </w:r>
      <w:r w:rsidR="00B938A5" w:rsidRPr="000E50F1">
        <w:rPr>
          <w:rFonts w:eastAsiaTheme="minorHAnsi"/>
          <w:lang w:val="en-US"/>
        </w:rPr>
        <w:t xml:space="preserve"> </w:t>
      </w:r>
      <w:r w:rsidR="00D131C1" w:rsidRPr="000E50F1">
        <w:t>geographical</w:t>
      </w:r>
      <w:r w:rsidR="00B34777" w:rsidRPr="000E50F1">
        <w:t xml:space="preserve"> </w:t>
      </w:r>
      <w:r w:rsidR="00D131C1" w:rsidRPr="000E50F1">
        <w:t>analysis</w:t>
      </w:r>
      <w:r w:rsidR="008E49E8" w:rsidRPr="000E50F1">
        <w:t xml:space="preserve"> </w:t>
      </w:r>
      <w:r w:rsidR="00B34777" w:rsidRPr="000E50F1">
        <w:t>(Dyck and Kearns 200</w:t>
      </w:r>
      <w:r w:rsidR="00C46FAA" w:rsidRPr="000E50F1">
        <w:t>6: 89</w:t>
      </w:r>
      <w:r w:rsidR="00B34777" w:rsidRPr="000E50F1">
        <w:t>). Likewise,</w:t>
      </w:r>
      <w:r w:rsidR="00D131C1" w:rsidRPr="000E50F1">
        <w:t xml:space="preserve"> </w:t>
      </w:r>
      <w:r w:rsidR="00B938A5" w:rsidRPr="000E50F1">
        <w:t>this research</w:t>
      </w:r>
      <w:r w:rsidR="00B34777" w:rsidRPr="000E50F1">
        <w:t xml:space="preserve"> looks to </w:t>
      </w:r>
      <w:r w:rsidR="000B44FF" w:rsidRPr="000E50F1">
        <w:rPr>
          <w:spacing w:val="-5"/>
        </w:rPr>
        <w:t xml:space="preserve">Giddens’ (1984) structuration theory </w:t>
      </w:r>
      <w:r w:rsidR="00B34777" w:rsidRPr="000E50F1">
        <w:rPr>
          <w:spacing w:val="-5"/>
        </w:rPr>
        <w:t xml:space="preserve">to </w:t>
      </w:r>
      <w:r w:rsidR="00B938A5" w:rsidRPr="000E50F1">
        <w:rPr>
          <w:spacing w:val="-5"/>
        </w:rPr>
        <w:t>fram</w:t>
      </w:r>
      <w:r w:rsidR="00B34777" w:rsidRPr="000E50F1">
        <w:rPr>
          <w:spacing w:val="-5"/>
        </w:rPr>
        <w:t>e</w:t>
      </w:r>
      <w:r w:rsidR="00B938A5" w:rsidRPr="000E50F1">
        <w:rPr>
          <w:spacing w:val="-5"/>
        </w:rPr>
        <w:t xml:space="preserve"> </w:t>
      </w:r>
      <w:r w:rsidR="000B44FF" w:rsidRPr="000E50F1">
        <w:rPr>
          <w:spacing w:val="-5"/>
        </w:rPr>
        <w:t xml:space="preserve">the social context of immigration, settlement and integration in place, </w:t>
      </w:r>
      <w:r w:rsidR="00B34777" w:rsidRPr="000E50F1">
        <w:rPr>
          <w:spacing w:val="-5"/>
        </w:rPr>
        <w:t xml:space="preserve">to explore the </w:t>
      </w:r>
      <w:r w:rsidR="000B44FF" w:rsidRPr="000E50F1">
        <w:rPr>
          <w:spacing w:val="-5"/>
        </w:rPr>
        <w:t xml:space="preserve">social systems are </w:t>
      </w:r>
      <w:r w:rsidR="00B34777" w:rsidRPr="000E50F1">
        <w:rPr>
          <w:spacing w:val="-5"/>
        </w:rPr>
        <w:t xml:space="preserve">that </w:t>
      </w:r>
      <w:r w:rsidR="000B44FF" w:rsidRPr="000E50F1">
        <w:rPr>
          <w:spacing w:val="-5"/>
        </w:rPr>
        <w:t xml:space="preserve">produced and reproduced, and </w:t>
      </w:r>
      <w:r w:rsidR="00891E64" w:rsidRPr="000E50F1">
        <w:rPr>
          <w:spacing w:val="-5"/>
        </w:rPr>
        <w:t xml:space="preserve">interpret these implications and </w:t>
      </w:r>
      <w:r w:rsidR="000B44FF" w:rsidRPr="000E50F1">
        <w:rPr>
          <w:spacing w:val="-5"/>
        </w:rPr>
        <w:t>mean</w:t>
      </w:r>
      <w:r w:rsidR="00891E64" w:rsidRPr="000E50F1">
        <w:rPr>
          <w:spacing w:val="-5"/>
        </w:rPr>
        <w:t>ing</w:t>
      </w:r>
      <w:r w:rsidR="000B44FF" w:rsidRPr="000E50F1">
        <w:rPr>
          <w:spacing w:val="-5"/>
        </w:rPr>
        <w:t>s.</w:t>
      </w:r>
      <w:r w:rsidR="008E49E8" w:rsidRPr="000E50F1">
        <w:rPr>
          <w:spacing w:val="-5"/>
        </w:rPr>
        <w:t xml:space="preserve"> In their work on space-time continuum, </w:t>
      </w:r>
      <w:r w:rsidR="008E49E8" w:rsidRPr="000E50F1">
        <w:rPr>
          <w:rFonts w:ascii="Times" w:hAnsi="Times" w:cs="Arial"/>
        </w:rPr>
        <w:t>t</w:t>
      </w:r>
      <w:r w:rsidR="00F545B0" w:rsidRPr="000E50F1">
        <w:rPr>
          <w:rFonts w:ascii="Times" w:hAnsi="Times" w:cs="Arial"/>
        </w:rPr>
        <w:t xml:space="preserve">he complex ideas that Giddens put forward </w:t>
      </w:r>
      <w:r w:rsidR="00C14AC4" w:rsidRPr="000E50F1">
        <w:rPr>
          <w:rFonts w:ascii="Times" w:hAnsi="Times" w:cs="Arial"/>
        </w:rPr>
        <w:t>are</w:t>
      </w:r>
      <w:r w:rsidR="008E49E8" w:rsidRPr="000E50F1">
        <w:rPr>
          <w:rFonts w:ascii="Times" w:hAnsi="Times" w:cs="Arial"/>
        </w:rPr>
        <w:t xml:space="preserve"> summarized </w:t>
      </w:r>
      <w:r w:rsidR="00F545B0" w:rsidRPr="000E50F1">
        <w:rPr>
          <w:rFonts w:ascii="Times" w:hAnsi="Times" w:cs="Arial"/>
        </w:rPr>
        <w:t xml:space="preserve">by Baer et al. (2000: 321) as follows: (1) the system, which is a set of regular social practices which are performed in specific times and places; (2) the structure, which consists of rules and resources which guide the system; (3) agency, which includes human actions and decisions; and (4) structuration, the ways in which human agency supports, transforms, and is </w:t>
      </w:r>
      <w:r w:rsidR="00F545B0" w:rsidRPr="000E50F1">
        <w:rPr>
          <w:rFonts w:ascii="Times" w:hAnsi="Times" w:cs="Arial"/>
        </w:rPr>
        <w:lastRenderedPageBreak/>
        <w:t xml:space="preserve">transformed by situations, thereby reproducing systems. </w:t>
      </w:r>
      <w:r w:rsidR="007C6DA1" w:rsidRPr="000E50F1">
        <w:rPr>
          <w:rFonts w:ascii="Times" w:hAnsi="Times" w:cs="Arial"/>
        </w:rPr>
        <w:t>Finally</w:t>
      </w:r>
      <w:r w:rsidR="00F545B0" w:rsidRPr="000E50F1">
        <w:rPr>
          <w:rFonts w:ascii="Times" w:hAnsi="Times" w:cs="Arial"/>
        </w:rPr>
        <w:t xml:space="preserve"> </w:t>
      </w:r>
      <w:r w:rsidR="007C6DA1" w:rsidRPr="000E50F1">
        <w:rPr>
          <w:spacing w:val="-5"/>
        </w:rPr>
        <w:t>Giddens’ concept of duality of structure suggests that social structures are produced and modified by human agents at the same time; both the medium and outcome of the interactions and institutions they recursively organize (</w:t>
      </w:r>
      <w:r w:rsidR="007C6DA1" w:rsidRPr="000E50F1">
        <w:t>Spasser 1998)</w:t>
      </w:r>
      <w:r w:rsidR="00C14AC4" w:rsidRPr="000E50F1">
        <w:t xml:space="preserve">, </w:t>
      </w:r>
      <w:r w:rsidR="00891E64" w:rsidRPr="000E50F1">
        <w:t>pointing to</w:t>
      </w:r>
      <w:r w:rsidR="00C14AC4" w:rsidRPr="000E50F1">
        <w:t xml:space="preserve"> the potential of human decisions and actions to change structures</w:t>
      </w:r>
      <w:r w:rsidR="007C6DA1" w:rsidRPr="000E50F1">
        <w:t>.</w:t>
      </w:r>
      <w:r w:rsidR="007C6DA1" w:rsidRPr="000E50F1">
        <w:rPr>
          <w:spacing w:val="-5"/>
        </w:rPr>
        <w:t xml:space="preserve"> The application of s</w:t>
      </w:r>
      <w:r w:rsidR="00F90DCB" w:rsidRPr="000E50F1">
        <w:rPr>
          <w:spacing w:val="-5"/>
        </w:rPr>
        <w:t xml:space="preserve">tructuration theory can </w:t>
      </w:r>
      <w:r w:rsidR="007C6DA1" w:rsidRPr="000E50F1">
        <w:rPr>
          <w:spacing w:val="-5"/>
        </w:rPr>
        <w:t xml:space="preserve">thus </w:t>
      </w:r>
      <w:r w:rsidR="00F90DCB" w:rsidRPr="000E50F1">
        <w:rPr>
          <w:spacing w:val="-5"/>
        </w:rPr>
        <w:t xml:space="preserve">provide the theoretical explanations </w:t>
      </w:r>
      <w:r w:rsidR="000168F0" w:rsidRPr="000E50F1">
        <w:rPr>
          <w:spacing w:val="-5"/>
        </w:rPr>
        <w:t>to</w:t>
      </w:r>
      <w:r w:rsidR="00F90DCB" w:rsidRPr="000E50F1">
        <w:rPr>
          <w:spacing w:val="-5"/>
        </w:rPr>
        <w:t xml:space="preserve"> help </w:t>
      </w:r>
      <w:r w:rsidR="00C14AC4" w:rsidRPr="000E50F1">
        <w:rPr>
          <w:spacing w:val="-5"/>
        </w:rPr>
        <w:t xml:space="preserve">social, cultural, and health geographers </w:t>
      </w:r>
      <w:r w:rsidR="00F90DCB" w:rsidRPr="000E50F1">
        <w:rPr>
          <w:spacing w:val="-5"/>
        </w:rPr>
        <w:t xml:space="preserve">better represent place and </w:t>
      </w:r>
      <w:r w:rsidR="00F90DCB" w:rsidRPr="000E50F1">
        <w:rPr>
          <w:rFonts w:eastAsiaTheme="minorHAnsi"/>
          <w:spacing w:val="-5"/>
          <w:lang w:val="en-US"/>
        </w:rPr>
        <w:t>open up new ways of thinking about the way movement impinges on our daily lives and locale</w:t>
      </w:r>
      <w:r w:rsidR="00C14AC4" w:rsidRPr="000E50F1">
        <w:rPr>
          <w:rFonts w:eastAsiaTheme="minorHAnsi"/>
          <w:spacing w:val="-5"/>
          <w:lang w:val="en-US"/>
        </w:rPr>
        <w:t xml:space="preserve"> </w:t>
      </w:r>
      <w:r w:rsidR="007C6DA1" w:rsidRPr="000E50F1">
        <w:rPr>
          <w:rFonts w:ascii="Sabon" w:hAnsi="Sabon"/>
          <w:sz w:val="20"/>
          <w:szCs w:val="20"/>
        </w:rPr>
        <w:t>(</w:t>
      </w:r>
      <w:r w:rsidR="007C6DA1" w:rsidRPr="000E50F1">
        <w:rPr>
          <w:spacing w:val="-5"/>
        </w:rPr>
        <w:t>Boyle and Norman 2009).</w:t>
      </w:r>
    </w:p>
    <w:p w14:paraId="2F546D95" w14:textId="77777777" w:rsidR="00E521D6" w:rsidRPr="000E50F1" w:rsidRDefault="00E521D6" w:rsidP="000B44FF">
      <w:pPr>
        <w:pStyle w:val="Heading2"/>
        <w:spacing w:before="0" w:line="240" w:lineRule="auto"/>
        <w:rPr>
          <w:rFonts w:ascii="Times" w:hAnsi="Times"/>
          <w:bCs/>
        </w:rPr>
      </w:pPr>
    </w:p>
    <w:p w14:paraId="45A4009F" w14:textId="5EA023AD" w:rsidR="000B44FF" w:rsidRPr="000E50F1" w:rsidRDefault="000B44FF" w:rsidP="000B44FF">
      <w:pPr>
        <w:pStyle w:val="Heading2"/>
        <w:spacing w:before="0" w:line="240" w:lineRule="auto"/>
        <w:rPr>
          <w:rFonts w:ascii="Times" w:eastAsia="Calibri" w:hAnsi="Times"/>
          <w:sz w:val="24"/>
          <w:szCs w:val="24"/>
        </w:rPr>
      </w:pPr>
      <w:bookmarkStart w:id="11" w:name="_Toc60231896"/>
      <w:r w:rsidRPr="000E50F1">
        <w:rPr>
          <w:rFonts w:ascii="Times" w:hAnsi="Times"/>
          <w:bCs/>
        </w:rPr>
        <w:t>1.</w:t>
      </w:r>
      <w:r w:rsidR="00853DCF" w:rsidRPr="000E50F1">
        <w:rPr>
          <w:rFonts w:ascii="Times" w:hAnsi="Times"/>
          <w:bCs/>
        </w:rPr>
        <w:t>5</w:t>
      </w:r>
      <w:r w:rsidRPr="000E50F1">
        <w:rPr>
          <w:rFonts w:ascii="Times" w:hAnsi="Times"/>
          <w:bCs/>
        </w:rPr>
        <w:t xml:space="preserve"> Overvie</w:t>
      </w:r>
      <w:r w:rsidR="00327711" w:rsidRPr="000E50F1">
        <w:rPr>
          <w:rFonts w:ascii="Times" w:hAnsi="Times"/>
          <w:bCs/>
        </w:rPr>
        <w:t>w of Chapters</w:t>
      </w:r>
      <w:bookmarkEnd w:id="11"/>
    </w:p>
    <w:p w14:paraId="4E2D3F89" w14:textId="6F1C70CE" w:rsidR="000B44FF" w:rsidRPr="000E50F1" w:rsidRDefault="000B44FF" w:rsidP="000B44FF">
      <w:pPr>
        <w:tabs>
          <w:tab w:val="left" w:pos="1560"/>
        </w:tabs>
        <w:rPr>
          <w:rFonts w:ascii="Times" w:hAnsi="Times"/>
        </w:rPr>
      </w:pPr>
      <w:r w:rsidRPr="000E50F1">
        <w:rPr>
          <w:rFonts w:ascii="Times" w:hAnsi="Times"/>
        </w:rPr>
        <w:t xml:space="preserve">This thesis consists of five chapters, including this introductory chapter, three research papers, and a conclusion. Each paper is presented as an individual chapter (i.e., </w:t>
      </w:r>
      <w:r w:rsidR="00AE328D" w:rsidRPr="000E50F1">
        <w:rPr>
          <w:rFonts w:ascii="Times" w:hAnsi="Times"/>
        </w:rPr>
        <w:t>c</w:t>
      </w:r>
      <w:r w:rsidRPr="000E50F1">
        <w:rPr>
          <w:rFonts w:ascii="Times" w:hAnsi="Times"/>
        </w:rPr>
        <w:t xml:space="preserve">hapter </w:t>
      </w:r>
      <w:r w:rsidR="00AE328D" w:rsidRPr="000E50F1">
        <w:rPr>
          <w:rFonts w:ascii="Times" w:hAnsi="Times"/>
        </w:rPr>
        <w:t>t</w:t>
      </w:r>
      <w:r w:rsidRPr="000E50F1">
        <w:rPr>
          <w:rFonts w:ascii="Times" w:hAnsi="Times"/>
        </w:rPr>
        <w:t xml:space="preserve">wo, </w:t>
      </w:r>
      <w:r w:rsidR="00AE328D" w:rsidRPr="000E50F1">
        <w:rPr>
          <w:rFonts w:ascii="Times" w:hAnsi="Times"/>
        </w:rPr>
        <w:t>th</w:t>
      </w:r>
      <w:r w:rsidRPr="000E50F1">
        <w:rPr>
          <w:rFonts w:ascii="Times" w:hAnsi="Times"/>
        </w:rPr>
        <w:t xml:space="preserve">ree and </w:t>
      </w:r>
      <w:r w:rsidR="00AE328D" w:rsidRPr="000E50F1">
        <w:rPr>
          <w:rFonts w:ascii="Times" w:hAnsi="Times"/>
        </w:rPr>
        <w:t>f</w:t>
      </w:r>
      <w:r w:rsidRPr="000E50F1">
        <w:rPr>
          <w:rFonts w:ascii="Times" w:hAnsi="Times"/>
        </w:rPr>
        <w:t xml:space="preserve">our). The chapter overview to follow explains in each paper in further detail. The final chapter, </w:t>
      </w:r>
      <w:r w:rsidR="00AE328D" w:rsidRPr="000E50F1">
        <w:rPr>
          <w:rFonts w:ascii="Times" w:hAnsi="Times"/>
        </w:rPr>
        <w:t>c</w:t>
      </w:r>
      <w:r w:rsidRPr="000E50F1">
        <w:rPr>
          <w:rFonts w:ascii="Times" w:hAnsi="Times"/>
        </w:rPr>
        <w:t xml:space="preserve">hapter </w:t>
      </w:r>
      <w:r w:rsidR="00AE328D" w:rsidRPr="000E50F1">
        <w:rPr>
          <w:rFonts w:ascii="Times" w:hAnsi="Times"/>
        </w:rPr>
        <w:t>five</w:t>
      </w:r>
      <w:r w:rsidRPr="000E50F1">
        <w:rPr>
          <w:rFonts w:ascii="Times" w:hAnsi="Times"/>
        </w:rPr>
        <w:t xml:space="preserve">, provides a summary of the major findings and conclusions from each paper. A section on </w:t>
      </w:r>
      <w:r w:rsidR="00A90D26" w:rsidRPr="000E50F1">
        <w:rPr>
          <w:rFonts w:ascii="Times" w:hAnsi="Times"/>
        </w:rPr>
        <w:t xml:space="preserve">limitations </w:t>
      </w:r>
      <w:r w:rsidRPr="000E50F1">
        <w:rPr>
          <w:rFonts w:ascii="Times" w:hAnsi="Times"/>
        </w:rPr>
        <w:t xml:space="preserve">and areas for further study is also included. </w:t>
      </w:r>
    </w:p>
    <w:p w14:paraId="38EB4B47" w14:textId="77777777" w:rsidR="000B44FF" w:rsidRPr="000E50F1" w:rsidRDefault="000B44FF" w:rsidP="000B44FF">
      <w:pPr>
        <w:tabs>
          <w:tab w:val="left" w:pos="1560"/>
        </w:tabs>
        <w:rPr>
          <w:rFonts w:ascii="Times" w:eastAsia="Calibri" w:hAnsi="Times"/>
          <w:b/>
          <w:bCs/>
        </w:rPr>
      </w:pPr>
    </w:p>
    <w:p w14:paraId="35B3BAD6" w14:textId="2F5E1E85" w:rsidR="000B44FF" w:rsidRPr="000E50F1" w:rsidRDefault="000B44FF" w:rsidP="000B44FF">
      <w:pPr>
        <w:tabs>
          <w:tab w:val="left" w:pos="1560"/>
        </w:tabs>
        <w:rPr>
          <w:rFonts w:ascii="Times" w:hAnsi="Times"/>
          <w:b/>
          <w:bCs/>
          <w:i/>
          <w:iCs/>
        </w:rPr>
      </w:pPr>
      <w:r w:rsidRPr="000E50F1">
        <w:rPr>
          <w:rFonts w:ascii="Times" w:hAnsi="Times"/>
          <w:b/>
          <w:bCs/>
          <w:i/>
          <w:iCs/>
        </w:rPr>
        <w:t>Chapter Two</w:t>
      </w:r>
    </w:p>
    <w:p w14:paraId="062024D7" w14:textId="77777777" w:rsidR="00EA19FF" w:rsidRPr="000E50F1" w:rsidRDefault="000B44FF" w:rsidP="000B44FF">
      <w:pPr>
        <w:tabs>
          <w:tab w:val="left" w:pos="1560"/>
        </w:tabs>
        <w:rPr>
          <w:rFonts w:ascii="Times" w:hAnsi="Times"/>
        </w:rPr>
      </w:pPr>
      <w:r w:rsidRPr="000E50F1">
        <w:rPr>
          <w:rFonts w:ascii="Times" w:hAnsi="Times"/>
          <w:spacing w:val="-5"/>
        </w:rPr>
        <w:t xml:space="preserve">In recent years, Canada has seen unprecedented growth of international students whose presence in Canada benefits the economy (IRCC </w:t>
      </w:r>
      <w:r w:rsidRPr="000E50F1">
        <w:t>2019</w:t>
      </w:r>
      <w:r w:rsidRPr="000E50F1">
        <w:rPr>
          <w:rFonts w:ascii="Times" w:hAnsi="Times"/>
          <w:spacing w:val="-5"/>
        </w:rPr>
        <w:t xml:space="preserve">). International students have contributed to more than $15.5 billion to the Canadian economy in 2016 </w:t>
      </w:r>
      <w:r w:rsidR="00EA19FF" w:rsidRPr="000E50F1">
        <w:rPr>
          <w:rFonts w:ascii="Times" w:hAnsi="Times"/>
          <w:spacing w:val="-5"/>
        </w:rPr>
        <w:t>and t</w:t>
      </w:r>
      <w:r w:rsidRPr="000E50F1">
        <w:rPr>
          <w:rFonts w:ascii="Times" w:hAnsi="Times"/>
          <w:spacing w:val="-5"/>
        </w:rPr>
        <w:t xml:space="preserve">here is keen interest in IRCC to improve its understanding of “study to immigration” pathways for international students given the benefits of this subgroup to Canada’s economic growth and stability (IRCC 2019). </w:t>
      </w:r>
      <w:r w:rsidRPr="000E50F1">
        <w:rPr>
          <w:rFonts w:ascii="Times" w:hAnsi="Times"/>
        </w:rPr>
        <w:t xml:space="preserve">Academica Forum (2020) named international student outcomes among the top ten institutional challenges in Canada moving forward. </w:t>
      </w:r>
      <w:r w:rsidR="00EA19FF" w:rsidRPr="000E50F1">
        <w:rPr>
          <w:rFonts w:ascii="Times" w:hAnsi="Times"/>
        </w:rPr>
        <w:t>R</w:t>
      </w:r>
      <w:r w:rsidRPr="000E50F1">
        <w:rPr>
          <w:rFonts w:ascii="Times" w:hAnsi="Times"/>
        </w:rPr>
        <w:t xml:space="preserve">isk to poor international student outcome in labour market integration and permanent residence </w:t>
      </w:r>
      <w:r w:rsidR="00EA19FF" w:rsidRPr="000E50F1">
        <w:rPr>
          <w:rFonts w:ascii="Times" w:hAnsi="Times"/>
        </w:rPr>
        <w:t>have</w:t>
      </w:r>
      <w:r w:rsidRPr="000E50F1">
        <w:rPr>
          <w:rFonts w:ascii="Times" w:hAnsi="Times"/>
        </w:rPr>
        <w:t xml:space="preserve"> highlight</w:t>
      </w:r>
      <w:r w:rsidR="00EA19FF" w:rsidRPr="000E50F1">
        <w:rPr>
          <w:rFonts w:ascii="Times" w:hAnsi="Times"/>
        </w:rPr>
        <w:t>ed the need to address</w:t>
      </w:r>
      <w:r w:rsidRPr="000E50F1">
        <w:rPr>
          <w:rFonts w:ascii="Times" w:hAnsi="Times"/>
        </w:rPr>
        <w:t xml:space="preserve"> policy effectiveness (i.e., intended outcome) in Canadian immigration and research. </w:t>
      </w:r>
      <w:r w:rsidRPr="000E50F1">
        <w:rPr>
          <w:rFonts w:ascii="Times" w:hAnsi="Times"/>
          <w:spacing w:val="-5"/>
        </w:rPr>
        <w:t xml:space="preserve">From an immigration standpoint, international students are seen as a favourable source of temporary workers and a potential pool of permanent resident yet, </w:t>
      </w:r>
      <w:r w:rsidRPr="000E50F1">
        <w:rPr>
          <w:rFonts w:ascii="Times" w:hAnsi="Times"/>
        </w:rPr>
        <w:t xml:space="preserve">the roll out of Express Entry in 2015 caused a great number of international graduates to come up short in qualifying for immigration. </w:t>
      </w:r>
    </w:p>
    <w:p w14:paraId="0C601AB5" w14:textId="77777777" w:rsidR="00EA19FF" w:rsidRPr="000E50F1" w:rsidRDefault="00EA19FF" w:rsidP="000B44FF">
      <w:pPr>
        <w:tabs>
          <w:tab w:val="left" w:pos="1560"/>
        </w:tabs>
        <w:rPr>
          <w:rFonts w:ascii="Times" w:hAnsi="Times"/>
        </w:rPr>
      </w:pPr>
    </w:p>
    <w:p w14:paraId="611F12F7" w14:textId="702806BC" w:rsidR="0020124A" w:rsidRPr="000E50F1" w:rsidRDefault="000B44FF">
      <w:pPr>
        <w:tabs>
          <w:tab w:val="left" w:pos="1560"/>
        </w:tabs>
        <w:rPr>
          <w:rFonts w:ascii="Times" w:hAnsi="Times"/>
          <w:spacing w:val="-5"/>
        </w:rPr>
      </w:pPr>
      <w:r w:rsidRPr="000E50F1">
        <w:rPr>
          <w:rFonts w:ascii="Times" w:hAnsi="Times"/>
        </w:rPr>
        <w:t xml:space="preserve">In a policy brief, </w:t>
      </w:r>
      <w:r w:rsidR="00AE328D" w:rsidRPr="000E50F1">
        <w:rPr>
          <w:rFonts w:ascii="Times" w:hAnsi="Times"/>
        </w:rPr>
        <w:t>c</w:t>
      </w:r>
      <w:r w:rsidRPr="000E50F1">
        <w:rPr>
          <w:rFonts w:ascii="Times" w:hAnsi="Times"/>
        </w:rPr>
        <w:t xml:space="preserve">hapter </w:t>
      </w:r>
      <w:r w:rsidR="00AE328D" w:rsidRPr="000E50F1">
        <w:rPr>
          <w:rFonts w:ascii="Times" w:hAnsi="Times"/>
        </w:rPr>
        <w:t>t</w:t>
      </w:r>
      <w:r w:rsidRPr="000E50F1">
        <w:rPr>
          <w:rFonts w:ascii="Times" w:hAnsi="Times"/>
        </w:rPr>
        <w:t xml:space="preserve">wo summaries the key challenges facing international students aiming to obtain permanent residence </w:t>
      </w:r>
      <w:r w:rsidRPr="000E50F1">
        <w:rPr>
          <w:rFonts w:ascii="Times" w:hAnsi="Times"/>
          <w:spacing w:val="-5"/>
        </w:rPr>
        <w:t xml:space="preserve">in Canada after graduation. </w:t>
      </w:r>
      <w:r w:rsidR="008475F7" w:rsidRPr="000E50F1">
        <w:rPr>
          <w:rFonts w:ascii="Times" w:hAnsi="Times"/>
          <w:spacing w:val="-5"/>
        </w:rPr>
        <w:t>It</w:t>
      </w:r>
      <w:r w:rsidRPr="000E50F1">
        <w:rPr>
          <w:rFonts w:ascii="Times" w:hAnsi="Times"/>
          <w:spacing w:val="-5"/>
        </w:rPr>
        <w:t xml:space="preserve"> describes the challenges that Express Entry poses for international students and makes policy-level recommendations to address these barriers</w:t>
      </w:r>
      <w:r w:rsidR="008475F7" w:rsidRPr="000E50F1">
        <w:rPr>
          <w:rFonts w:ascii="Times" w:hAnsi="Times"/>
          <w:spacing w:val="-5"/>
        </w:rPr>
        <w:t>, and answers two research questions:</w:t>
      </w:r>
      <w:r w:rsidR="0020124A" w:rsidRPr="000E50F1">
        <w:rPr>
          <w:rFonts w:ascii="Times" w:hAnsi="Times"/>
          <w:spacing w:val="-5"/>
        </w:rPr>
        <w:t xml:space="preserve"> </w:t>
      </w:r>
    </w:p>
    <w:p w14:paraId="7CB75AD0" w14:textId="77777777" w:rsidR="009E11D8" w:rsidRPr="000E50F1" w:rsidRDefault="009E11D8">
      <w:pPr>
        <w:tabs>
          <w:tab w:val="left" w:pos="1560"/>
        </w:tabs>
        <w:rPr>
          <w:rFonts w:ascii="Times" w:hAnsi="Times"/>
          <w:spacing w:val="-5"/>
        </w:rPr>
      </w:pPr>
    </w:p>
    <w:p w14:paraId="77C97065" w14:textId="53E96107" w:rsidR="0020124A" w:rsidRPr="000E50F1" w:rsidRDefault="0020124A" w:rsidP="0020124A">
      <w:pPr>
        <w:pStyle w:val="ListParagraph"/>
        <w:numPr>
          <w:ilvl w:val="0"/>
          <w:numId w:val="2"/>
        </w:numPr>
        <w:spacing w:after="0" w:line="240" w:lineRule="auto"/>
        <w:ind w:left="567" w:right="4"/>
        <w:rPr>
          <w:rFonts w:ascii="Times" w:hAnsi="Times"/>
          <w:spacing w:val="-5"/>
          <w:szCs w:val="24"/>
        </w:rPr>
      </w:pPr>
      <w:r w:rsidRPr="000E50F1">
        <w:rPr>
          <w:rFonts w:ascii="Times" w:hAnsi="Times"/>
          <w:spacing w:val="-5"/>
          <w:szCs w:val="24"/>
        </w:rPr>
        <w:t xml:space="preserve">What </w:t>
      </w:r>
      <w:r w:rsidR="0002258A" w:rsidRPr="000E50F1">
        <w:rPr>
          <w:rFonts w:ascii="Times" w:hAnsi="Times"/>
          <w:spacing w:val="-5"/>
          <w:szCs w:val="24"/>
        </w:rPr>
        <w:t>impact</w:t>
      </w:r>
      <w:r w:rsidRPr="000E50F1">
        <w:rPr>
          <w:rFonts w:ascii="Times" w:hAnsi="Times"/>
          <w:spacing w:val="-5"/>
          <w:szCs w:val="24"/>
        </w:rPr>
        <w:t xml:space="preserve"> did Express Entry have on </w:t>
      </w:r>
      <w:r w:rsidR="0002258A" w:rsidRPr="000E50F1">
        <w:rPr>
          <w:rFonts w:ascii="Times" w:hAnsi="Times"/>
          <w:spacing w:val="-5"/>
          <w:szCs w:val="24"/>
        </w:rPr>
        <w:t xml:space="preserve">international student </w:t>
      </w:r>
      <w:r w:rsidRPr="000E50F1">
        <w:rPr>
          <w:rFonts w:ascii="Times" w:hAnsi="Times"/>
          <w:spacing w:val="-5"/>
          <w:szCs w:val="24"/>
        </w:rPr>
        <w:t>applicants in 2015 and 2016?</w:t>
      </w:r>
    </w:p>
    <w:p w14:paraId="02F0DB63" w14:textId="5FC709A4" w:rsidR="0020124A" w:rsidRPr="000E50F1" w:rsidRDefault="0002258A" w:rsidP="0020124A">
      <w:pPr>
        <w:pStyle w:val="ListParagraph"/>
        <w:numPr>
          <w:ilvl w:val="0"/>
          <w:numId w:val="2"/>
        </w:numPr>
        <w:spacing w:after="0" w:line="240" w:lineRule="auto"/>
        <w:ind w:left="567" w:right="4"/>
        <w:rPr>
          <w:rFonts w:ascii="Times" w:hAnsi="Times"/>
          <w:spacing w:val="-5"/>
          <w:szCs w:val="24"/>
        </w:rPr>
      </w:pPr>
      <w:r w:rsidRPr="000E50F1">
        <w:rPr>
          <w:rFonts w:ascii="Times" w:hAnsi="Times"/>
          <w:spacing w:val="-5"/>
          <w:szCs w:val="24"/>
        </w:rPr>
        <w:t>What policy changes can be made</w:t>
      </w:r>
      <w:r w:rsidR="0020124A" w:rsidRPr="000E50F1">
        <w:rPr>
          <w:rFonts w:ascii="Times" w:hAnsi="Times"/>
          <w:spacing w:val="-5"/>
          <w:szCs w:val="24"/>
        </w:rPr>
        <w:t xml:space="preserve"> </w:t>
      </w:r>
      <w:r w:rsidRPr="000E50F1">
        <w:rPr>
          <w:rFonts w:ascii="Times" w:hAnsi="Times"/>
          <w:spacing w:val="-5"/>
          <w:szCs w:val="24"/>
        </w:rPr>
        <w:t xml:space="preserve">to address barriers to permanent immigration </w:t>
      </w:r>
      <w:r w:rsidR="0020124A" w:rsidRPr="000E50F1">
        <w:rPr>
          <w:rFonts w:ascii="Times" w:hAnsi="Times"/>
          <w:spacing w:val="-5"/>
          <w:szCs w:val="24"/>
        </w:rPr>
        <w:t xml:space="preserve">for international students seeking permanent residence? </w:t>
      </w:r>
    </w:p>
    <w:p w14:paraId="07CA9D1F" w14:textId="77777777" w:rsidR="0020124A" w:rsidRPr="000E50F1" w:rsidRDefault="0020124A" w:rsidP="000B44FF">
      <w:pPr>
        <w:tabs>
          <w:tab w:val="left" w:pos="1560"/>
        </w:tabs>
        <w:rPr>
          <w:rFonts w:ascii="Times" w:hAnsi="Times"/>
        </w:rPr>
      </w:pPr>
    </w:p>
    <w:p w14:paraId="106CF5E7" w14:textId="2887D692" w:rsidR="000B44FF" w:rsidRPr="000E50F1" w:rsidRDefault="000B44FF" w:rsidP="000B44FF">
      <w:pPr>
        <w:tabs>
          <w:tab w:val="left" w:pos="1560"/>
        </w:tabs>
        <w:rPr>
          <w:rFonts w:ascii="Times" w:eastAsia="Calibri" w:hAnsi="Times"/>
        </w:rPr>
      </w:pPr>
      <w:r w:rsidRPr="000E50F1">
        <w:rPr>
          <w:rFonts w:ascii="Times" w:hAnsi="Times"/>
        </w:rPr>
        <w:lastRenderedPageBreak/>
        <w:t xml:space="preserve">Chapter two was published in </w:t>
      </w:r>
      <w:r w:rsidRPr="000E50F1">
        <w:rPr>
          <w:rFonts w:ascii="Times" w:hAnsi="Times"/>
          <w:i/>
          <w:iCs/>
        </w:rPr>
        <w:t>Journal of</w:t>
      </w:r>
      <w:r w:rsidRPr="000E50F1">
        <w:rPr>
          <w:rFonts w:ascii="Times" w:hAnsi="Times"/>
        </w:rPr>
        <w:t xml:space="preserve"> </w:t>
      </w:r>
      <w:r w:rsidRPr="000E50F1">
        <w:rPr>
          <w:rFonts w:ascii="Times" w:hAnsi="Times"/>
          <w:i/>
          <w:iCs/>
        </w:rPr>
        <w:t>International Migration and Integration</w:t>
      </w:r>
      <w:r w:rsidRPr="000E50F1">
        <w:rPr>
          <w:rFonts w:ascii="Times" w:hAnsi="Times"/>
        </w:rPr>
        <w:t xml:space="preserve"> in 2018. As lead author, I was responsible for collating immigration</w:t>
      </w:r>
      <w:r w:rsidRPr="000E50F1">
        <w:rPr>
          <w:rFonts w:ascii="Times" w:eastAsia="Calibri" w:hAnsi="Times"/>
        </w:rPr>
        <w:t xml:space="preserve"> data, analysis, outreach to immigration expert, and drafting and submitting the chapter for publication, and research dissemination. This research was presented at the Ontario Association of International Education 2017 Conference in Hamilton, Ontario, Canada on June 20, 2017. The co-authors, Joyce Chan, a</w:t>
      </w:r>
      <w:r w:rsidR="00AE328D" w:rsidRPr="000E50F1">
        <w:rPr>
          <w:rFonts w:ascii="Times" w:eastAsia="Calibri" w:hAnsi="Times"/>
        </w:rPr>
        <w:t xml:space="preserve"> Master of Public Health </w:t>
      </w:r>
      <w:r w:rsidRPr="000E50F1">
        <w:rPr>
          <w:rFonts w:ascii="Times" w:eastAsia="Calibri" w:hAnsi="Times"/>
        </w:rPr>
        <w:t>student at McMaster University, and Sarah Wayland, PhD, lent editorial support.</w:t>
      </w:r>
      <w:r w:rsidR="00D63BD7" w:rsidRPr="000E50F1">
        <w:rPr>
          <w:rFonts w:ascii="Times" w:eastAsia="Calibri" w:hAnsi="Times"/>
        </w:rPr>
        <w:t xml:space="preserve"> Further details on the research context and methods for chapter two can be found in Appendix B. </w:t>
      </w:r>
    </w:p>
    <w:p w14:paraId="3F224C1A" w14:textId="77777777" w:rsidR="000B44FF" w:rsidRPr="000E50F1" w:rsidRDefault="000B44FF" w:rsidP="000B44FF">
      <w:pPr>
        <w:tabs>
          <w:tab w:val="left" w:pos="1560"/>
        </w:tabs>
        <w:rPr>
          <w:rFonts w:ascii="Times" w:eastAsia="Calibri" w:hAnsi="Times"/>
        </w:rPr>
      </w:pPr>
    </w:p>
    <w:p w14:paraId="21CE493B" w14:textId="2AFBF532" w:rsidR="000B44FF" w:rsidRPr="000E50F1" w:rsidRDefault="000B44FF" w:rsidP="000B44FF">
      <w:pPr>
        <w:tabs>
          <w:tab w:val="left" w:pos="1560"/>
        </w:tabs>
        <w:rPr>
          <w:rFonts w:ascii="Times" w:hAnsi="Times"/>
          <w:b/>
          <w:bCs/>
          <w:i/>
          <w:iCs/>
        </w:rPr>
      </w:pPr>
      <w:r w:rsidRPr="000E50F1">
        <w:rPr>
          <w:rFonts w:ascii="Times" w:hAnsi="Times"/>
          <w:b/>
          <w:bCs/>
          <w:i/>
          <w:iCs/>
        </w:rPr>
        <w:t>Chapter Three</w:t>
      </w:r>
    </w:p>
    <w:p w14:paraId="7420C79C" w14:textId="77777777" w:rsidR="00EA19FF" w:rsidRPr="000E50F1" w:rsidRDefault="000B44FF" w:rsidP="000B44FF">
      <w:pPr>
        <w:tabs>
          <w:tab w:val="left" w:pos="1560"/>
        </w:tabs>
        <w:rPr>
          <w:rFonts w:ascii="Times" w:hAnsi="Times"/>
        </w:rPr>
      </w:pPr>
      <w:r w:rsidRPr="000E50F1">
        <w:rPr>
          <w:rFonts w:ascii="Times" w:hAnsi="Times"/>
        </w:rPr>
        <w:t xml:space="preserve">From September 2015 to September 2016, Hamilton received and resettled a total of 1,460 Syrian refugees, 87% of whom arrived between December 2015 and February 2016 (IRCC Canada 2016). The influx of Syrian newcomers in Hamilton was similar to that observed in Ottawa and Waterloo. Eighty-six percent of Syrian newcomers to Hamilton were government assisted refugees (GARs), the highest proportion of any community in Ontario (Hamilton Immigration Partnership Council 2017). In the fall of 2015, various organizations and offices in Hamilton began to assemble working groups in anticipation of the Syrian arrival. Some of these initiatives—under the leadership of the Resettlement Assistance Program (RAP) and the City’s Community and Emergency Services Department—were happening simultaneously with key stakeholder sitting at multiple tables, including a number of the Hamilton Immigration Partnership Council (HIPC) members. </w:t>
      </w:r>
    </w:p>
    <w:p w14:paraId="35277AC0" w14:textId="77777777" w:rsidR="00EA19FF" w:rsidRPr="000E50F1" w:rsidRDefault="00EA19FF" w:rsidP="000B44FF">
      <w:pPr>
        <w:tabs>
          <w:tab w:val="left" w:pos="1560"/>
        </w:tabs>
        <w:rPr>
          <w:rFonts w:ascii="Times" w:hAnsi="Times"/>
        </w:rPr>
      </w:pPr>
    </w:p>
    <w:p w14:paraId="20689013" w14:textId="77777777" w:rsidR="008475F7" w:rsidRPr="000E50F1" w:rsidRDefault="000B44FF" w:rsidP="000B44FF">
      <w:pPr>
        <w:tabs>
          <w:tab w:val="left" w:pos="1560"/>
        </w:tabs>
        <w:rPr>
          <w:rFonts w:ascii="Times" w:hAnsi="Times"/>
        </w:rPr>
      </w:pPr>
      <w:r w:rsidRPr="000E50F1">
        <w:rPr>
          <w:rFonts w:ascii="Times" w:hAnsi="Times"/>
        </w:rPr>
        <w:t xml:space="preserve">In an in-depth exploratory case study, </w:t>
      </w:r>
      <w:r w:rsidR="00EA19FF" w:rsidRPr="000E50F1">
        <w:rPr>
          <w:rFonts w:ascii="Times" w:hAnsi="Times"/>
        </w:rPr>
        <w:t xml:space="preserve">and using a place-based lens, </w:t>
      </w:r>
      <w:r w:rsidRPr="000E50F1">
        <w:rPr>
          <w:rFonts w:ascii="Times" w:hAnsi="Times"/>
        </w:rPr>
        <w:t>chapter three examines the role of one Local Immigration Partnership in Hamilton Ontario during the Syrian Refugee Resettlement Initiative (SRRI) of 2015 and 2016</w:t>
      </w:r>
      <w:r w:rsidR="008475F7" w:rsidRPr="000E50F1">
        <w:rPr>
          <w:rFonts w:ascii="Times" w:hAnsi="Times"/>
        </w:rPr>
        <w:t>, addressing two research questions:</w:t>
      </w:r>
    </w:p>
    <w:p w14:paraId="549E93A4" w14:textId="77777777" w:rsidR="008475F7" w:rsidRPr="000E50F1" w:rsidRDefault="008475F7" w:rsidP="000B44FF">
      <w:pPr>
        <w:tabs>
          <w:tab w:val="left" w:pos="1560"/>
        </w:tabs>
        <w:rPr>
          <w:rFonts w:ascii="Times" w:hAnsi="Times"/>
        </w:rPr>
      </w:pPr>
    </w:p>
    <w:p w14:paraId="045C0095" w14:textId="7D28267C" w:rsidR="008475F7" w:rsidRPr="000E50F1" w:rsidRDefault="008475F7" w:rsidP="00BC2822">
      <w:pPr>
        <w:pStyle w:val="ListParagraph"/>
        <w:numPr>
          <w:ilvl w:val="0"/>
          <w:numId w:val="7"/>
        </w:numPr>
        <w:spacing w:after="0" w:line="240" w:lineRule="auto"/>
        <w:ind w:right="4"/>
        <w:rPr>
          <w:rFonts w:ascii="Times" w:hAnsi="Times"/>
          <w:spacing w:val="-5"/>
          <w:szCs w:val="24"/>
        </w:rPr>
      </w:pPr>
      <w:r w:rsidRPr="000E50F1">
        <w:rPr>
          <w:rFonts w:ascii="Times" w:hAnsi="Times"/>
          <w:spacing w:val="-5"/>
          <w:szCs w:val="24"/>
        </w:rPr>
        <w:t xml:space="preserve">How did the Local Immigration Partnership in Hamilton respond to the Syrian </w:t>
      </w:r>
      <w:r w:rsidR="00FC3D95" w:rsidRPr="000E50F1">
        <w:rPr>
          <w:rFonts w:ascii="Times" w:hAnsi="Times"/>
          <w:spacing w:val="-5"/>
          <w:szCs w:val="24"/>
        </w:rPr>
        <w:t>R</w:t>
      </w:r>
      <w:r w:rsidRPr="000E50F1">
        <w:rPr>
          <w:rFonts w:ascii="Times" w:hAnsi="Times"/>
          <w:spacing w:val="-5"/>
          <w:szCs w:val="24"/>
        </w:rPr>
        <w:t xml:space="preserve">efugee </w:t>
      </w:r>
      <w:r w:rsidR="00FC3D95" w:rsidRPr="000E50F1">
        <w:rPr>
          <w:rFonts w:ascii="Times" w:hAnsi="Times"/>
          <w:spacing w:val="-5"/>
          <w:szCs w:val="24"/>
        </w:rPr>
        <w:t>R</w:t>
      </w:r>
      <w:r w:rsidRPr="000E50F1">
        <w:rPr>
          <w:rFonts w:ascii="Times" w:hAnsi="Times"/>
          <w:spacing w:val="-5"/>
          <w:szCs w:val="24"/>
        </w:rPr>
        <w:t xml:space="preserve">esettlement </w:t>
      </w:r>
      <w:r w:rsidR="00FC3D95" w:rsidRPr="000E50F1">
        <w:rPr>
          <w:rFonts w:ascii="Times" w:hAnsi="Times" w:cs="Arial"/>
          <w:szCs w:val="24"/>
        </w:rPr>
        <w:t xml:space="preserve">Initiative </w:t>
      </w:r>
      <w:r w:rsidRPr="000E50F1">
        <w:rPr>
          <w:rFonts w:ascii="Times" w:hAnsi="Times"/>
          <w:spacing w:val="-5"/>
          <w:szCs w:val="24"/>
        </w:rPr>
        <w:t>in 2015 and 2016, and why?</w:t>
      </w:r>
    </w:p>
    <w:p w14:paraId="588F01C2" w14:textId="77777777" w:rsidR="008475F7" w:rsidRPr="000E50F1" w:rsidRDefault="008475F7" w:rsidP="00BC2822">
      <w:pPr>
        <w:pStyle w:val="ListParagraph"/>
        <w:numPr>
          <w:ilvl w:val="0"/>
          <w:numId w:val="7"/>
        </w:numPr>
        <w:spacing w:after="0" w:line="240" w:lineRule="auto"/>
        <w:ind w:right="4"/>
        <w:rPr>
          <w:rFonts w:ascii="Times" w:hAnsi="Times"/>
          <w:spacing w:val="-5"/>
          <w:szCs w:val="24"/>
        </w:rPr>
      </w:pPr>
      <w:r w:rsidRPr="000E50F1">
        <w:rPr>
          <w:rFonts w:ascii="Times" w:hAnsi="Times"/>
          <w:spacing w:val="-5"/>
        </w:rPr>
        <w:t>What impact did this have in the community, and what lessons were learned?</w:t>
      </w:r>
    </w:p>
    <w:p w14:paraId="5DDB7E4F" w14:textId="77777777" w:rsidR="00C31480" w:rsidRPr="000E50F1" w:rsidRDefault="00C31480" w:rsidP="000B44FF">
      <w:pPr>
        <w:tabs>
          <w:tab w:val="left" w:pos="1560"/>
        </w:tabs>
        <w:rPr>
          <w:rFonts w:ascii="Times" w:hAnsi="Times"/>
        </w:rPr>
      </w:pPr>
    </w:p>
    <w:p w14:paraId="01DC105D" w14:textId="04E9CAE1" w:rsidR="000B44FF" w:rsidRPr="000E50F1" w:rsidRDefault="000B44FF" w:rsidP="000B44FF">
      <w:pPr>
        <w:tabs>
          <w:tab w:val="left" w:pos="1560"/>
        </w:tabs>
        <w:rPr>
          <w:rFonts w:ascii="Times" w:hAnsi="Times"/>
        </w:rPr>
      </w:pPr>
      <w:r w:rsidRPr="000E50F1">
        <w:rPr>
          <w:rFonts w:ascii="Times" w:hAnsi="Times"/>
        </w:rPr>
        <w:t xml:space="preserve">Various constraints </w:t>
      </w:r>
      <w:r w:rsidR="00CD712E" w:rsidRPr="000E50F1">
        <w:rPr>
          <w:rFonts w:ascii="Times" w:hAnsi="Times"/>
        </w:rPr>
        <w:t xml:space="preserve">were </w:t>
      </w:r>
      <w:r w:rsidRPr="000E50F1">
        <w:rPr>
          <w:rFonts w:ascii="Times" w:hAnsi="Times"/>
        </w:rPr>
        <w:t>encountered in Hamilton</w:t>
      </w:r>
      <w:r w:rsidR="00CD712E" w:rsidRPr="000E50F1">
        <w:rPr>
          <w:rFonts w:ascii="Times" w:hAnsi="Times"/>
        </w:rPr>
        <w:t xml:space="preserve"> </w:t>
      </w:r>
      <w:r w:rsidRPr="000E50F1">
        <w:rPr>
          <w:rFonts w:ascii="Times" w:hAnsi="Times"/>
        </w:rPr>
        <w:t>and</w:t>
      </w:r>
      <w:r w:rsidR="00CD712E" w:rsidRPr="000E50F1">
        <w:rPr>
          <w:rFonts w:ascii="Times" w:hAnsi="Times"/>
        </w:rPr>
        <w:t xml:space="preserve"> </w:t>
      </w:r>
      <w:r w:rsidRPr="000E50F1">
        <w:rPr>
          <w:rFonts w:ascii="Times" w:hAnsi="Times"/>
        </w:rPr>
        <w:t>by the Hamilton LIP</w:t>
      </w:r>
      <w:r w:rsidR="00C31480" w:rsidRPr="000E50F1">
        <w:rPr>
          <w:rFonts w:ascii="Times" w:hAnsi="Times"/>
        </w:rPr>
        <w:t xml:space="preserve">, which resulted in </w:t>
      </w:r>
      <w:r w:rsidRPr="000E50F1">
        <w:rPr>
          <w:rFonts w:ascii="Times" w:hAnsi="Times"/>
        </w:rPr>
        <w:t>delayed mobilization of a</w:t>
      </w:r>
      <w:r w:rsidR="00CD712E" w:rsidRPr="000E50F1">
        <w:rPr>
          <w:rFonts w:ascii="Times" w:hAnsi="Times"/>
        </w:rPr>
        <w:t xml:space="preserve"> </w:t>
      </w:r>
      <w:r w:rsidRPr="000E50F1">
        <w:rPr>
          <w:rFonts w:ascii="Times" w:hAnsi="Times"/>
        </w:rPr>
        <w:t xml:space="preserve">collaborative community-wide action plan </w:t>
      </w:r>
      <w:r w:rsidR="00CD712E" w:rsidRPr="000E50F1">
        <w:rPr>
          <w:rFonts w:ascii="Times" w:hAnsi="Times"/>
        </w:rPr>
        <w:t xml:space="preserve">via an inclusive mechanism </w:t>
      </w:r>
      <w:r w:rsidRPr="000E50F1">
        <w:rPr>
          <w:rFonts w:ascii="Times" w:hAnsi="Times"/>
        </w:rPr>
        <w:t xml:space="preserve">following the federal government’s announcement to resettle Syrian refugees in Canada. The findings in chapter three highlight the de facto role of municipalities in immigration (Walton-Roberts et al. 2019) reinforcing its lack of ‘local’ power and jurisdiction in immigration. In Hamilton, ‘closed’ communication across the broader settlement network suggest that lateral partnerships remain constrained by political character, social structures, local culture, and poignant settlement history despite HIPC’s embodiment of new form of locally based collaboration. Additionally, competing </w:t>
      </w:r>
      <w:r w:rsidRPr="000E50F1">
        <w:rPr>
          <w:rFonts w:ascii="Times" w:hAnsi="Times"/>
        </w:rPr>
        <w:lastRenderedPageBreak/>
        <w:t>interpretations of the role and autonomy of a LIP further constrained HIPC’s ability to exercise agency at this needed time.</w:t>
      </w:r>
      <w:r w:rsidR="00BF6FBF" w:rsidRPr="000E50F1">
        <w:rPr>
          <w:rFonts w:ascii="Times" w:hAnsi="Times"/>
        </w:rPr>
        <w:t xml:space="preserve"> </w:t>
      </w:r>
      <w:r w:rsidR="00C31480" w:rsidRPr="000E50F1">
        <w:rPr>
          <w:rFonts w:ascii="Times" w:hAnsi="Times" w:cs="Arial"/>
        </w:rPr>
        <w:t xml:space="preserve">This place-based examination of </w:t>
      </w:r>
      <w:r w:rsidR="00BF6FBF" w:rsidRPr="000E50F1">
        <w:rPr>
          <w:rFonts w:ascii="Times" w:hAnsi="Times" w:cs="Arial"/>
        </w:rPr>
        <w:t xml:space="preserve">the LIP as a product of interactions can reveal why some LIP </w:t>
      </w:r>
      <w:r w:rsidR="00C31480" w:rsidRPr="000E50F1">
        <w:rPr>
          <w:rFonts w:ascii="Times" w:hAnsi="Times" w:cs="Arial"/>
        </w:rPr>
        <w:t xml:space="preserve">have </w:t>
      </w:r>
      <w:r w:rsidR="00BF6FBF" w:rsidRPr="000E50F1">
        <w:rPr>
          <w:rFonts w:ascii="Times" w:hAnsi="Times" w:cs="Arial"/>
        </w:rPr>
        <w:t>lack</w:t>
      </w:r>
      <w:r w:rsidR="00C31480" w:rsidRPr="000E50F1">
        <w:rPr>
          <w:rFonts w:ascii="Times" w:hAnsi="Times" w:cs="Arial"/>
        </w:rPr>
        <w:t>ed</w:t>
      </w:r>
      <w:r w:rsidR="00BF6FBF" w:rsidRPr="000E50F1">
        <w:rPr>
          <w:rFonts w:ascii="Times" w:hAnsi="Times" w:cs="Arial"/>
        </w:rPr>
        <w:t xml:space="preserve"> the power to exercise leadership and autonomy within the context of nuanced relationships and strategic positions of sector actors in the unfolding spaces of governance within the shadow state.</w:t>
      </w:r>
      <w:r w:rsidR="00BF6FBF" w:rsidRPr="000E50F1">
        <w:rPr>
          <w:rStyle w:val="FootnoteReference"/>
          <w:rFonts w:ascii="Times" w:hAnsi="Times" w:cs="Arial"/>
        </w:rPr>
        <w:footnoteReference w:id="3"/>
      </w:r>
    </w:p>
    <w:p w14:paraId="726C6E8A" w14:textId="77777777" w:rsidR="000B44FF" w:rsidRPr="000E50F1" w:rsidRDefault="000B44FF" w:rsidP="000B44FF">
      <w:pPr>
        <w:tabs>
          <w:tab w:val="left" w:pos="1560"/>
        </w:tabs>
        <w:rPr>
          <w:rFonts w:ascii="Times" w:hAnsi="Times"/>
        </w:rPr>
      </w:pPr>
    </w:p>
    <w:p w14:paraId="44D98B29" w14:textId="43A2F8BC" w:rsidR="000B44FF" w:rsidRPr="000E50F1" w:rsidRDefault="000B44FF" w:rsidP="000B44FF">
      <w:pPr>
        <w:tabs>
          <w:tab w:val="left" w:pos="1560"/>
        </w:tabs>
        <w:rPr>
          <w:rFonts w:ascii="Times" w:hAnsi="Times"/>
        </w:rPr>
      </w:pPr>
      <w:r w:rsidRPr="000E50F1">
        <w:rPr>
          <w:rFonts w:ascii="Times" w:hAnsi="Times"/>
        </w:rPr>
        <w:t xml:space="preserve">Chapter three was published in </w:t>
      </w:r>
      <w:r w:rsidRPr="000E50F1">
        <w:rPr>
          <w:rFonts w:ascii="Times" w:hAnsi="Times"/>
          <w:i/>
          <w:iCs/>
        </w:rPr>
        <w:t>The</w:t>
      </w:r>
      <w:r w:rsidRPr="000E50F1">
        <w:rPr>
          <w:rFonts w:ascii="Times" w:hAnsi="Times"/>
        </w:rPr>
        <w:t xml:space="preserve"> </w:t>
      </w:r>
      <w:r w:rsidRPr="000E50F1">
        <w:rPr>
          <w:rFonts w:ascii="Times" w:hAnsi="Times"/>
          <w:i/>
          <w:iCs/>
        </w:rPr>
        <w:t>Canadian Geographer</w:t>
      </w:r>
      <w:r w:rsidRPr="000E50F1">
        <w:rPr>
          <w:rFonts w:ascii="Times" w:hAnsi="Times"/>
        </w:rPr>
        <w:t xml:space="preserve"> in 2019. </w:t>
      </w:r>
      <w:r w:rsidR="00C31480" w:rsidRPr="000E50F1">
        <w:rPr>
          <w:rFonts w:ascii="Times" w:hAnsi="Times"/>
        </w:rPr>
        <w:t xml:space="preserve">For details on the interview guide developed by </w:t>
      </w:r>
      <w:r w:rsidR="00C31480" w:rsidRPr="000E50F1">
        <w:t xml:space="preserve">Dr. Margaret Walton-Roberts and Dr. Luisa Veronis, see Appendix C. </w:t>
      </w:r>
      <w:r w:rsidR="00C31480" w:rsidRPr="000E50F1">
        <w:rPr>
          <w:rFonts w:ascii="Times" w:hAnsi="Times"/>
        </w:rPr>
        <w:t xml:space="preserve">These questions were later adapted for Hamilton by Dr Sarah Wayland and I. </w:t>
      </w:r>
      <w:r w:rsidRPr="000E50F1">
        <w:rPr>
          <w:rFonts w:ascii="Times" w:hAnsi="Times"/>
        </w:rPr>
        <w:t>As lead author, I was responsible for collecting key informant interviews, transcription, data analysis, and drafting and submitting the chapter for publication, and research dissemination. This research was presented at the 19th National Metropolis Conference in Montreal, Quebec, Canada on March 16th, 2017. My co-author, Dr. Sarah Wayland, PhD, supported investigator triangulation and lent editorial support throughout.</w:t>
      </w:r>
      <w:r w:rsidR="00C31480" w:rsidRPr="000E50F1">
        <w:rPr>
          <w:rFonts w:ascii="Times" w:hAnsi="Times"/>
        </w:rPr>
        <w:t xml:space="preserve"> </w:t>
      </w:r>
    </w:p>
    <w:p w14:paraId="68BC8B5E" w14:textId="77777777" w:rsidR="000B44FF" w:rsidRPr="000E50F1" w:rsidRDefault="000B44FF" w:rsidP="000B44FF">
      <w:pPr>
        <w:tabs>
          <w:tab w:val="left" w:pos="1560"/>
        </w:tabs>
        <w:rPr>
          <w:rFonts w:ascii="Times" w:hAnsi="Times"/>
        </w:rPr>
      </w:pPr>
    </w:p>
    <w:p w14:paraId="243B8F6F" w14:textId="7E1AB78F" w:rsidR="000B44FF" w:rsidRPr="000E50F1" w:rsidRDefault="000B44FF" w:rsidP="000B44FF">
      <w:pPr>
        <w:tabs>
          <w:tab w:val="left" w:pos="1560"/>
        </w:tabs>
        <w:rPr>
          <w:rFonts w:ascii="Times" w:hAnsi="Times"/>
          <w:b/>
          <w:bCs/>
          <w:i/>
          <w:iCs/>
        </w:rPr>
      </w:pPr>
      <w:r w:rsidRPr="000E50F1">
        <w:rPr>
          <w:rFonts w:ascii="Times" w:hAnsi="Times"/>
          <w:b/>
          <w:bCs/>
          <w:i/>
          <w:iCs/>
        </w:rPr>
        <w:t>Chapter Four</w:t>
      </w:r>
    </w:p>
    <w:p w14:paraId="00ED6A85" w14:textId="09629F04" w:rsidR="00EA19FF" w:rsidRPr="000E50F1" w:rsidRDefault="000B44FF" w:rsidP="000B44FF">
      <w:pPr>
        <w:tabs>
          <w:tab w:val="left" w:pos="1560"/>
        </w:tabs>
        <w:rPr>
          <w:rFonts w:ascii="Times" w:hAnsi="Times"/>
        </w:rPr>
      </w:pPr>
      <w:r w:rsidRPr="000E50F1">
        <w:rPr>
          <w:rFonts w:ascii="Times" w:hAnsi="Times"/>
        </w:rPr>
        <w:t>The Mental Health Strategy for Canada released in May 2012 by the Mental Health Commission of Canada (MHCC</w:t>
      </w:r>
      <w:r w:rsidR="00B80A1B" w:rsidRPr="000E50F1">
        <w:rPr>
          <w:rFonts w:ascii="Times" w:hAnsi="Times"/>
        </w:rPr>
        <w:t xml:space="preserve"> 2012</w:t>
      </w:r>
      <w:r w:rsidRPr="000E50F1">
        <w:rPr>
          <w:rFonts w:ascii="Times" w:hAnsi="Times"/>
        </w:rPr>
        <w:t>) aims to help improve the mental health and well-being of all people living in Canada, and create a mental health system that can meet the needs of people living with mental health problems and illnesses, and support families (MHCC, 2019). One of its strategic is to “promote mental health across the lifespan in homes, schools, and workplaces, and prevent mental illness and suicide wherever possible”</w:t>
      </w:r>
      <w:r w:rsidR="00B80A1B" w:rsidRPr="000E50F1">
        <w:rPr>
          <w:rFonts w:ascii="Times" w:hAnsi="Times"/>
        </w:rPr>
        <w:t xml:space="preserve">. Another is to </w:t>
      </w:r>
      <w:r w:rsidRPr="000E50F1">
        <w:rPr>
          <w:rFonts w:ascii="Times" w:hAnsi="Times"/>
        </w:rPr>
        <w:t>“reduce disparities in risk factors and access to mental health services, and strengthen the response to the needs of diverse communities” (MHCC, 201</w:t>
      </w:r>
      <w:r w:rsidR="00B80A1B" w:rsidRPr="000E50F1">
        <w:rPr>
          <w:rFonts w:ascii="Times" w:hAnsi="Times"/>
        </w:rPr>
        <w:t>9</w:t>
      </w:r>
      <w:r w:rsidRPr="000E50F1">
        <w:rPr>
          <w:rFonts w:ascii="Times" w:hAnsi="Times"/>
        </w:rPr>
        <w:t xml:space="preserve">). For immigrant and refugee youth new to Canada, programing targeting school-based mental health is a vital opportunity to deliver services and supports that can address system gaps and reduce health disparities. </w:t>
      </w:r>
    </w:p>
    <w:p w14:paraId="0D4ED495" w14:textId="77777777" w:rsidR="009E11D8" w:rsidRPr="000E50F1" w:rsidRDefault="009E11D8" w:rsidP="000B44FF">
      <w:pPr>
        <w:tabs>
          <w:tab w:val="left" w:pos="1560"/>
        </w:tabs>
        <w:rPr>
          <w:rFonts w:ascii="Times" w:hAnsi="Times"/>
        </w:rPr>
      </w:pPr>
    </w:p>
    <w:p w14:paraId="4A9C3AD9" w14:textId="52BCB60F" w:rsidR="008475F7" w:rsidRPr="000E50F1" w:rsidRDefault="000B44FF" w:rsidP="008475F7">
      <w:pPr>
        <w:tabs>
          <w:tab w:val="left" w:pos="1560"/>
        </w:tabs>
        <w:rPr>
          <w:rFonts w:ascii="Times" w:hAnsi="Times"/>
          <w:spacing w:val="-5"/>
        </w:rPr>
      </w:pPr>
      <w:r w:rsidRPr="000E50F1">
        <w:rPr>
          <w:rFonts w:ascii="Times" w:hAnsi="Times"/>
        </w:rPr>
        <w:t xml:space="preserve">Chapter four employs a grounded theory approach to explore strategies used by settlement workers in Hamilton, Ontario to bridge </w:t>
      </w:r>
      <w:r w:rsidR="00B80A1B" w:rsidRPr="000E50F1">
        <w:rPr>
          <w:rFonts w:ascii="Times" w:hAnsi="Times"/>
        </w:rPr>
        <w:t>support and pl</w:t>
      </w:r>
      <w:r w:rsidRPr="000E50F1">
        <w:rPr>
          <w:rFonts w:ascii="Times" w:hAnsi="Times"/>
        </w:rPr>
        <w:t>ace</w:t>
      </w:r>
      <w:r w:rsidR="00B80A1B" w:rsidRPr="000E50F1">
        <w:rPr>
          <w:rFonts w:ascii="Times" w:hAnsi="Times"/>
        </w:rPr>
        <w:t>s</w:t>
      </w:r>
      <w:r w:rsidRPr="000E50F1">
        <w:rPr>
          <w:rFonts w:ascii="Times" w:hAnsi="Times"/>
        </w:rPr>
        <w:t xml:space="preserve"> </w:t>
      </w:r>
      <w:r w:rsidR="00B80A1B" w:rsidRPr="000E50F1">
        <w:rPr>
          <w:rFonts w:ascii="Times" w:hAnsi="Times"/>
        </w:rPr>
        <w:t xml:space="preserve">between </w:t>
      </w:r>
      <w:r w:rsidRPr="000E50F1">
        <w:rPr>
          <w:rFonts w:ascii="Times" w:hAnsi="Times"/>
        </w:rPr>
        <w:t xml:space="preserve">school-based mental health </w:t>
      </w:r>
      <w:r w:rsidR="00B80A1B" w:rsidRPr="000E50F1">
        <w:rPr>
          <w:rFonts w:ascii="Times" w:hAnsi="Times"/>
        </w:rPr>
        <w:t xml:space="preserve">and </w:t>
      </w:r>
      <w:r w:rsidRPr="000E50F1">
        <w:rPr>
          <w:rFonts w:ascii="Times" w:hAnsi="Times"/>
        </w:rPr>
        <w:t>school-based settlement to improve access and accessibility for new immigrant and refugee students and their families.</w:t>
      </w:r>
      <w:r w:rsidR="008475F7" w:rsidRPr="000E50F1">
        <w:rPr>
          <w:rFonts w:ascii="Times" w:hAnsi="Times"/>
          <w:spacing w:val="-5"/>
        </w:rPr>
        <w:t xml:space="preserve"> Chapter four addresses two research questions: </w:t>
      </w:r>
    </w:p>
    <w:p w14:paraId="27043AA6" w14:textId="77777777" w:rsidR="009E11D8" w:rsidRPr="000E50F1" w:rsidRDefault="009E11D8" w:rsidP="008475F7">
      <w:pPr>
        <w:tabs>
          <w:tab w:val="left" w:pos="1560"/>
        </w:tabs>
        <w:rPr>
          <w:rFonts w:ascii="Times" w:hAnsi="Times"/>
          <w:spacing w:val="-5"/>
        </w:rPr>
      </w:pPr>
    </w:p>
    <w:p w14:paraId="668A81D4" w14:textId="47FF65E3" w:rsidR="008475F7" w:rsidRPr="000E50F1" w:rsidRDefault="008475F7" w:rsidP="00BC2822">
      <w:pPr>
        <w:pStyle w:val="ListParagraph"/>
        <w:numPr>
          <w:ilvl w:val="0"/>
          <w:numId w:val="8"/>
        </w:numPr>
        <w:spacing w:after="0" w:line="240" w:lineRule="auto"/>
        <w:ind w:right="4"/>
        <w:rPr>
          <w:rFonts w:ascii="Times" w:hAnsi="Times"/>
          <w:spacing w:val="-5"/>
          <w:szCs w:val="24"/>
        </w:rPr>
      </w:pPr>
      <w:r w:rsidRPr="000E50F1">
        <w:rPr>
          <w:rFonts w:ascii="Times" w:hAnsi="Times"/>
          <w:spacing w:val="-5"/>
          <w:szCs w:val="24"/>
        </w:rPr>
        <w:t xml:space="preserve">What </w:t>
      </w:r>
      <w:r w:rsidR="003841C1" w:rsidRPr="000E50F1">
        <w:rPr>
          <w:rFonts w:ascii="Times" w:hAnsi="Times"/>
          <w:spacing w:val="-5"/>
          <w:szCs w:val="24"/>
        </w:rPr>
        <w:t>can</w:t>
      </w:r>
      <w:r w:rsidRPr="000E50F1">
        <w:rPr>
          <w:rFonts w:ascii="Times" w:hAnsi="Times"/>
          <w:spacing w:val="-5"/>
          <w:szCs w:val="24"/>
        </w:rPr>
        <w:t xml:space="preserve"> school-based settlement </w:t>
      </w:r>
      <w:r w:rsidR="003841C1" w:rsidRPr="000E50F1">
        <w:rPr>
          <w:rFonts w:ascii="Times" w:hAnsi="Times"/>
          <w:spacing w:val="-5"/>
          <w:szCs w:val="24"/>
        </w:rPr>
        <w:t>tell us about</w:t>
      </w:r>
      <w:r w:rsidRPr="000E50F1">
        <w:rPr>
          <w:rFonts w:ascii="Times" w:hAnsi="Times"/>
          <w:spacing w:val="-5"/>
          <w:szCs w:val="24"/>
        </w:rPr>
        <w:t xml:space="preserve"> </w:t>
      </w:r>
      <w:r w:rsidR="003841C1" w:rsidRPr="000E50F1">
        <w:rPr>
          <w:rFonts w:ascii="Times" w:hAnsi="Times"/>
          <w:spacing w:val="-5"/>
          <w:szCs w:val="24"/>
        </w:rPr>
        <w:t>mental health</w:t>
      </w:r>
      <w:r w:rsidRPr="000E50F1">
        <w:rPr>
          <w:rFonts w:ascii="Times" w:hAnsi="Times"/>
          <w:spacing w:val="-5"/>
          <w:szCs w:val="24"/>
        </w:rPr>
        <w:t xml:space="preserve"> roadblocks in secondary schools for </w:t>
      </w:r>
      <w:r w:rsidR="00FC3D95" w:rsidRPr="000E50F1">
        <w:rPr>
          <w:rFonts w:ascii="Times" w:hAnsi="Times"/>
          <w:spacing w:val="-5"/>
          <w:szCs w:val="24"/>
        </w:rPr>
        <w:t xml:space="preserve">immigrant and refugee </w:t>
      </w:r>
      <w:r w:rsidRPr="000E50F1">
        <w:rPr>
          <w:rFonts w:ascii="Times" w:hAnsi="Times"/>
          <w:spacing w:val="-5"/>
          <w:szCs w:val="24"/>
        </w:rPr>
        <w:t xml:space="preserve">students and </w:t>
      </w:r>
      <w:r w:rsidR="00FC3D95" w:rsidRPr="000E50F1">
        <w:rPr>
          <w:rFonts w:ascii="Times" w:hAnsi="Times"/>
          <w:spacing w:val="-5"/>
          <w:szCs w:val="24"/>
        </w:rPr>
        <w:t xml:space="preserve">their </w:t>
      </w:r>
      <w:r w:rsidRPr="000E50F1">
        <w:rPr>
          <w:rFonts w:ascii="Times" w:hAnsi="Times"/>
          <w:spacing w:val="-5"/>
          <w:szCs w:val="24"/>
        </w:rPr>
        <w:t xml:space="preserve">families? </w:t>
      </w:r>
    </w:p>
    <w:p w14:paraId="6AA38A8A" w14:textId="37F09DE3" w:rsidR="008475F7" w:rsidRPr="000E50F1" w:rsidRDefault="008475F7" w:rsidP="00BC2822">
      <w:pPr>
        <w:pStyle w:val="ListParagraph"/>
        <w:numPr>
          <w:ilvl w:val="0"/>
          <w:numId w:val="8"/>
        </w:numPr>
        <w:spacing w:after="0" w:line="240" w:lineRule="auto"/>
        <w:ind w:right="4"/>
        <w:rPr>
          <w:rFonts w:ascii="Times" w:hAnsi="Times"/>
        </w:rPr>
      </w:pPr>
      <w:r w:rsidRPr="000E50F1">
        <w:rPr>
          <w:rFonts w:ascii="Times" w:hAnsi="Times"/>
          <w:spacing w:val="-5"/>
          <w:szCs w:val="24"/>
        </w:rPr>
        <w:lastRenderedPageBreak/>
        <w:t>How</w:t>
      </w:r>
      <w:r w:rsidR="003841C1" w:rsidRPr="000E50F1">
        <w:rPr>
          <w:rFonts w:ascii="Times" w:hAnsi="Times"/>
          <w:spacing w:val="-5"/>
          <w:szCs w:val="24"/>
        </w:rPr>
        <w:t xml:space="preserve"> </w:t>
      </w:r>
      <w:r w:rsidRPr="000E50F1">
        <w:rPr>
          <w:rFonts w:ascii="Times" w:hAnsi="Times"/>
          <w:spacing w:val="-5"/>
          <w:szCs w:val="24"/>
        </w:rPr>
        <w:t xml:space="preserve">can </w:t>
      </w:r>
      <w:r w:rsidR="003841C1" w:rsidRPr="000E50F1">
        <w:rPr>
          <w:rFonts w:ascii="Times" w:hAnsi="Times"/>
          <w:spacing w:val="-5"/>
          <w:szCs w:val="24"/>
        </w:rPr>
        <w:t xml:space="preserve">cultural brokering be used </w:t>
      </w:r>
      <w:r w:rsidRPr="000E50F1">
        <w:rPr>
          <w:rFonts w:ascii="Times" w:hAnsi="Times"/>
          <w:spacing w:val="-5"/>
          <w:szCs w:val="24"/>
        </w:rPr>
        <w:t xml:space="preserve">to advance equitable and ethical </w:t>
      </w:r>
      <w:r w:rsidR="003841C1" w:rsidRPr="000E50F1">
        <w:rPr>
          <w:rFonts w:ascii="Times" w:hAnsi="Times"/>
          <w:spacing w:val="-5"/>
          <w:szCs w:val="24"/>
        </w:rPr>
        <w:t xml:space="preserve">access </w:t>
      </w:r>
      <w:r w:rsidRPr="000E50F1">
        <w:rPr>
          <w:rFonts w:ascii="Times" w:hAnsi="Times"/>
          <w:spacing w:val="-5"/>
          <w:szCs w:val="24"/>
        </w:rPr>
        <w:t xml:space="preserve">of </w:t>
      </w:r>
      <w:r w:rsidR="003841C1" w:rsidRPr="000E50F1">
        <w:rPr>
          <w:rFonts w:ascii="Times" w:hAnsi="Times"/>
          <w:spacing w:val="-5"/>
          <w:szCs w:val="24"/>
        </w:rPr>
        <w:t>mental health for newcomer students</w:t>
      </w:r>
      <w:r w:rsidR="008B4064" w:rsidRPr="000E50F1">
        <w:rPr>
          <w:rFonts w:ascii="Times" w:hAnsi="Times"/>
          <w:spacing w:val="-5"/>
          <w:szCs w:val="24"/>
        </w:rPr>
        <w:t xml:space="preserve"> in schools</w:t>
      </w:r>
      <w:r w:rsidRPr="000E50F1">
        <w:rPr>
          <w:rFonts w:ascii="Times" w:hAnsi="Times"/>
          <w:spacing w:val="-5"/>
          <w:szCs w:val="24"/>
        </w:rPr>
        <w:t xml:space="preserve">? </w:t>
      </w:r>
    </w:p>
    <w:p w14:paraId="4CFE26E9" w14:textId="6D23BA92" w:rsidR="00B80A1B" w:rsidRPr="000E50F1" w:rsidRDefault="000B44FF" w:rsidP="009E11D8">
      <w:pPr>
        <w:pStyle w:val="NormalWeb"/>
        <w:rPr>
          <w:rFonts w:ascii="Times" w:hAnsi="Times"/>
        </w:rPr>
      </w:pPr>
      <w:r w:rsidRPr="000E50F1">
        <w:rPr>
          <w:rFonts w:ascii="Times" w:hAnsi="Times"/>
        </w:rPr>
        <w:t xml:space="preserve">The findings in </w:t>
      </w:r>
      <w:r w:rsidR="00AE328D" w:rsidRPr="000E50F1">
        <w:rPr>
          <w:rFonts w:ascii="Times" w:hAnsi="Times"/>
        </w:rPr>
        <w:t>c</w:t>
      </w:r>
      <w:r w:rsidRPr="000E50F1">
        <w:rPr>
          <w:rFonts w:ascii="Times" w:hAnsi="Times"/>
        </w:rPr>
        <w:t xml:space="preserve">hapter four </w:t>
      </w:r>
      <w:r w:rsidR="00152514" w:rsidRPr="000E50F1">
        <w:rPr>
          <w:rFonts w:ascii="Times" w:hAnsi="Times"/>
        </w:rPr>
        <w:t>utilizes</w:t>
      </w:r>
      <w:r w:rsidR="00982D5B" w:rsidRPr="000E50F1">
        <w:rPr>
          <w:rFonts w:ascii="Times" w:hAnsi="Times"/>
        </w:rPr>
        <w:t xml:space="preserve"> Bronfenbrenner's (1979) ecological framework in</w:t>
      </w:r>
      <w:r w:rsidR="008C4C12" w:rsidRPr="000E50F1">
        <w:rPr>
          <w:rFonts w:ascii="Times" w:hAnsi="Times"/>
        </w:rPr>
        <w:t xml:space="preserve"> explaining </w:t>
      </w:r>
      <w:r w:rsidR="00982D5B" w:rsidRPr="000E50F1">
        <w:rPr>
          <w:rFonts w:ascii="Times" w:hAnsi="Times"/>
        </w:rPr>
        <w:t>the bidirectional relationship between individual</w:t>
      </w:r>
      <w:r w:rsidR="00B80A1B" w:rsidRPr="000E50F1">
        <w:rPr>
          <w:rFonts w:ascii="Times" w:hAnsi="Times"/>
        </w:rPr>
        <w:t>s</w:t>
      </w:r>
      <w:r w:rsidR="00982D5B" w:rsidRPr="000E50F1">
        <w:rPr>
          <w:rFonts w:ascii="Times" w:hAnsi="Times"/>
        </w:rPr>
        <w:t xml:space="preserve"> and their </w:t>
      </w:r>
      <w:r w:rsidR="008C4C12" w:rsidRPr="000E50F1">
        <w:rPr>
          <w:rFonts w:ascii="Times" w:hAnsi="Times"/>
        </w:rPr>
        <w:t xml:space="preserve">physical and social </w:t>
      </w:r>
      <w:r w:rsidR="00982D5B" w:rsidRPr="000E50F1">
        <w:rPr>
          <w:rFonts w:ascii="Times" w:hAnsi="Times"/>
        </w:rPr>
        <w:t>environment</w:t>
      </w:r>
      <w:r w:rsidR="00B80A1B" w:rsidRPr="000E50F1">
        <w:rPr>
          <w:rFonts w:ascii="Times" w:hAnsi="Times"/>
        </w:rPr>
        <w:t xml:space="preserve">s that create </w:t>
      </w:r>
      <w:r w:rsidR="008C4C12" w:rsidRPr="000E50F1">
        <w:rPr>
          <w:rFonts w:ascii="Times" w:hAnsi="Times"/>
        </w:rPr>
        <w:t>layer</w:t>
      </w:r>
      <w:r w:rsidR="00B80A1B" w:rsidRPr="000E50F1">
        <w:rPr>
          <w:rFonts w:ascii="Times" w:hAnsi="Times"/>
        </w:rPr>
        <w:t>s of</w:t>
      </w:r>
      <w:r w:rsidR="008C4C12" w:rsidRPr="000E50F1">
        <w:rPr>
          <w:rFonts w:ascii="Times" w:hAnsi="Times"/>
        </w:rPr>
        <w:t xml:space="preserve"> </w:t>
      </w:r>
      <w:r w:rsidRPr="000E50F1">
        <w:rPr>
          <w:rFonts w:ascii="Times" w:hAnsi="Times"/>
        </w:rPr>
        <w:t>inaccess</w:t>
      </w:r>
      <w:r w:rsidR="00597C27" w:rsidRPr="000E50F1">
        <w:rPr>
          <w:rFonts w:ascii="Times" w:hAnsi="Times"/>
        </w:rPr>
        <w:t xml:space="preserve">. </w:t>
      </w:r>
      <w:r w:rsidR="00B80A1B" w:rsidRPr="000E50F1">
        <w:rPr>
          <w:rFonts w:ascii="Times" w:hAnsi="Times"/>
        </w:rPr>
        <w:t xml:space="preserve">This research highlight those </w:t>
      </w:r>
      <w:r w:rsidR="00527189" w:rsidRPr="000E50F1">
        <w:rPr>
          <w:rFonts w:ascii="Times" w:hAnsi="Times"/>
        </w:rPr>
        <w:t xml:space="preserve">systemic </w:t>
      </w:r>
      <w:r w:rsidR="00173A55" w:rsidRPr="000E50F1">
        <w:rPr>
          <w:rFonts w:ascii="Times" w:hAnsi="Times"/>
        </w:rPr>
        <w:t>influences</w:t>
      </w:r>
      <w:r w:rsidR="00B80A1B" w:rsidRPr="000E50F1">
        <w:rPr>
          <w:rFonts w:ascii="Times" w:hAnsi="Times"/>
        </w:rPr>
        <w:t xml:space="preserve"> and </w:t>
      </w:r>
      <w:r w:rsidR="00527189" w:rsidRPr="000E50F1">
        <w:rPr>
          <w:rFonts w:ascii="Times" w:hAnsi="Times"/>
        </w:rPr>
        <w:t>cultural i</w:t>
      </w:r>
      <w:r w:rsidR="00B80A1B" w:rsidRPr="000E50F1">
        <w:rPr>
          <w:rFonts w:ascii="Times" w:hAnsi="Times"/>
        </w:rPr>
        <w:t xml:space="preserve">deologies that can lead to health </w:t>
      </w:r>
      <w:r w:rsidR="00527189" w:rsidRPr="000E50F1">
        <w:rPr>
          <w:rFonts w:ascii="Times" w:hAnsi="Times"/>
        </w:rPr>
        <w:t>inequalities</w:t>
      </w:r>
      <w:r w:rsidR="00B80A1B" w:rsidRPr="000E50F1">
        <w:rPr>
          <w:rFonts w:ascii="Times" w:hAnsi="Times"/>
        </w:rPr>
        <w:t xml:space="preserve"> for groups </w:t>
      </w:r>
      <w:r w:rsidR="00527189" w:rsidRPr="000E50F1">
        <w:rPr>
          <w:rFonts w:ascii="Times" w:hAnsi="Times"/>
        </w:rPr>
        <w:t>already</w:t>
      </w:r>
      <w:r w:rsidR="00B80A1B" w:rsidRPr="000E50F1">
        <w:rPr>
          <w:rFonts w:ascii="Times" w:hAnsi="Times"/>
        </w:rPr>
        <w:t xml:space="preserve"> challenged by </w:t>
      </w:r>
      <w:r w:rsidR="00527189" w:rsidRPr="000E50F1">
        <w:rPr>
          <w:rFonts w:ascii="Times" w:hAnsi="Times"/>
        </w:rPr>
        <w:t>multiple social factors that exist in the environment</w:t>
      </w:r>
      <w:r w:rsidR="00B80A1B" w:rsidRPr="000E50F1">
        <w:rPr>
          <w:rFonts w:ascii="Times" w:hAnsi="Times"/>
        </w:rPr>
        <w:t xml:space="preserve">. </w:t>
      </w:r>
      <w:r w:rsidRPr="000E50F1">
        <w:rPr>
          <w:rFonts w:ascii="Times" w:hAnsi="Times"/>
        </w:rPr>
        <w:t xml:space="preserve">However, settlement workers developing and enacting strategies promoting youth autonomy in mental health </w:t>
      </w:r>
      <w:r w:rsidR="00527189" w:rsidRPr="000E50F1">
        <w:rPr>
          <w:rFonts w:ascii="Times" w:hAnsi="Times"/>
        </w:rPr>
        <w:t xml:space="preserve">education, </w:t>
      </w:r>
      <w:r w:rsidRPr="000E50F1">
        <w:rPr>
          <w:rFonts w:ascii="Times" w:hAnsi="Times"/>
        </w:rPr>
        <w:t>and privacy in service access</w:t>
      </w:r>
      <w:r w:rsidR="00527189" w:rsidRPr="000E50F1">
        <w:rPr>
          <w:rFonts w:ascii="Times" w:hAnsi="Times"/>
        </w:rPr>
        <w:t>,</w:t>
      </w:r>
      <w:r w:rsidRPr="000E50F1">
        <w:rPr>
          <w:rFonts w:ascii="Times" w:hAnsi="Times"/>
        </w:rPr>
        <w:t xml:space="preserve"> helped students gain agency and improve</w:t>
      </w:r>
      <w:r w:rsidR="00597C27" w:rsidRPr="000E50F1">
        <w:rPr>
          <w:rFonts w:ascii="Times" w:hAnsi="Times"/>
        </w:rPr>
        <w:t>d</w:t>
      </w:r>
      <w:r w:rsidRPr="000E50F1">
        <w:rPr>
          <w:rFonts w:ascii="Times" w:hAnsi="Times"/>
        </w:rPr>
        <w:t xml:space="preserve"> accessibility at various point</w:t>
      </w:r>
      <w:r w:rsidR="00527189" w:rsidRPr="000E50F1">
        <w:rPr>
          <w:rFonts w:ascii="Times" w:hAnsi="Times"/>
        </w:rPr>
        <w:t>s</w:t>
      </w:r>
      <w:r w:rsidRPr="000E50F1">
        <w:rPr>
          <w:rFonts w:ascii="Times" w:hAnsi="Times"/>
        </w:rPr>
        <w:t xml:space="preserve"> of </w:t>
      </w:r>
      <w:r w:rsidR="00197B91" w:rsidRPr="000E50F1">
        <w:rPr>
          <w:rFonts w:ascii="Times" w:hAnsi="Times"/>
        </w:rPr>
        <w:t xml:space="preserve">intersecting </w:t>
      </w:r>
      <w:r w:rsidRPr="000E50F1">
        <w:rPr>
          <w:rFonts w:ascii="Times" w:hAnsi="Times"/>
        </w:rPr>
        <w:t>roadblock</w:t>
      </w:r>
      <w:r w:rsidR="00956594" w:rsidRPr="000E50F1">
        <w:rPr>
          <w:rFonts w:ascii="Times" w:hAnsi="Times"/>
        </w:rPr>
        <w:t>s</w:t>
      </w:r>
      <w:r w:rsidRPr="000E50F1">
        <w:rPr>
          <w:rFonts w:ascii="Times" w:hAnsi="Times"/>
        </w:rPr>
        <w:t xml:space="preserve">. </w:t>
      </w:r>
    </w:p>
    <w:p w14:paraId="6E23247B" w14:textId="1F412641" w:rsidR="006B645A" w:rsidRPr="000E50F1" w:rsidRDefault="000B44FF" w:rsidP="002B4FDC">
      <w:pPr>
        <w:pStyle w:val="NormalWeb"/>
        <w:tabs>
          <w:tab w:val="left" w:pos="1560"/>
        </w:tabs>
        <w:spacing w:before="0" w:beforeAutospacing="0" w:after="0" w:afterAutospacing="0"/>
        <w:rPr>
          <w:rFonts w:ascii="Times" w:hAnsi="Times"/>
        </w:rPr>
      </w:pPr>
      <w:r w:rsidRPr="000E50F1">
        <w:rPr>
          <w:rFonts w:ascii="Times" w:hAnsi="Times"/>
        </w:rPr>
        <w:t xml:space="preserve">Chapter four, co-authored by Dr. Bruce Newbold, was prepared and submitted for publication to </w:t>
      </w:r>
      <w:r w:rsidRPr="000E50F1">
        <w:rPr>
          <w:rFonts w:ascii="Times" w:hAnsi="Times" w:cs="Arial"/>
          <w:i/>
          <w:iCs/>
          <w:shd w:val="clear" w:color="auto" w:fill="FFFFFF"/>
        </w:rPr>
        <w:t>International Migration Review</w:t>
      </w:r>
      <w:r w:rsidRPr="000E50F1">
        <w:rPr>
          <w:rFonts w:ascii="Times" w:hAnsi="Times" w:cs="Arial"/>
          <w:shd w:val="clear" w:color="auto" w:fill="FFFFFF"/>
        </w:rPr>
        <w:t xml:space="preserve"> in 2020</w:t>
      </w:r>
      <w:r w:rsidRPr="000E50F1">
        <w:rPr>
          <w:rFonts w:ascii="Times" w:hAnsi="Times"/>
        </w:rPr>
        <w:t xml:space="preserve">. </w:t>
      </w:r>
      <w:r w:rsidR="006B645A" w:rsidRPr="000E50F1">
        <w:rPr>
          <w:rFonts w:ascii="Times" w:hAnsi="Times"/>
          <w:b/>
          <w:bCs/>
        </w:rPr>
        <w:br w:type="page"/>
      </w:r>
    </w:p>
    <w:p w14:paraId="0EFEA247" w14:textId="7209698C" w:rsidR="00947464" w:rsidRPr="000E50F1" w:rsidRDefault="00947464" w:rsidP="00947464">
      <w:pPr>
        <w:rPr>
          <w:rFonts w:ascii="Times" w:hAnsi="Times"/>
          <w:b/>
          <w:bCs/>
        </w:rPr>
      </w:pPr>
      <w:r w:rsidRPr="000E50F1">
        <w:rPr>
          <w:rFonts w:ascii="Times" w:hAnsi="Times"/>
          <w:b/>
          <w:bCs/>
        </w:rPr>
        <w:lastRenderedPageBreak/>
        <w:t xml:space="preserve">References </w:t>
      </w:r>
    </w:p>
    <w:p w14:paraId="59A42D4C" w14:textId="77777777" w:rsidR="00947464" w:rsidRPr="000E50F1" w:rsidRDefault="00947464" w:rsidP="00947464">
      <w:pPr>
        <w:rPr>
          <w:rFonts w:ascii="Times" w:hAnsi="Times"/>
          <w:lang w:val="en-US"/>
        </w:rPr>
      </w:pPr>
    </w:p>
    <w:p w14:paraId="53170D6D" w14:textId="77777777" w:rsidR="00A8282F" w:rsidRPr="000E50F1" w:rsidRDefault="00A8282F" w:rsidP="00A8282F">
      <w:pPr>
        <w:tabs>
          <w:tab w:val="left" w:pos="1560"/>
        </w:tabs>
        <w:ind w:left="567" w:hanging="567"/>
        <w:rPr>
          <w:rFonts w:ascii="Times" w:hAnsi="Times"/>
        </w:rPr>
      </w:pPr>
      <w:r w:rsidRPr="000E50F1">
        <w:rPr>
          <w:rFonts w:ascii="Times" w:hAnsi="Times"/>
        </w:rPr>
        <w:t xml:space="preserve">Academica Forum. (2020). </w:t>
      </w:r>
      <w:r w:rsidRPr="000E50F1">
        <w:rPr>
          <w:rFonts w:ascii="Times" w:hAnsi="Times"/>
          <w:i/>
          <w:iCs/>
        </w:rPr>
        <w:t xml:space="preserve">Canadian Higher Ed Year in Review. </w:t>
      </w:r>
      <w:hyperlink r:id="rId12" w:history="1">
        <w:r w:rsidRPr="000E50F1">
          <w:rPr>
            <w:rStyle w:val="Hyperlink"/>
            <w:rFonts w:ascii="Times" w:hAnsi="Times"/>
            <w:color w:val="auto"/>
          </w:rPr>
          <w:t>https://forum.academica.ca/forum/2019-canadian-higher-ed-year-in-review</w:t>
        </w:r>
      </w:hyperlink>
    </w:p>
    <w:p w14:paraId="366ADEC6" w14:textId="77777777" w:rsidR="00A8282F" w:rsidRPr="000E50F1" w:rsidRDefault="00A8282F" w:rsidP="00A8282F">
      <w:pPr>
        <w:tabs>
          <w:tab w:val="left" w:pos="1560"/>
        </w:tabs>
        <w:ind w:left="567" w:hanging="567"/>
        <w:rPr>
          <w:rFonts w:ascii="Times" w:hAnsi="Times"/>
        </w:rPr>
      </w:pPr>
    </w:p>
    <w:p w14:paraId="3CF1130B" w14:textId="44B855AE" w:rsidR="00A8282F" w:rsidRPr="000E50F1" w:rsidRDefault="00A8282F" w:rsidP="00A8282F">
      <w:pPr>
        <w:tabs>
          <w:tab w:val="left" w:pos="1560"/>
        </w:tabs>
        <w:ind w:left="567" w:hanging="567"/>
        <w:rPr>
          <w:rStyle w:val="Hyperlink"/>
          <w:rFonts w:cs="Calibri"/>
          <w:color w:val="auto"/>
          <w:lang w:eastAsia="en-CA"/>
        </w:rPr>
      </w:pPr>
      <w:r w:rsidRPr="000E50F1">
        <w:rPr>
          <w:rFonts w:ascii="Times" w:hAnsi="Times" w:cs="Calibri"/>
          <w:lang w:eastAsia="en-CA"/>
        </w:rPr>
        <w:t xml:space="preserve">Author unknown (2012 Aug 21, 2012). Hamilton ranked No. 1 place to invest in new report. Canadian Broadcasting Corporation News. </w:t>
      </w:r>
      <w:hyperlink r:id="rId13" w:history="1">
        <w:r w:rsidRPr="000E50F1">
          <w:rPr>
            <w:rStyle w:val="Hyperlink"/>
            <w:rFonts w:cs="Calibri"/>
            <w:color w:val="auto"/>
            <w:lang w:eastAsia="en-CA"/>
          </w:rPr>
          <w:t>https://www.cbc.ca/news/canada/hamilton/headlines/hamilton-ranked-no-1-place-to-invest-in-new-report-1.1161114</w:t>
        </w:r>
      </w:hyperlink>
    </w:p>
    <w:p w14:paraId="6EBBC86E" w14:textId="77777777" w:rsidR="00F545B0" w:rsidRPr="000E50F1" w:rsidRDefault="00F545B0" w:rsidP="00A8282F">
      <w:pPr>
        <w:tabs>
          <w:tab w:val="left" w:pos="1560"/>
        </w:tabs>
        <w:ind w:left="567" w:hanging="567"/>
        <w:rPr>
          <w:rFonts w:cs="Calibri"/>
          <w:lang w:eastAsia="en-CA"/>
        </w:rPr>
      </w:pPr>
    </w:p>
    <w:p w14:paraId="0CD00652" w14:textId="77777777" w:rsidR="00F545B0" w:rsidRPr="000E50F1" w:rsidRDefault="00F545B0" w:rsidP="00F545B0">
      <w:pPr>
        <w:autoSpaceDE w:val="0"/>
        <w:autoSpaceDN w:val="0"/>
        <w:adjustRightInd w:val="0"/>
        <w:ind w:left="567" w:hanging="567"/>
        <w:rPr>
          <w:rFonts w:cs="TimesNewRoman"/>
          <w:lang w:eastAsia="en-CA"/>
        </w:rPr>
      </w:pPr>
      <w:r w:rsidRPr="000E50F1">
        <w:rPr>
          <w:rFonts w:cs="TimesNewRoman"/>
          <w:lang w:eastAsia="en-CA"/>
        </w:rPr>
        <w:t xml:space="preserve">Baer, L.D., Gesler, W.M. &amp; Konrad, T.R. (2000). The wineglass model: tracking the locational   histories of health professionals. </w:t>
      </w:r>
      <w:r w:rsidRPr="000E50F1">
        <w:rPr>
          <w:rFonts w:cs="TimesNewRoman,Italic"/>
          <w:i/>
          <w:iCs/>
          <w:lang w:eastAsia="en-CA"/>
        </w:rPr>
        <w:t>Social Science &amp; Medicine</w:t>
      </w:r>
      <w:r w:rsidRPr="000E50F1">
        <w:rPr>
          <w:rFonts w:cs="TimesNewRoman"/>
          <w:lang w:eastAsia="en-CA"/>
        </w:rPr>
        <w:t>, 50, 317-329.</w:t>
      </w:r>
    </w:p>
    <w:p w14:paraId="077460EB" w14:textId="77777777" w:rsidR="00A8282F" w:rsidRPr="000E50F1" w:rsidRDefault="00A8282F" w:rsidP="00A8282F">
      <w:pPr>
        <w:tabs>
          <w:tab w:val="left" w:pos="1560"/>
        </w:tabs>
        <w:ind w:left="567" w:hanging="567"/>
        <w:rPr>
          <w:rFonts w:cs="Calibri"/>
          <w:lang w:eastAsia="en-CA"/>
        </w:rPr>
      </w:pPr>
    </w:p>
    <w:p w14:paraId="7FC7116D" w14:textId="77777777" w:rsidR="00982D5B" w:rsidRPr="000E50F1" w:rsidRDefault="00A8282F" w:rsidP="00982D5B">
      <w:pPr>
        <w:tabs>
          <w:tab w:val="left" w:pos="1560"/>
        </w:tabs>
        <w:ind w:left="567" w:hanging="567"/>
        <w:rPr>
          <w:rFonts w:ascii="Times" w:hAnsi="Times"/>
        </w:rPr>
      </w:pPr>
      <w:r w:rsidRPr="000E50F1">
        <w:rPr>
          <w:rFonts w:ascii="Times" w:hAnsi="Times"/>
        </w:rPr>
        <w:t>Boyd, M., &amp; Vickers, M. (2000). 100 Years of Immigration in Canada. </w:t>
      </w:r>
      <w:r w:rsidRPr="000E50F1">
        <w:rPr>
          <w:rFonts w:ascii="Times" w:hAnsi="Times"/>
          <w:i/>
          <w:iCs/>
        </w:rPr>
        <w:t>Canadian Social Trends,</w:t>
      </w:r>
      <w:r w:rsidRPr="000E50F1">
        <w:rPr>
          <w:rFonts w:ascii="Times" w:hAnsi="Times"/>
        </w:rPr>
        <w:t> </w:t>
      </w:r>
      <w:r w:rsidRPr="000E50F1">
        <w:rPr>
          <w:rFonts w:ascii="Times" w:hAnsi="Times"/>
          <w:i/>
          <w:iCs/>
        </w:rPr>
        <w:t>58</w:t>
      </w:r>
      <w:r w:rsidRPr="000E50F1">
        <w:rPr>
          <w:rFonts w:ascii="Times" w:hAnsi="Times"/>
        </w:rPr>
        <w:t>(2), 2-12.</w:t>
      </w:r>
      <w:r w:rsidRPr="000E50F1">
        <w:rPr>
          <w:rFonts w:ascii="Times" w:eastAsiaTheme="minorEastAsia" w:hAnsi="Times"/>
        </w:rPr>
        <w:t xml:space="preserve"> </w:t>
      </w:r>
      <w:r w:rsidRPr="000E50F1">
        <w:rPr>
          <w:rFonts w:ascii="Times" w:hAnsi="Times"/>
        </w:rPr>
        <w:t xml:space="preserve">UNCHR (2020a). </w:t>
      </w:r>
    </w:p>
    <w:p w14:paraId="21D5ACAE" w14:textId="77777777" w:rsidR="007309F0" w:rsidRPr="000E50F1" w:rsidRDefault="007309F0" w:rsidP="007309F0">
      <w:pPr>
        <w:tabs>
          <w:tab w:val="left" w:pos="1560"/>
        </w:tabs>
        <w:ind w:left="567" w:hanging="567"/>
        <w:rPr>
          <w:rFonts w:ascii="Times" w:hAnsi="Times"/>
        </w:rPr>
      </w:pPr>
    </w:p>
    <w:p w14:paraId="373E8FAC" w14:textId="4B4B4653" w:rsidR="007309F0" w:rsidRPr="000E50F1" w:rsidRDefault="007309F0" w:rsidP="007309F0">
      <w:pPr>
        <w:tabs>
          <w:tab w:val="left" w:pos="1560"/>
        </w:tabs>
        <w:ind w:left="567" w:hanging="567"/>
        <w:rPr>
          <w:rFonts w:ascii="Times" w:hAnsi="Times"/>
        </w:rPr>
      </w:pPr>
      <w:r w:rsidRPr="000E50F1">
        <w:rPr>
          <w:rFonts w:ascii="Times" w:hAnsi="Times"/>
        </w:rPr>
        <w:t>Boyle, P., &amp; Norman, P. (2009). Migration and health. </w:t>
      </w:r>
      <w:r w:rsidRPr="000E50F1">
        <w:rPr>
          <w:rFonts w:ascii="Times" w:hAnsi="Times"/>
          <w:i/>
          <w:iCs/>
        </w:rPr>
        <w:t>A companion to health and medical geography</w:t>
      </w:r>
      <w:r w:rsidRPr="000E50F1">
        <w:rPr>
          <w:rFonts w:ascii="Times" w:hAnsi="Times"/>
        </w:rPr>
        <w:t>, 346-74.</w:t>
      </w:r>
    </w:p>
    <w:p w14:paraId="48818D46" w14:textId="77777777" w:rsidR="00982D5B" w:rsidRPr="000E50F1" w:rsidRDefault="00982D5B" w:rsidP="00982D5B">
      <w:pPr>
        <w:tabs>
          <w:tab w:val="left" w:pos="1560"/>
        </w:tabs>
        <w:ind w:left="567" w:hanging="567"/>
        <w:rPr>
          <w:rFonts w:ascii="Times" w:hAnsi="Times"/>
        </w:rPr>
      </w:pPr>
    </w:p>
    <w:p w14:paraId="3A0BF788" w14:textId="79BDA76D" w:rsidR="00735CB8" w:rsidRPr="000E50F1" w:rsidRDefault="00982D5B" w:rsidP="00982D5B">
      <w:pPr>
        <w:tabs>
          <w:tab w:val="left" w:pos="1560"/>
        </w:tabs>
        <w:ind w:left="567" w:hanging="567"/>
        <w:rPr>
          <w:rFonts w:ascii="Times" w:hAnsi="Times"/>
        </w:rPr>
      </w:pPr>
      <w:r w:rsidRPr="000E50F1">
        <w:rPr>
          <w:rFonts w:ascii="Times" w:hAnsi="Times"/>
        </w:rPr>
        <w:t xml:space="preserve">Bronfenbrenner, U. (1979). </w:t>
      </w:r>
      <w:r w:rsidRPr="000E50F1">
        <w:rPr>
          <w:rFonts w:ascii="Times" w:hAnsi="Times"/>
          <w:i/>
          <w:iCs/>
        </w:rPr>
        <w:t>The ecology of human development: Experiments by design and nature</w:t>
      </w:r>
      <w:r w:rsidRPr="000E50F1">
        <w:rPr>
          <w:rFonts w:ascii="Times" w:hAnsi="Times"/>
        </w:rPr>
        <w:t xml:space="preserve">. Cambridge, MA: Harvard University Press. </w:t>
      </w:r>
    </w:p>
    <w:p w14:paraId="160C87AD" w14:textId="77777777" w:rsidR="00735CB8" w:rsidRPr="000E50F1" w:rsidRDefault="00735CB8" w:rsidP="00982D5B">
      <w:pPr>
        <w:tabs>
          <w:tab w:val="left" w:pos="1560"/>
        </w:tabs>
        <w:ind w:left="567" w:hanging="567"/>
        <w:rPr>
          <w:rFonts w:ascii="Times" w:hAnsi="Times"/>
        </w:rPr>
      </w:pPr>
    </w:p>
    <w:p w14:paraId="48052EBB" w14:textId="27BE24EF" w:rsidR="00912F78" w:rsidRPr="000E50F1" w:rsidRDefault="00735CB8" w:rsidP="002B50FD">
      <w:pPr>
        <w:tabs>
          <w:tab w:val="left" w:pos="1560"/>
        </w:tabs>
        <w:ind w:left="567" w:hanging="567"/>
        <w:rPr>
          <w:rFonts w:ascii="Times" w:hAnsi="Times"/>
        </w:rPr>
      </w:pPr>
      <w:r w:rsidRPr="000E50F1">
        <w:rPr>
          <w:rFonts w:ascii="Times" w:hAnsi="Times"/>
        </w:rPr>
        <w:t xml:space="preserve">Brown, T., McLafferty, S., &amp; Moon, G. </w:t>
      </w:r>
      <w:r w:rsidR="00FF5114" w:rsidRPr="000E50F1">
        <w:rPr>
          <w:rFonts w:ascii="Times" w:hAnsi="Times"/>
        </w:rPr>
        <w:t>(</w:t>
      </w:r>
      <w:r w:rsidRPr="000E50F1">
        <w:rPr>
          <w:rFonts w:ascii="Times" w:hAnsi="Times"/>
        </w:rPr>
        <w:t>2009</w:t>
      </w:r>
      <w:r w:rsidR="00FF5114" w:rsidRPr="000E50F1">
        <w:rPr>
          <w:rFonts w:ascii="Times" w:hAnsi="Times"/>
        </w:rPr>
        <w:t xml:space="preserve">). </w:t>
      </w:r>
      <w:r w:rsidR="00912F78" w:rsidRPr="000E50F1">
        <w:rPr>
          <w:rFonts w:ascii="Times" w:hAnsi="Times"/>
        </w:rPr>
        <w:t>Introduction to health and medical geography. In </w:t>
      </w:r>
      <w:r w:rsidR="00912F78" w:rsidRPr="000E50F1">
        <w:rPr>
          <w:rFonts w:ascii="Times" w:hAnsi="Times"/>
          <w:i/>
          <w:iCs/>
        </w:rPr>
        <w:t>A companion to health and medical geography</w:t>
      </w:r>
      <w:r w:rsidR="00912F78" w:rsidRPr="000E50F1">
        <w:rPr>
          <w:rFonts w:ascii="Times" w:hAnsi="Times"/>
        </w:rPr>
        <w:t> (pp. 1-11). Wiley-Blackwell.</w:t>
      </w:r>
    </w:p>
    <w:p w14:paraId="53E77A0C" w14:textId="77777777" w:rsidR="00912F78" w:rsidRPr="000E50F1" w:rsidRDefault="00912F78" w:rsidP="00982D5B">
      <w:pPr>
        <w:tabs>
          <w:tab w:val="left" w:pos="1560"/>
        </w:tabs>
        <w:rPr>
          <w:rFonts w:ascii="Times" w:hAnsi="Times"/>
        </w:rPr>
      </w:pPr>
    </w:p>
    <w:p w14:paraId="319FADC3" w14:textId="77777777" w:rsidR="00A8282F" w:rsidRPr="000E50F1" w:rsidRDefault="00A8282F" w:rsidP="00A8282F">
      <w:pPr>
        <w:tabs>
          <w:tab w:val="left" w:pos="1560"/>
        </w:tabs>
        <w:ind w:left="567" w:hanging="567"/>
        <w:rPr>
          <w:rFonts w:ascii="Times" w:hAnsi="Times"/>
          <w:i/>
          <w:iCs/>
        </w:rPr>
      </w:pPr>
      <w:r w:rsidRPr="000E50F1">
        <w:rPr>
          <w:rFonts w:ascii="Times" w:hAnsi="Times"/>
        </w:rPr>
        <w:t xml:space="preserve">Buist, S. (2016, September 6). The changing face of Hamilton: No longer the city of immigrants. </w:t>
      </w:r>
      <w:r w:rsidRPr="000E50F1">
        <w:rPr>
          <w:rFonts w:ascii="Times" w:hAnsi="Times"/>
          <w:i/>
          <w:iCs/>
        </w:rPr>
        <w:t xml:space="preserve">The Hamilton Spectator. </w:t>
      </w:r>
      <w:hyperlink r:id="rId14" w:history="1">
        <w:r w:rsidRPr="000E50F1">
          <w:rPr>
            <w:rStyle w:val="Hyperlink"/>
            <w:rFonts w:ascii="Times" w:hAnsi="Times"/>
            <w:color w:val="auto"/>
          </w:rPr>
          <w:t>https://www.thespec.com/news/hamilton-region/2016/09/06/the-changing-face-of-hamilton-no-longer-the-city-of-immigrants.html</w:t>
        </w:r>
      </w:hyperlink>
    </w:p>
    <w:p w14:paraId="55D9E742" w14:textId="77777777" w:rsidR="00A8282F" w:rsidRPr="000E50F1" w:rsidRDefault="00A8282F" w:rsidP="00A8282F">
      <w:pPr>
        <w:tabs>
          <w:tab w:val="left" w:pos="1560"/>
        </w:tabs>
        <w:ind w:left="567" w:hanging="567"/>
        <w:rPr>
          <w:rFonts w:ascii="Times" w:hAnsi="Times"/>
        </w:rPr>
      </w:pPr>
    </w:p>
    <w:p w14:paraId="2389B927" w14:textId="77777777" w:rsidR="00A8282F" w:rsidRPr="000E50F1" w:rsidRDefault="00A8282F" w:rsidP="00A8282F">
      <w:pPr>
        <w:tabs>
          <w:tab w:val="left" w:pos="1560"/>
        </w:tabs>
        <w:ind w:left="567" w:hanging="567"/>
        <w:rPr>
          <w:rFonts w:ascii="Times" w:hAnsi="Times"/>
          <w:lang w:val="en-US"/>
        </w:rPr>
      </w:pPr>
      <w:r w:rsidRPr="000E50F1">
        <w:rPr>
          <w:rFonts w:ascii="Times" w:hAnsi="Times"/>
        </w:rPr>
        <w:t>Castles, S. (2007). Twenty-first-century migration as a challenge to sociology. </w:t>
      </w:r>
      <w:r w:rsidRPr="000E50F1">
        <w:rPr>
          <w:rFonts w:ascii="Times" w:hAnsi="Times"/>
          <w:i/>
          <w:iCs/>
        </w:rPr>
        <w:t>Journal of Ethnic and Migration Studies, 33</w:t>
      </w:r>
      <w:r w:rsidRPr="000E50F1">
        <w:rPr>
          <w:rFonts w:ascii="Times" w:hAnsi="Times"/>
        </w:rPr>
        <w:t>(3), 351-371.</w:t>
      </w:r>
      <w:r w:rsidRPr="000E50F1">
        <w:rPr>
          <w:rFonts w:ascii="Times" w:hAnsi="Times"/>
          <w:lang w:val="en-US"/>
        </w:rPr>
        <w:t xml:space="preserve"> </w:t>
      </w:r>
    </w:p>
    <w:p w14:paraId="7590CF67" w14:textId="77777777" w:rsidR="00A8282F" w:rsidRPr="000E50F1" w:rsidRDefault="00A8282F" w:rsidP="00A8282F">
      <w:pPr>
        <w:tabs>
          <w:tab w:val="left" w:pos="1560"/>
        </w:tabs>
        <w:ind w:left="567" w:hanging="567"/>
        <w:rPr>
          <w:rFonts w:ascii="Times" w:hAnsi="Times"/>
          <w:lang w:val="en-US"/>
        </w:rPr>
      </w:pPr>
    </w:p>
    <w:p w14:paraId="4F719223" w14:textId="77777777" w:rsidR="00A8282F" w:rsidRPr="000E50F1" w:rsidRDefault="00A8282F" w:rsidP="00A8282F">
      <w:pPr>
        <w:tabs>
          <w:tab w:val="left" w:pos="1560"/>
        </w:tabs>
        <w:ind w:left="567" w:hanging="567"/>
        <w:rPr>
          <w:rFonts w:ascii="Times" w:hAnsi="Times"/>
        </w:rPr>
      </w:pPr>
      <w:r w:rsidRPr="000E50F1">
        <w:rPr>
          <w:rFonts w:ascii="Times" w:hAnsi="Times"/>
        </w:rPr>
        <w:t>Castles, S. (2010). Understanding global migration: A social transformation perspective. </w:t>
      </w:r>
      <w:r w:rsidRPr="000E50F1">
        <w:rPr>
          <w:rFonts w:ascii="Times" w:hAnsi="Times"/>
          <w:i/>
          <w:iCs/>
        </w:rPr>
        <w:t>Journal of ethnic and migration studies, 36</w:t>
      </w:r>
      <w:r w:rsidRPr="000E50F1">
        <w:rPr>
          <w:rFonts w:ascii="Times" w:hAnsi="Times"/>
        </w:rPr>
        <w:t>(10), 1565-1586.</w:t>
      </w:r>
    </w:p>
    <w:p w14:paraId="53001BF6" w14:textId="77777777" w:rsidR="00A8282F" w:rsidRPr="000E50F1" w:rsidRDefault="00A8282F" w:rsidP="00A8282F">
      <w:pPr>
        <w:tabs>
          <w:tab w:val="left" w:pos="1560"/>
        </w:tabs>
        <w:rPr>
          <w:rFonts w:ascii="Times" w:hAnsi="Times"/>
          <w:lang w:val="en-US"/>
        </w:rPr>
      </w:pPr>
    </w:p>
    <w:p w14:paraId="463D7EA3" w14:textId="77777777" w:rsidR="00A8282F" w:rsidRPr="000E50F1" w:rsidRDefault="00A8282F" w:rsidP="00A8282F">
      <w:pPr>
        <w:tabs>
          <w:tab w:val="left" w:pos="1560"/>
        </w:tabs>
        <w:ind w:left="567" w:hanging="567"/>
        <w:rPr>
          <w:rFonts w:ascii="Times" w:hAnsi="Times"/>
        </w:rPr>
      </w:pPr>
      <w:r w:rsidRPr="000E50F1">
        <w:rPr>
          <w:rFonts w:ascii="Times" w:hAnsi="Times"/>
        </w:rPr>
        <w:t xml:space="preserve">City of Hamilton (2020). Diversified Successful Industries in Hamilton. </w:t>
      </w:r>
      <w:hyperlink r:id="rId15" w:history="1">
        <w:r w:rsidRPr="000E50F1">
          <w:rPr>
            <w:rStyle w:val="Hyperlink"/>
            <w:rFonts w:ascii="Times" w:hAnsi="Times"/>
            <w:color w:val="auto"/>
          </w:rPr>
          <w:t>https://investinhamilton.ca/industries/</w:t>
        </w:r>
      </w:hyperlink>
    </w:p>
    <w:p w14:paraId="12CD9E29" w14:textId="77777777" w:rsidR="00A8282F" w:rsidRPr="000E50F1" w:rsidRDefault="00A8282F" w:rsidP="0007432A">
      <w:pPr>
        <w:tabs>
          <w:tab w:val="left" w:pos="1560"/>
        </w:tabs>
        <w:rPr>
          <w:rFonts w:ascii="Times" w:hAnsi="Times"/>
        </w:rPr>
      </w:pPr>
    </w:p>
    <w:p w14:paraId="75393AB2" w14:textId="77777777" w:rsidR="00A8282F" w:rsidRPr="000E50F1" w:rsidRDefault="00A8282F" w:rsidP="00A8282F">
      <w:pPr>
        <w:tabs>
          <w:tab w:val="left" w:pos="1560"/>
        </w:tabs>
        <w:ind w:left="567" w:hanging="567"/>
        <w:rPr>
          <w:rFonts w:ascii="Times" w:hAnsi="Times"/>
        </w:rPr>
      </w:pPr>
      <w:r w:rsidRPr="000E50F1">
        <w:rPr>
          <w:rFonts w:ascii="Times" w:hAnsi="Times"/>
        </w:rPr>
        <w:t>Czaika, M., &amp; De Haas, H. (2013). The effectiveness of immigration policies. </w:t>
      </w:r>
      <w:r w:rsidRPr="000E50F1">
        <w:rPr>
          <w:rFonts w:ascii="Times" w:hAnsi="Times"/>
          <w:i/>
          <w:iCs/>
        </w:rPr>
        <w:t>Population and Development Review, 39</w:t>
      </w:r>
      <w:r w:rsidRPr="000E50F1">
        <w:rPr>
          <w:rFonts w:ascii="Times" w:hAnsi="Times"/>
        </w:rPr>
        <w:t>(3), 487-508.</w:t>
      </w:r>
    </w:p>
    <w:p w14:paraId="2F8DBA86" w14:textId="77777777" w:rsidR="00A8282F" w:rsidRPr="000E50F1" w:rsidRDefault="00A8282F" w:rsidP="00A8282F">
      <w:pPr>
        <w:tabs>
          <w:tab w:val="left" w:pos="1560"/>
        </w:tabs>
        <w:ind w:left="567" w:hanging="567"/>
        <w:rPr>
          <w:rFonts w:ascii="Times" w:hAnsi="Times"/>
        </w:rPr>
      </w:pPr>
    </w:p>
    <w:p w14:paraId="6B3963E5" w14:textId="77777777" w:rsidR="00A8282F" w:rsidRPr="000E50F1" w:rsidRDefault="00A8282F" w:rsidP="00A8282F">
      <w:pPr>
        <w:tabs>
          <w:tab w:val="left" w:pos="1560"/>
        </w:tabs>
        <w:ind w:left="567" w:hanging="567"/>
        <w:rPr>
          <w:rFonts w:ascii="Times" w:hAnsi="Times"/>
        </w:rPr>
      </w:pPr>
      <w:r w:rsidRPr="000E50F1">
        <w:rPr>
          <w:rFonts w:ascii="Times" w:hAnsi="Times"/>
        </w:rPr>
        <w:lastRenderedPageBreak/>
        <w:t xml:space="preserve">Dam, H. (2019). Exploring Hamilton’s Informal Settlement Network. </w:t>
      </w:r>
      <w:hyperlink r:id="rId16" w:history="1">
        <w:r w:rsidRPr="000E50F1">
          <w:rPr>
            <w:rStyle w:val="Hyperlink"/>
            <w:rFonts w:ascii="Times" w:hAnsi="Times"/>
            <w:color w:val="auto"/>
          </w:rPr>
          <w:t>http://hamiltonimmigration.ca/sites/default/files/docs/hipc_informal_network_report_april_2019_compressed.pdf</w:t>
        </w:r>
      </w:hyperlink>
    </w:p>
    <w:p w14:paraId="13BA3165" w14:textId="77777777" w:rsidR="00A8282F" w:rsidRPr="000E50F1" w:rsidRDefault="00A8282F" w:rsidP="00A8282F">
      <w:pPr>
        <w:tabs>
          <w:tab w:val="left" w:pos="1560"/>
        </w:tabs>
        <w:rPr>
          <w:rFonts w:ascii="Times" w:hAnsi="Times"/>
          <w:lang w:val="en-US"/>
        </w:rPr>
      </w:pPr>
    </w:p>
    <w:p w14:paraId="6905A410" w14:textId="77777777" w:rsidR="00A8282F" w:rsidRPr="000E50F1" w:rsidRDefault="00A8282F" w:rsidP="00A8282F">
      <w:pPr>
        <w:tabs>
          <w:tab w:val="left" w:pos="1560"/>
        </w:tabs>
        <w:ind w:left="567" w:hanging="567"/>
        <w:rPr>
          <w:rFonts w:ascii="Times" w:hAnsi="Times"/>
        </w:rPr>
      </w:pPr>
      <w:r w:rsidRPr="000E50F1">
        <w:rPr>
          <w:rFonts w:ascii="Times" w:hAnsi="Times"/>
        </w:rPr>
        <w:t xml:space="preserve">Davey, D. (2011, January 11) The SISO empire falls. </w:t>
      </w:r>
      <w:r w:rsidRPr="000E50F1">
        <w:rPr>
          <w:rFonts w:ascii="Times" w:hAnsi="Times"/>
          <w:i/>
          <w:iCs/>
        </w:rPr>
        <w:t>The Hamilton Spectator</w:t>
      </w:r>
      <w:r w:rsidRPr="000E50F1">
        <w:rPr>
          <w:rFonts w:ascii="Times" w:hAnsi="Times"/>
        </w:rPr>
        <w:t xml:space="preserve">. </w:t>
      </w:r>
      <w:hyperlink r:id="rId17" w:history="1">
        <w:r w:rsidRPr="000E50F1">
          <w:rPr>
            <w:rStyle w:val="Hyperlink"/>
            <w:rFonts w:ascii="Times" w:hAnsi="Times"/>
            <w:color w:val="auto"/>
          </w:rPr>
          <w:t>https://www.thespec.com/news/hamilton-region/2011/01/15/the-siso-empire-falls.html</w:t>
        </w:r>
      </w:hyperlink>
      <w:r w:rsidRPr="000E50F1">
        <w:rPr>
          <w:rFonts w:ascii="Times" w:hAnsi="Times"/>
        </w:rPr>
        <w:t xml:space="preserve"> </w:t>
      </w:r>
    </w:p>
    <w:p w14:paraId="1873F8BE" w14:textId="19209E66" w:rsidR="00A8282F" w:rsidRPr="000E50F1" w:rsidRDefault="00A8282F" w:rsidP="00A8282F">
      <w:pPr>
        <w:tabs>
          <w:tab w:val="left" w:pos="1560"/>
        </w:tabs>
        <w:ind w:left="567" w:hanging="567"/>
        <w:rPr>
          <w:rFonts w:ascii="Times" w:hAnsi="Times"/>
          <w:lang w:val="en-US"/>
        </w:rPr>
      </w:pPr>
    </w:p>
    <w:p w14:paraId="51767938" w14:textId="77777777" w:rsidR="00587196" w:rsidRPr="000E50F1" w:rsidRDefault="00587196" w:rsidP="00587196">
      <w:pPr>
        <w:autoSpaceDE w:val="0"/>
        <w:autoSpaceDN w:val="0"/>
        <w:adjustRightInd w:val="0"/>
        <w:ind w:left="567" w:hanging="567"/>
        <w:rPr>
          <w:rFonts w:ascii="Times" w:eastAsiaTheme="minorHAnsi" w:hAnsi="Times" w:cs="Arial"/>
          <w:shd w:val="clear" w:color="auto" w:fill="FFFFFF"/>
        </w:rPr>
      </w:pPr>
      <w:r w:rsidRPr="000E50F1">
        <w:rPr>
          <w:rFonts w:ascii="Times" w:eastAsiaTheme="minorHAnsi" w:hAnsi="Times" w:cs="Arial"/>
          <w:shd w:val="clear" w:color="auto" w:fill="FFFFFF"/>
        </w:rPr>
        <w:t>Dyck, I., &amp; Kearns, R. A. (2006). Structuration theory: agency, structure and everyday life. </w:t>
      </w:r>
      <w:r w:rsidRPr="000E50F1">
        <w:rPr>
          <w:rFonts w:ascii="Times" w:eastAsiaTheme="minorHAnsi" w:hAnsi="Times" w:cs="Arial"/>
          <w:i/>
          <w:iCs/>
          <w:shd w:val="clear" w:color="auto" w:fill="FFFFFF"/>
        </w:rPr>
        <w:t>Approaches to human geography</w:t>
      </w:r>
      <w:r w:rsidRPr="000E50F1">
        <w:rPr>
          <w:rFonts w:ascii="Times" w:eastAsiaTheme="minorHAnsi" w:hAnsi="Times" w:cs="Arial"/>
          <w:shd w:val="clear" w:color="auto" w:fill="FFFFFF"/>
        </w:rPr>
        <w:t>, 86-97.</w:t>
      </w:r>
    </w:p>
    <w:p w14:paraId="13698094" w14:textId="77777777" w:rsidR="00587196" w:rsidRPr="000E50F1" w:rsidRDefault="00587196" w:rsidP="00A8282F">
      <w:pPr>
        <w:tabs>
          <w:tab w:val="left" w:pos="1560"/>
        </w:tabs>
        <w:ind w:left="567" w:hanging="567"/>
        <w:rPr>
          <w:rFonts w:ascii="Times" w:hAnsi="Times"/>
          <w:lang w:val="en-US"/>
        </w:rPr>
      </w:pPr>
    </w:p>
    <w:p w14:paraId="03F2521A" w14:textId="77777777" w:rsidR="00BE46B3" w:rsidRPr="000E50F1" w:rsidRDefault="00BE46B3" w:rsidP="00BE46B3">
      <w:pPr>
        <w:pStyle w:val="NormalWeb"/>
        <w:tabs>
          <w:tab w:val="left" w:pos="1560"/>
        </w:tabs>
        <w:spacing w:before="0" w:beforeAutospacing="0" w:after="0" w:afterAutospacing="0"/>
        <w:ind w:left="567" w:hanging="567"/>
        <w:rPr>
          <w:rFonts w:ascii="Times" w:hAnsi="Times"/>
        </w:rPr>
      </w:pPr>
      <w:r w:rsidRPr="000E50F1">
        <w:rPr>
          <w:rFonts w:ascii="Times" w:hAnsi="Times"/>
        </w:rPr>
        <w:t>Gesler, W. M., &amp; Kearns, R. A. (2005). </w:t>
      </w:r>
      <w:r w:rsidRPr="000E50F1">
        <w:rPr>
          <w:rFonts w:ascii="Times" w:hAnsi="Times"/>
          <w:i/>
          <w:iCs/>
        </w:rPr>
        <w:t>Culture, Place and Health</w:t>
      </w:r>
      <w:r w:rsidRPr="000E50F1">
        <w:rPr>
          <w:rFonts w:ascii="Times" w:hAnsi="Times"/>
        </w:rPr>
        <w:t xml:space="preserve"> (Vol. 16). Routledge.</w:t>
      </w:r>
    </w:p>
    <w:p w14:paraId="12EA5C8D" w14:textId="77777777" w:rsidR="00BE46B3" w:rsidRPr="000E50F1" w:rsidRDefault="00BE46B3" w:rsidP="00A8282F">
      <w:pPr>
        <w:tabs>
          <w:tab w:val="left" w:pos="1560"/>
        </w:tabs>
        <w:ind w:left="567" w:hanging="567"/>
        <w:rPr>
          <w:rFonts w:ascii="Times" w:hAnsi="Times"/>
          <w:lang w:val="en-US"/>
        </w:rPr>
      </w:pPr>
    </w:p>
    <w:p w14:paraId="341A5F53" w14:textId="024457D6" w:rsidR="00A8282F" w:rsidRPr="000E50F1" w:rsidRDefault="00A8282F" w:rsidP="00A8282F">
      <w:pPr>
        <w:tabs>
          <w:tab w:val="left" w:pos="1560"/>
        </w:tabs>
        <w:ind w:left="567" w:hanging="567"/>
        <w:rPr>
          <w:rFonts w:ascii="Times" w:hAnsi="Times"/>
          <w:lang w:val="en-US"/>
        </w:rPr>
      </w:pPr>
      <w:r w:rsidRPr="000E50F1">
        <w:rPr>
          <w:rFonts w:ascii="Times" w:hAnsi="Times"/>
          <w:lang w:val="en-US"/>
        </w:rPr>
        <w:t xml:space="preserve">Gibs, B. (2013). </w:t>
      </w:r>
      <w:hyperlink r:id="rId18" w:history="1">
        <w:r w:rsidRPr="000E50F1">
          <w:rPr>
            <w:rFonts w:ascii="Times" w:hAnsi="Times"/>
            <w:lang w:val="en-US"/>
          </w:rPr>
          <w:t>Structuration theory</w:t>
        </w:r>
      </w:hyperlink>
      <w:r w:rsidRPr="000E50F1">
        <w:rPr>
          <w:rFonts w:ascii="Times" w:hAnsi="Times"/>
          <w:lang w:val="en-US"/>
        </w:rPr>
        <w:t xml:space="preserve">. </w:t>
      </w:r>
      <w:hyperlink r:id="rId19" w:history="1">
        <w:r w:rsidRPr="000E50F1">
          <w:rPr>
            <w:lang w:val="en-US"/>
          </w:rPr>
          <w:t>https://www.britannica.com/topic/structural-functionalism</w:t>
        </w:r>
      </w:hyperlink>
      <w:r w:rsidRPr="000E50F1">
        <w:rPr>
          <w:rFonts w:ascii="Times" w:hAnsi="Times"/>
          <w:lang w:val="en-US"/>
        </w:rPr>
        <w:t xml:space="preserve">. Encyclopaedia Britannica. Accessed August 20, 2020. </w:t>
      </w:r>
    </w:p>
    <w:p w14:paraId="72C7C5DF" w14:textId="77777777" w:rsidR="00A8282F" w:rsidRPr="000E50F1" w:rsidRDefault="00A8282F" w:rsidP="00A8282F">
      <w:pPr>
        <w:tabs>
          <w:tab w:val="left" w:pos="1560"/>
        </w:tabs>
        <w:ind w:left="567" w:hanging="567"/>
        <w:rPr>
          <w:rFonts w:ascii="Times" w:hAnsi="Times"/>
          <w:lang w:val="en-US"/>
        </w:rPr>
      </w:pPr>
    </w:p>
    <w:p w14:paraId="5B23AE2A" w14:textId="77777777" w:rsidR="00BD3475" w:rsidRPr="000E50F1" w:rsidRDefault="00A8282F" w:rsidP="00BD3475">
      <w:pPr>
        <w:tabs>
          <w:tab w:val="left" w:pos="1560"/>
        </w:tabs>
        <w:ind w:left="567" w:hanging="567"/>
        <w:rPr>
          <w:rFonts w:ascii="Times" w:hAnsi="Times"/>
          <w:lang w:val="en-US"/>
        </w:rPr>
      </w:pPr>
      <w:r w:rsidRPr="000E50F1">
        <w:rPr>
          <w:rFonts w:ascii="Times" w:hAnsi="Times"/>
          <w:lang w:val="en-US"/>
        </w:rPr>
        <w:t>Giddens, A. (1984). </w:t>
      </w:r>
      <w:r w:rsidRPr="000E50F1">
        <w:rPr>
          <w:rFonts w:ascii="Times" w:hAnsi="Times"/>
          <w:i/>
          <w:iCs/>
          <w:lang w:val="en-US"/>
        </w:rPr>
        <w:t>The constitution of society: Outline of the theory of</w:t>
      </w:r>
      <w:r w:rsidRPr="000E50F1">
        <w:rPr>
          <w:rFonts w:ascii="Times" w:hAnsi="Times"/>
          <w:lang w:val="en-US"/>
        </w:rPr>
        <w:t xml:space="preserve"> </w:t>
      </w:r>
      <w:r w:rsidRPr="000E50F1">
        <w:rPr>
          <w:rFonts w:ascii="Times" w:hAnsi="Times"/>
          <w:i/>
          <w:iCs/>
          <w:lang w:val="en-US"/>
        </w:rPr>
        <w:t>structuration</w:t>
      </w:r>
      <w:r w:rsidRPr="000E50F1">
        <w:rPr>
          <w:rFonts w:ascii="Times" w:hAnsi="Times"/>
          <w:lang w:val="en-US"/>
        </w:rPr>
        <w:t>. University of California Press.</w:t>
      </w:r>
    </w:p>
    <w:p w14:paraId="40022237" w14:textId="77777777" w:rsidR="00BD3475" w:rsidRPr="000E50F1" w:rsidRDefault="00BD3475" w:rsidP="00BD3475">
      <w:pPr>
        <w:tabs>
          <w:tab w:val="left" w:pos="1560"/>
        </w:tabs>
        <w:ind w:left="567" w:hanging="567"/>
        <w:rPr>
          <w:rFonts w:ascii="Times" w:hAnsi="Times"/>
          <w:lang w:val="en-US"/>
        </w:rPr>
      </w:pPr>
    </w:p>
    <w:p w14:paraId="220FC33C" w14:textId="70D53FEC" w:rsidR="00DA604F" w:rsidRPr="000E50F1" w:rsidRDefault="003B1F52" w:rsidP="00BD3475">
      <w:pPr>
        <w:tabs>
          <w:tab w:val="left" w:pos="1560"/>
        </w:tabs>
        <w:ind w:left="567" w:hanging="567"/>
        <w:rPr>
          <w:rFonts w:ascii="Times" w:hAnsi="Times"/>
          <w:lang w:val="en-US"/>
        </w:rPr>
      </w:pPr>
      <w:r w:rsidRPr="000E50F1">
        <w:t>IRCC (Immigration, Refugees and Citizenship Canada). 2020. Notice—Supplementary Information for the 2021-2023 Immigration Levels Plan. https://www.canada.ca/en/immigration-refugees-citizenship/news/notices/supplementary-immigration-levels-2021-2023.html</w:t>
      </w:r>
    </w:p>
    <w:p w14:paraId="3A690D2F" w14:textId="77777777" w:rsidR="00341E59" w:rsidRPr="000E50F1" w:rsidRDefault="00341E59" w:rsidP="003B1F52">
      <w:pPr>
        <w:rPr>
          <w:lang w:val="en-US"/>
        </w:rPr>
      </w:pPr>
    </w:p>
    <w:p w14:paraId="5045C93E" w14:textId="46D903F8" w:rsidR="00A8282F" w:rsidRPr="000E50F1" w:rsidRDefault="00341E59" w:rsidP="00A8282F">
      <w:pPr>
        <w:pStyle w:val="NormalWeb"/>
        <w:tabs>
          <w:tab w:val="left" w:pos="1560"/>
        </w:tabs>
        <w:spacing w:before="0" w:beforeAutospacing="0" w:after="0" w:afterAutospacing="0"/>
        <w:ind w:left="567" w:hanging="567"/>
        <w:rPr>
          <w:rFonts w:ascii="Times" w:hAnsi="Times"/>
        </w:rPr>
      </w:pPr>
      <w:r w:rsidRPr="000E50F1">
        <w:rPr>
          <w:rFonts w:ascii="Times" w:hAnsi="Times"/>
        </w:rPr>
        <w:t xml:space="preserve">—. </w:t>
      </w:r>
      <w:r w:rsidR="00A8282F" w:rsidRPr="000E50F1">
        <w:rPr>
          <w:rFonts w:ascii="Times" w:eastAsia="Times New Roman" w:hAnsi="Times"/>
        </w:rPr>
        <w:t>2019. Immigration, Refugees and</w:t>
      </w:r>
      <w:r w:rsidR="00A8282F" w:rsidRPr="000E50F1">
        <w:rPr>
          <w:rFonts w:ascii="Times" w:hAnsi="Times"/>
        </w:rPr>
        <w:t xml:space="preserve"> Citizenship Canada Departmental Plan 2019-2020. </w:t>
      </w:r>
      <w:hyperlink r:id="rId20" w:history="1">
        <w:r w:rsidR="00A8282F" w:rsidRPr="000E50F1">
          <w:rPr>
            <w:rFonts w:ascii="Times" w:hAnsi="Times"/>
          </w:rPr>
          <w:t>https://www.canada.ca/en/immigration-refugees-citizenship/corporate/publications-manuals/departmental-plan-2019-2020/departmental-plan.html</w:t>
        </w:r>
      </w:hyperlink>
    </w:p>
    <w:p w14:paraId="204639D9" w14:textId="77777777" w:rsidR="00A8282F" w:rsidRPr="000E50F1" w:rsidRDefault="00A8282F" w:rsidP="00A8282F">
      <w:pPr>
        <w:pStyle w:val="NormalWeb"/>
        <w:tabs>
          <w:tab w:val="left" w:pos="1560"/>
        </w:tabs>
        <w:spacing w:before="0" w:beforeAutospacing="0" w:after="0" w:afterAutospacing="0"/>
        <w:ind w:left="567" w:hanging="567"/>
        <w:rPr>
          <w:rFonts w:ascii="Times" w:hAnsi="Times"/>
        </w:rPr>
      </w:pPr>
    </w:p>
    <w:p w14:paraId="41260A01" w14:textId="77777777" w:rsidR="00A8282F" w:rsidRPr="000E50F1" w:rsidRDefault="00A8282F" w:rsidP="00A8282F">
      <w:pPr>
        <w:pStyle w:val="NormalWeb"/>
        <w:tabs>
          <w:tab w:val="left" w:pos="1560"/>
        </w:tabs>
        <w:spacing w:before="0" w:beforeAutospacing="0" w:after="0" w:afterAutospacing="0"/>
        <w:ind w:left="567" w:hanging="567"/>
        <w:rPr>
          <w:rFonts w:ascii="Times" w:hAnsi="Times"/>
        </w:rPr>
      </w:pPr>
      <w:r w:rsidRPr="000E50F1">
        <w:rPr>
          <w:rFonts w:ascii="Times" w:hAnsi="Times"/>
        </w:rPr>
        <w:t>—. 2016. Canada—Admissions of Syrian refugees by province/territory and census metropolitan area (CMA) of intended destination and immigration category, November 4th, 2015–September 30th, 2016. https://open.canada.ca/data/ en/dataset/4a1b260a</w:t>
      </w:r>
      <w:r w:rsidRPr="000E50F1">
        <w:rPr>
          <w:rFonts w:ascii="Cambria Math" w:hAnsi="Cambria Math" w:cs="Cambria Math"/>
        </w:rPr>
        <w:t>‐</w:t>
      </w:r>
      <w:r w:rsidRPr="000E50F1">
        <w:rPr>
          <w:rFonts w:ascii="Times" w:hAnsi="Times"/>
        </w:rPr>
        <w:t>7ac4</w:t>
      </w:r>
      <w:r w:rsidRPr="000E50F1">
        <w:rPr>
          <w:rFonts w:ascii="Cambria Math" w:hAnsi="Cambria Math" w:cs="Cambria Math"/>
        </w:rPr>
        <w:t>‐</w:t>
      </w:r>
      <w:r w:rsidRPr="000E50F1">
        <w:rPr>
          <w:rFonts w:ascii="Times" w:hAnsi="Times"/>
        </w:rPr>
        <w:t>4985</w:t>
      </w:r>
      <w:r w:rsidRPr="000E50F1">
        <w:rPr>
          <w:rFonts w:ascii="Cambria Math" w:hAnsi="Cambria Math" w:cs="Cambria Math"/>
        </w:rPr>
        <w:t>‐</w:t>
      </w:r>
      <w:r w:rsidRPr="000E50F1">
        <w:rPr>
          <w:rFonts w:ascii="Times" w:hAnsi="Times"/>
        </w:rPr>
        <w:t>80a0</w:t>
      </w:r>
      <w:r w:rsidRPr="000E50F1">
        <w:rPr>
          <w:rFonts w:ascii="Cambria Math" w:hAnsi="Cambria Math" w:cs="Cambria Math"/>
        </w:rPr>
        <w:t>‐</w:t>
      </w:r>
      <w:r w:rsidRPr="000E50F1">
        <w:rPr>
          <w:rFonts w:ascii="Times" w:hAnsi="Times"/>
        </w:rPr>
        <w:t xml:space="preserve">603bfe4aec11 </w:t>
      </w:r>
    </w:p>
    <w:p w14:paraId="6B5AAFD6" w14:textId="77777777" w:rsidR="00A8282F" w:rsidRPr="000E50F1" w:rsidRDefault="00A8282F" w:rsidP="00A8282F">
      <w:pPr>
        <w:pStyle w:val="NormalWeb"/>
        <w:tabs>
          <w:tab w:val="left" w:pos="1560"/>
        </w:tabs>
        <w:spacing w:before="0" w:beforeAutospacing="0" w:after="0" w:afterAutospacing="0"/>
        <w:ind w:left="567" w:hanging="567"/>
        <w:rPr>
          <w:rFonts w:ascii="Times" w:hAnsi="Times"/>
        </w:rPr>
      </w:pPr>
    </w:p>
    <w:p w14:paraId="11189F07" w14:textId="77777777" w:rsidR="00A8282F" w:rsidRPr="000E50F1" w:rsidRDefault="00A8282F" w:rsidP="00A8282F">
      <w:pPr>
        <w:pStyle w:val="NormalWeb"/>
        <w:tabs>
          <w:tab w:val="left" w:pos="1560"/>
        </w:tabs>
        <w:spacing w:before="0" w:beforeAutospacing="0" w:after="0" w:afterAutospacing="0"/>
        <w:ind w:left="567" w:hanging="567"/>
        <w:rPr>
          <w:rFonts w:ascii="Times" w:hAnsi="Times"/>
        </w:rPr>
      </w:pPr>
      <w:r w:rsidRPr="000E50F1">
        <w:rPr>
          <w:rFonts w:ascii="Times" w:hAnsi="Times"/>
        </w:rPr>
        <w:t>Jones, K., &amp; Moon, G. (1993). Medical geography: taking space seriously. </w:t>
      </w:r>
      <w:r w:rsidRPr="000E50F1">
        <w:rPr>
          <w:rFonts w:ascii="Times" w:hAnsi="Times"/>
          <w:i/>
          <w:iCs/>
        </w:rPr>
        <w:t>Progress in Human Geography, 17</w:t>
      </w:r>
      <w:r w:rsidRPr="000E50F1">
        <w:rPr>
          <w:rFonts w:ascii="Times" w:hAnsi="Times"/>
        </w:rPr>
        <w:t>(4), 515-524.</w:t>
      </w:r>
    </w:p>
    <w:p w14:paraId="789993CD" w14:textId="77777777" w:rsidR="00A8282F" w:rsidRPr="000E50F1" w:rsidRDefault="00A8282F" w:rsidP="00A8282F">
      <w:pPr>
        <w:pStyle w:val="NormalWeb"/>
        <w:tabs>
          <w:tab w:val="left" w:pos="1560"/>
        </w:tabs>
        <w:spacing w:before="0" w:beforeAutospacing="0" w:after="0" w:afterAutospacing="0"/>
        <w:ind w:left="567" w:hanging="567"/>
        <w:rPr>
          <w:rFonts w:ascii="Times" w:hAnsi="Times"/>
        </w:rPr>
      </w:pPr>
    </w:p>
    <w:p w14:paraId="05852F53" w14:textId="009C2DB9" w:rsidR="00912F78" w:rsidRPr="000E50F1" w:rsidRDefault="00A8282F" w:rsidP="00BE46B3">
      <w:pPr>
        <w:pStyle w:val="NormalWeb"/>
        <w:tabs>
          <w:tab w:val="left" w:pos="1560"/>
        </w:tabs>
        <w:spacing w:before="0" w:beforeAutospacing="0" w:after="0" w:afterAutospacing="0"/>
        <w:ind w:left="567" w:hanging="567"/>
        <w:rPr>
          <w:rFonts w:ascii="Times" w:hAnsi="Times"/>
        </w:rPr>
      </w:pPr>
      <w:r w:rsidRPr="000E50F1">
        <w:rPr>
          <w:rFonts w:ascii="Times" w:hAnsi="Times"/>
        </w:rPr>
        <w:t>Kearns, R. A., &amp; Joseph, A. E. (1993). Space in its place: developing the link in medical geography. </w:t>
      </w:r>
      <w:r w:rsidRPr="000E50F1">
        <w:rPr>
          <w:rFonts w:ascii="Times" w:hAnsi="Times"/>
          <w:i/>
          <w:iCs/>
        </w:rPr>
        <w:t>Social Science &amp; Medicine, 37</w:t>
      </w:r>
      <w:r w:rsidRPr="000E50F1">
        <w:rPr>
          <w:rFonts w:ascii="Times" w:hAnsi="Times"/>
        </w:rPr>
        <w:t>(6), 711-717.</w:t>
      </w:r>
    </w:p>
    <w:p w14:paraId="67FA18F4" w14:textId="77777777" w:rsidR="00912F78" w:rsidRPr="000E50F1" w:rsidRDefault="00912F78" w:rsidP="00BE46B3">
      <w:pPr>
        <w:pStyle w:val="NormalWeb"/>
        <w:tabs>
          <w:tab w:val="left" w:pos="1560"/>
        </w:tabs>
        <w:spacing w:before="0" w:beforeAutospacing="0" w:after="0" w:afterAutospacing="0"/>
        <w:ind w:left="567" w:hanging="567"/>
        <w:rPr>
          <w:rFonts w:ascii="Times" w:hAnsi="Times"/>
        </w:rPr>
      </w:pPr>
    </w:p>
    <w:p w14:paraId="495E7478" w14:textId="1A478E69" w:rsidR="00912F78" w:rsidRPr="000E50F1" w:rsidRDefault="00912F78" w:rsidP="00912F78">
      <w:pPr>
        <w:pStyle w:val="NormalWeb"/>
        <w:tabs>
          <w:tab w:val="left" w:pos="1560"/>
        </w:tabs>
        <w:spacing w:before="0" w:beforeAutospacing="0" w:after="0" w:afterAutospacing="0"/>
        <w:ind w:left="567" w:hanging="567"/>
        <w:rPr>
          <w:rFonts w:ascii="Times" w:hAnsi="Times"/>
          <w:lang w:val="en-CA"/>
        </w:rPr>
      </w:pPr>
      <w:r w:rsidRPr="000E50F1">
        <w:rPr>
          <w:rFonts w:ascii="Times" w:hAnsi="Times"/>
          <w:lang w:val="en-CA"/>
        </w:rPr>
        <w:lastRenderedPageBreak/>
        <w:t>Kulkarni, V. S., &amp; Subramanian, S. V. (2</w:t>
      </w:r>
      <w:r w:rsidR="002B50FD" w:rsidRPr="000E50F1">
        <w:rPr>
          <w:rFonts w:ascii="Times" w:hAnsi="Times"/>
          <w:lang w:val="en-CA"/>
        </w:rPr>
        <w:t>009</w:t>
      </w:r>
      <w:r w:rsidRPr="000E50F1">
        <w:rPr>
          <w:rFonts w:ascii="Times" w:hAnsi="Times"/>
          <w:lang w:val="en-CA"/>
        </w:rPr>
        <w:t>). Social perspectives on health inequalities. </w:t>
      </w:r>
      <w:r w:rsidRPr="000E50F1">
        <w:rPr>
          <w:rFonts w:ascii="Times" w:hAnsi="Times"/>
          <w:i/>
          <w:iCs/>
          <w:lang w:val="en-CA"/>
        </w:rPr>
        <w:t>A companion to health and medical geography</w:t>
      </w:r>
      <w:r w:rsidRPr="000E50F1">
        <w:rPr>
          <w:rFonts w:ascii="Times" w:hAnsi="Times"/>
          <w:lang w:val="en-CA"/>
        </w:rPr>
        <w:t>, 375-398.</w:t>
      </w:r>
    </w:p>
    <w:p w14:paraId="11A077D3" w14:textId="77777777" w:rsidR="00912F78" w:rsidRPr="000E50F1" w:rsidRDefault="00912F78" w:rsidP="00A8282F">
      <w:pPr>
        <w:pStyle w:val="NormalWeb"/>
        <w:tabs>
          <w:tab w:val="left" w:pos="1560"/>
        </w:tabs>
        <w:spacing w:before="0" w:beforeAutospacing="0" w:after="0" w:afterAutospacing="0"/>
        <w:rPr>
          <w:rFonts w:ascii="Times" w:hAnsi="Times"/>
        </w:rPr>
      </w:pPr>
    </w:p>
    <w:p w14:paraId="3B739FDC" w14:textId="77777777" w:rsidR="00A8282F" w:rsidRPr="000E50F1" w:rsidRDefault="00A8282F" w:rsidP="00A8282F">
      <w:pPr>
        <w:tabs>
          <w:tab w:val="left" w:pos="1560"/>
        </w:tabs>
        <w:ind w:left="567" w:hanging="567"/>
        <w:rPr>
          <w:rFonts w:ascii="Times" w:hAnsi="Times"/>
        </w:rPr>
      </w:pPr>
      <w:r w:rsidRPr="000E50F1">
        <w:rPr>
          <w:rFonts w:ascii="Times" w:hAnsi="Times"/>
        </w:rPr>
        <w:t xml:space="preserve">Mental Health Commission of Canada. 2019. Mental Health Strategy for Canada. </w:t>
      </w:r>
      <w:hyperlink r:id="rId21" w:history="1">
        <w:r w:rsidRPr="000E50F1">
          <w:rPr>
            <w:rStyle w:val="Hyperlink"/>
            <w:rFonts w:ascii="Times" w:hAnsi="Times"/>
            <w:color w:val="auto"/>
          </w:rPr>
          <w:t>https://www.mentalhealthcommission.ca/English/resources/mhcc-reports/mental-health-strategy-canada</w:t>
        </w:r>
      </w:hyperlink>
    </w:p>
    <w:p w14:paraId="4D2403D1" w14:textId="77777777" w:rsidR="00B80A1B" w:rsidRPr="000E50F1" w:rsidRDefault="00B80A1B" w:rsidP="00B80A1B">
      <w:pPr>
        <w:tabs>
          <w:tab w:val="left" w:pos="1560"/>
        </w:tabs>
        <w:ind w:left="567" w:hanging="567"/>
        <w:rPr>
          <w:rFonts w:ascii="Times" w:hAnsi="Times"/>
        </w:rPr>
      </w:pPr>
    </w:p>
    <w:p w14:paraId="2E526B8E" w14:textId="0EA9500F" w:rsidR="00B80A1B" w:rsidRPr="000E50F1" w:rsidRDefault="00B80A1B" w:rsidP="00A8282F">
      <w:pPr>
        <w:tabs>
          <w:tab w:val="left" w:pos="1560"/>
        </w:tabs>
        <w:ind w:left="567" w:hanging="567"/>
      </w:pPr>
      <w:r w:rsidRPr="000E50F1">
        <w:rPr>
          <w:rFonts w:ascii="Times" w:hAnsi="Times"/>
        </w:rPr>
        <w:t xml:space="preserve">—. 2012. Changing Directions, Changing Lives: The Mental Health Strategy for Canada. </w:t>
      </w:r>
      <w:hyperlink r:id="rId22" w:history="1">
        <w:r w:rsidRPr="000E50F1">
          <w:rPr>
            <w:rStyle w:val="Hyperlink"/>
            <w:color w:val="auto"/>
          </w:rPr>
          <w:t>https://www.mentalhealthcommission.ca/sites/default/files/MHStrategy_Strategy_ENG.pdf</w:t>
        </w:r>
      </w:hyperlink>
    </w:p>
    <w:p w14:paraId="05AF93A2" w14:textId="77777777" w:rsidR="00B80A1B" w:rsidRPr="000E50F1" w:rsidRDefault="00B80A1B" w:rsidP="00A8282F">
      <w:pPr>
        <w:tabs>
          <w:tab w:val="left" w:pos="1560"/>
        </w:tabs>
        <w:ind w:left="567" w:hanging="567"/>
        <w:rPr>
          <w:rFonts w:ascii="Times" w:hAnsi="Times"/>
        </w:rPr>
      </w:pPr>
    </w:p>
    <w:p w14:paraId="722B1814" w14:textId="77777777" w:rsidR="00A8282F" w:rsidRPr="000E50F1" w:rsidRDefault="00A8282F" w:rsidP="00A8282F">
      <w:pPr>
        <w:tabs>
          <w:tab w:val="left" w:pos="1560"/>
        </w:tabs>
        <w:ind w:left="567" w:hanging="567"/>
      </w:pPr>
      <w:r w:rsidRPr="000E50F1">
        <w:t xml:space="preserve">Richard H. (2018). The gentrification of Hamilton. </w:t>
      </w:r>
      <w:r w:rsidRPr="000E50F1">
        <w:rPr>
          <w:i/>
          <w:iCs/>
        </w:rPr>
        <w:t>The Standard</w:t>
      </w:r>
      <w:r w:rsidRPr="000E50F1">
        <w:t xml:space="preserve">. </w:t>
      </w:r>
      <w:hyperlink r:id="rId23" w:history="1">
        <w:r w:rsidRPr="000E50F1">
          <w:rPr>
            <w:rStyle w:val="Hyperlink"/>
            <w:color w:val="auto"/>
          </w:rPr>
          <w:t>https://www.stcatharinesstandard.ca/ths/opinion/contributors/2018/04/21/the-gentrification-of-hamilton.html</w:t>
        </w:r>
      </w:hyperlink>
    </w:p>
    <w:p w14:paraId="7A47B511" w14:textId="77777777" w:rsidR="00A8282F" w:rsidRPr="000E50F1" w:rsidRDefault="00A8282F" w:rsidP="00A8282F">
      <w:pPr>
        <w:tabs>
          <w:tab w:val="left" w:pos="1560"/>
        </w:tabs>
        <w:ind w:left="567" w:hanging="567"/>
      </w:pPr>
    </w:p>
    <w:p w14:paraId="2BFA4C7B" w14:textId="77777777" w:rsidR="00A8282F" w:rsidRPr="000E50F1" w:rsidRDefault="00A8282F" w:rsidP="00A8282F">
      <w:pPr>
        <w:tabs>
          <w:tab w:val="left" w:pos="1560"/>
        </w:tabs>
        <w:ind w:left="567" w:hanging="567"/>
      </w:pPr>
      <w:r w:rsidRPr="000E50F1">
        <w:t xml:space="preserve">Spasser, M. A. (1998). Psychiatrists make Diagnoses, but not in Circumstances of Their Own Choosing: Agency and Structure in the DSM1. </w:t>
      </w:r>
      <w:r w:rsidRPr="000E50F1">
        <w:rPr>
          <w:i/>
          <w:iCs/>
        </w:rPr>
        <w:t>Library Trends, 47</w:t>
      </w:r>
      <w:r w:rsidRPr="000E50F1">
        <w:t>(2), 313-337.</w:t>
      </w:r>
    </w:p>
    <w:p w14:paraId="3C54D58A" w14:textId="77777777" w:rsidR="00A8282F" w:rsidRPr="000E50F1" w:rsidRDefault="00A8282F" w:rsidP="00A8282F">
      <w:pPr>
        <w:tabs>
          <w:tab w:val="left" w:pos="1560"/>
        </w:tabs>
        <w:ind w:left="567" w:hanging="567"/>
      </w:pPr>
    </w:p>
    <w:p w14:paraId="582A2DF3" w14:textId="4B36ECC4" w:rsidR="00A8282F" w:rsidRPr="000E50F1" w:rsidRDefault="00A8282F" w:rsidP="00F85BE6">
      <w:pPr>
        <w:tabs>
          <w:tab w:val="left" w:pos="1560"/>
        </w:tabs>
        <w:ind w:left="567" w:hanging="567"/>
        <w:rPr>
          <w:rStyle w:val="Hyperlink"/>
          <w:color w:val="auto"/>
        </w:rPr>
      </w:pPr>
      <w:r w:rsidRPr="000E50F1">
        <w:t xml:space="preserve">Social Planning and Research Council (2016). Demographic Shifts: Immigration and Languages. Hamilton’s Social Landscape Bulletin (Issue 13). </w:t>
      </w:r>
      <w:hyperlink r:id="rId24" w:history="1">
        <w:r w:rsidRPr="000E50F1">
          <w:rPr>
            <w:rStyle w:val="Hyperlink"/>
            <w:color w:val="auto"/>
          </w:rPr>
          <w:t>http://www.sprc.hamilton.on.ca/wp-content/uploads/2016/09/Demographic-Shifts-Immigration-and-languages.pdf</w:t>
        </w:r>
      </w:hyperlink>
    </w:p>
    <w:p w14:paraId="1525FCC4" w14:textId="77777777" w:rsidR="00735CB8" w:rsidRPr="000E50F1" w:rsidRDefault="00735CB8" w:rsidP="00F85BE6">
      <w:pPr>
        <w:tabs>
          <w:tab w:val="left" w:pos="1560"/>
        </w:tabs>
        <w:ind w:left="567" w:hanging="567"/>
      </w:pPr>
    </w:p>
    <w:p w14:paraId="6531B9A9" w14:textId="77777777" w:rsidR="00A8282F" w:rsidRPr="000E50F1" w:rsidRDefault="00A8282F" w:rsidP="00A8282F">
      <w:pPr>
        <w:pStyle w:val="NormalWeb"/>
        <w:tabs>
          <w:tab w:val="left" w:pos="1560"/>
        </w:tabs>
        <w:spacing w:before="0" w:beforeAutospacing="0" w:after="0" w:afterAutospacing="0"/>
        <w:ind w:left="567" w:hanging="567"/>
        <w:rPr>
          <w:rFonts w:ascii="Times" w:hAnsi="Times"/>
        </w:rPr>
      </w:pPr>
      <w:r w:rsidRPr="000E50F1">
        <w:rPr>
          <w:rFonts w:ascii="Times" w:hAnsi="Times"/>
        </w:rPr>
        <w:t xml:space="preserve">Statistics Canada. 2017. Focus on Geography Series, 2016 Census. Statistics Canada Catalogue no. 98-404-X2016001. Ottawa, Ontario. Data products, 2016 Census. </w:t>
      </w:r>
      <w:hyperlink r:id="rId25" w:history="1">
        <w:r w:rsidRPr="000E50F1">
          <w:rPr>
            <w:rFonts w:ascii="Times" w:hAnsi="Times"/>
          </w:rPr>
          <w:t>https://www12.statcan.gc.ca/census-recensement/2016/as-sa/fogs-spg/Facts-can-eng.cfm?Lang=Eng&amp;GK=CAN&amp;GC=01&amp;TOPIC=7</w:t>
        </w:r>
      </w:hyperlink>
    </w:p>
    <w:p w14:paraId="3FAC884C" w14:textId="77777777" w:rsidR="00A8282F" w:rsidRPr="000E50F1" w:rsidRDefault="00A8282F" w:rsidP="00A8282F">
      <w:pPr>
        <w:tabs>
          <w:tab w:val="left" w:pos="1560"/>
        </w:tabs>
        <w:ind w:left="567" w:hanging="567"/>
        <w:rPr>
          <w:rFonts w:ascii="Times" w:hAnsi="Times"/>
        </w:rPr>
      </w:pPr>
    </w:p>
    <w:p w14:paraId="00588A3B" w14:textId="3158385E" w:rsidR="00A21386" w:rsidRPr="000E50F1" w:rsidRDefault="00A8282F" w:rsidP="00A21386">
      <w:pPr>
        <w:tabs>
          <w:tab w:val="left" w:pos="1560"/>
        </w:tabs>
        <w:ind w:left="567" w:hanging="567"/>
        <w:rPr>
          <w:rFonts w:ascii="Times" w:hAnsi="Times"/>
        </w:rPr>
      </w:pPr>
      <w:r w:rsidRPr="000E50F1">
        <w:rPr>
          <w:rFonts w:ascii="Times" w:hAnsi="Times"/>
        </w:rPr>
        <w:t xml:space="preserve">United Nations High Commissioner for Refugees (UNHCR) (2020). Global Trends: Forced Displace in 2019. </w:t>
      </w:r>
      <w:hyperlink r:id="rId26" w:history="1">
        <w:r w:rsidR="00A21386" w:rsidRPr="000E50F1">
          <w:rPr>
            <w:rStyle w:val="Hyperlink"/>
            <w:rFonts w:ascii="Times" w:hAnsi="Times"/>
            <w:color w:val="auto"/>
          </w:rPr>
          <w:t>https://www.unhcr.org/5ee200e37.pdf</w:t>
        </w:r>
      </w:hyperlink>
    </w:p>
    <w:p w14:paraId="63321A70" w14:textId="540BD41B" w:rsidR="00A8282F" w:rsidRPr="000E50F1" w:rsidRDefault="00A21386" w:rsidP="00A21386">
      <w:pPr>
        <w:spacing w:before="100" w:beforeAutospacing="1" w:after="100" w:afterAutospacing="1"/>
        <w:ind w:left="567" w:hanging="567"/>
        <w:rPr>
          <w:rFonts w:ascii="Times" w:hAnsi="Times"/>
        </w:rPr>
      </w:pPr>
      <w:r w:rsidRPr="000E50F1">
        <w:rPr>
          <w:rFonts w:ascii="Times" w:hAnsi="Times"/>
        </w:rPr>
        <w:t>Veronis, L. 2019. Building intersectoral networks as a place</w:t>
      </w:r>
      <w:r w:rsidRPr="000E50F1">
        <w:rPr>
          <w:rFonts w:ascii="Cambria Math" w:hAnsi="Cambria Math" w:cs="Cambria Math"/>
        </w:rPr>
        <w:t>‐</w:t>
      </w:r>
      <w:r w:rsidRPr="000E50F1">
        <w:rPr>
          <w:rFonts w:ascii="Times" w:hAnsi="Times"/>
        </w:rPr>
        <w:t xml:space="preserve">based strategy for refugee (re)settlement: The Ottawa Local Immigration Partnership. The Canadian Geographer 63(3): https://doi.org/10.1111/cag.12559 </w:t>
      </w:r>
    </w:p>
    <w:p w14:paraId="4B28EB64" w14:textId="0613681E" w:rsidR="00BF6FBF" w:rsidRPr="000E50F1" w:rsidRDefault="00A8282F" w:rsidP="00BF6FBF">
      <w:pPr>
        <w:tabs>
          <w:tab w:val="left" w:pos="1560"/>
        </w:tabs>
        <w:autoSpaceDE w:val="0"/>
        <w:autoSpaceDN w:val="0"/>
        <w:adjustRightInd w:val="0"/>
        <w:ind w:left="567" w:hanging="567"/>
        <w:rPr>
          <w:rFonts w:ascii="Times" w:hAnsi="Times" w:cs="Calibri"/>
          <w:lang w:eastAsia="en-CA"/>
        </w:rPr>
      </w:pPr>
      <w:r w:rsidRPr="000E50F1">
        <w:rPr>
          <w:rFonts w:ascii="Times" w:hAnsi="Times" w:cs="Calibri"/>
          <w:lang w:eastAsia="en-CA"/>
        </w:rPr>
        <w:t xml:space="preserve">Walton-Roberts, M., L. Veronis, S. Wayland, H. Dam, and B. Cullen. (2019). Syrian refugee resettlement and the role of local immigrant partnerships in Ontario, Canada. </w:t>
      </w:r>
      <w:r w:rsidRPr="000E50F1">
        <w:rPr>
          <w:rFonts w:ascii="Times" w:hAnsi="Times" w:cs="Calibri"/>
          <w:i/>
          <w:lang w:eastAsia="en-CA"/>
        </w:rPr>
        <w:t>The Canadian Geographer, 63</w:t>
      </w:r>
      <w:r w:rsidRPr="000E50F1">
        <w:rPr>
          <w:rFonts w:ascii="Times" w:hAnsi="Times" w:cs="Calibri"/>
          <w:lang w:eastAsia="en-CA"/>
        </w:rPr>
        <w:t>(3).</w:t>
      </w:r>
    </w:p>
    <w:p w14:paraId="5337F1C1" w14:textId="31D460CC" w:rsidR="00CE7136" w:rsidRPr="000E50F1" w:rsidRDefault="00BF6FBF" w:rsidP="0007432A">
      <w:pPr>
        <w:spacing w:before="100" w:beforeAutospacing="1" w:after="100" w:afterAutospacing="1"/>
        <w:ind w:left="567" w:hanging="567"/>
        <w:rPr>
          <w:rFonts w:ascii="Times" w:eastAsia="Calibri" w:hAnsi="Times"/>
          <w:b/>
          <w:lang w:val="en-US"/>
        </w:rPr>
      </w:pPr>
      <w:r w:rsidRPr="000E50F1">
        <w:rPr>
          <w:rFonts w:ascii="Times" w:hAnsi="Times"/>
        </w:rPr>
        <w:t xml:space="preserve">Wolch, J. 1990. The shadow state: Government and voluntary sector in transition. New York, NY: The Foundation Center. </w:t>
      </w:r>
      <w:bookmarkStart w:id="12" w:name="_Toc60231897"/>
    </w:p>
    <w:p w14:paraId="4453B1BC" w14:textId="6971F103" w:rsidR="007E2534" w:rsidRPr="000E50F1" w:rsidRDefault="008A74B6" w:rsidP="00C07EAE">
      <w:pPr>
        <w:pStyle w:val="Heading1"/>
        <w:spacing w:before="0" w:line="240" w:lineRule="auto"/>
        <w:jc w:val="center"/>
        <w:rPr>
          <w:rFonts w:ascii="Times" w:eastAsia="Calibri" w:hAnsi="Times"/>
          <w:color w:val="auto"/>
          <w:sz w:val="24"/>
          <w:szCs w:val="24"/>
        </w:rPr>
      </w:pPr>
      <w:r w:rsidRPr="000E50F1">
        <w:rPr>
          <w:rFonts w:ascii="Times" w:eastAsia="Calibri" w:hAnsi="Times"/>
          <w:color w:val="auto"/>
          <w:sz w:val="24"/>
          <w:szCs w:val="24"/>
        </w:rPr>
        <w:lastRenderedPageBreak/>
        <w:t xml:space="preserve">CHAPTER </w:t>
      </w:r>
      <w:r w:rsidR="008B606F" w:rsidRPr="000E50F1">
        <w:rPr>
          <w:rFonts w:ascii="Times" w:eastAsia="Calibri" w:hAnsi="Times"/>
          <w:color w:val="auto"/>
          <w:sz w:val="24"/>
          <w:szCs w:val="24"/>
        </w:rPr>
        <w:t>TWO</w:t>
      </w:r>
      <w:r w:rsidR="00E5189A" w:rsidRPr="000E50F1">
        <w:rPr>
          <w:rFonts w:ascii="Times" w:eastAsia="Calibri" w:hAnsi="Times"/>
          <w:color w:val="auto"/>
          <w:sz w:val="24"/>
          <w:szCs w:val="24"/>
        </w:rPr>
        <w:t xml:space="preserve">: </w:t>
      </w:r>
      <w:r w:rsidR="007D7AE1" w:rsidRPr="000E50F1">
        <w:rPr>
          <w:rFonts w:ascii="Times" w:eastAsia="Calibri" w:hAnsi="Times"/>
          <w:color w:val="auto"/>
          <w:sz w:val="24"/>
          <w:szCs w:val="24"/>
        </w:rPr>
        <w:t>MISSED OPPORTUNITIES</w:t>
      </w:r>
      <w:bookmarkEnd w:id="12"/>
    </w:p>
    <w:p w14:paraId="0D4622A4" w14:textId="3FB341E9" w:rsidR="007E2534" w:rsidRPr="000E50F1" w:rsidRDefault="007E2534" w:rsidP="007E2534">
      <w:pPr>
        <w:rPr>
          <w:rFonts w:ascii="Times" w:eastAsia="Calibri" w:hAnsi="Times"/>
          <w:lang w:val="en-US"/>
        </w:rPr>
      </w:pPr>
    </w:p>
    <w:p w14:paraId="5AF44DED" w14:textId="77777777" w:rsidR="00C07EAE" w:rsidRPr="000E50F1" w:rsidRDefault="00C07EAE" w:rsidP="007E2534">
      <w:pPr>
        <w:rPr>
          <w:rFonts w:ascii="Times" w:eastAsia="Calibri" w:hAnsi="Times"/>
          <w:lang w:val="en-US"/>
        </w:rPr>
      </w:pPr>
    </w:p>
    <w:p w14:paraId="1802D957" w14:textId="5D9597A7" w:rsidR="009E7BF5" w:rsidRPr="000E50F1" w:rsidRDefault="009E7BF5" w:rsidP="00F24672">
      <w:pPr>
        <w:pStyle w:val="Title"/>
        <w:ind w:left="567" w:right="4" w:hanging="567"/>
        <w:rPr>
          <w:rFonts w:ascii="Times" w:eastAsia="Calibri" w:hAnsi="Times"/>
          <w:b/>
          <w:spacing w:val="0"/>
          <w:kern w:val="0"/>
          <w:sz w:val="24"/>
          <w:szCs w:val="24"/>
        </w:rPr>
      </w:pPr>
      <w:r w:rsidRPr="000E50F1">
        <w:rPr>
          <w:rFonts w:ascii="Times" w:eastAsia="Calibri" w:hAnsi="Times"/>
          <w:b/>
          <w:spacing w:val="0"/>
          <w:kern w:val="0"/>
          <w:sz w:val="24"/>
          <w:szCs w:val="24"/>
        </w:rPr>
        <w:t xml:space="preserve">Missed </w:t>
      </w:r>
      <w:r w:rsidR="00EC7441" w:rsidRPr="000E50F1">
        <w:rPr>
          <w:rFonts w:ascii="Times" w:eastAsia="Calibri" w:hAnsi="Times"/>
          <w:b/>
          <w:spacing w:val="0"/>
          <w:kern w:val="0"/>
          <w:sz w:val="24"/>
          <w:szCs w:val="24"/>
        </w:rPr>
        <w:t>O</w:t>
      </w:r>
      <w:r w:rsidRPr="000E50F1">
        <w:rPr>
          <w:rFonts w:ascii="Times" w:eastAsia="Calibri" w:hAnsi="Times"/>
          <w:b/>
          <w:spacing w:val="0"/>
          <w:kern w:val="0"/>
          <w:sz w:val="24"/>
          <w:szCs w:val="24"/>
        </w:rPr>
        <w:t>pportunity: International Students in Canada Face Barriers to Permanent Residence</w:t>
      </w:r>
    </w:p>
    <w:p w14:paraId="0CD39A8D" w14:textId="77777777" w:rsidR="007E2534" w:rsidRPr="000E50F1" w:rsidRDefault="007E2534" w:rsidP="009E7BF5">
      <w:pPr>
        <w:rPr>
          <w:rFonts w:ascii="Times" w:eastAsia="Calibri" w:hAnsi="Times"/>
          <w:b/>
          <w:bCs/>
          <w:lang w:val="en-US"/>
        </w:rPr>
      </w:pPr>
    </w:p>
    <w:p w14:paraId="5AF50F19" w14:textId="77777777" w:rsidR="001767B1" w:rsidRPr="000E50F1" w:rsidRDefault="009E7BF5" w:rsidP="001767B1">
      <w:pPr>
        <w:rPr>
          <w:rFonts w:ascii="Times" w:eastAsia="Calibri" w:hAnsi="Times"/>
          <w:b/>
          <w:bCs/>
          <w:i/>
          <w:lang w:val="en-US"/>
        </w:rPr>
      </w:pPr>
      <w:r w:rsidRPr="000E50F1">
        <w:rPr>
          <w:rFonts w:ascii="Times" w:eastAsia="Calibri" w:hAnsi="Times"/>
          <w:b/>
          <w:bCs/>
          <w:lang w:val="en-US"/>
        </w:rPr>
        <w:t>Abstract</w:t>
      </w:r>
    </w:p>
    <w:p w14:paraId="6096DAEE" w14:textId="54083C10" w:rsidR="001767B1" w:rsidRPr="000E50F1" w:rsidRDefault="001767B1" w:rsidP="001767B1">
      <w:pPr>
        <w:rPr>
          <w:rFonts w:ascii="Times" w:eastAsia="Calibri" w:hAnsi="Times"/>
          <w:b/>
          <w:bCs/>
          <w:i/>
          <w:lang w:val="en-US"/>
        </w:rPr>
      </w:pPr>
      <w:r w:rsidRPr="000E50F1">
        <w:rPr>
          <w:rFonts w:ascii="Times" w:hAnsi="Times"/>
        </w:rPr>
        <w:t xml:space="preserve">With their youth, Canadian post-secondary credentials, fluency in an official language, and time already spent in Canada, international students represent an ideal immigration source for this country. In many cases, they have lived in communities where they would be happy to continue living and working if provided the opportunity. Yet, despite recognition by the federal government of the attractiveness of international students, federal policies enacted in 2015 have inadvertently created barriers for international students wishing to become permanent residents of Canada. The Express Entry processing system has left international students in Canada in precarious situations at risk of losing their ability to work and to immigrate. This policy brief describes the challenges that Express Entry poses for international students and makes recommendations to the federal government to address these barriers. </w:t>
      </w:r>
    </w:p>
    <w:p w14:paraId="6480F37C" w14:textId="77777777" w:rsidR="00103CA3" w:rsidRPr="000E50F1" w:rsidRDefault="00103CA3" w:rsidP="009E7BF5">
      <w:pPr>
        <w:rPr>
          <w:rFonts w:ascii="Times" w:eastAsia="Calibri" w:hAnsi="Times"/>
          <w:bCs/>
          <w:lang w:val="en-US"/>
        </w:rPr>
      </w:pPr>
    </w:p>
    <w:p w14:paraId="62E167A6" w14:textId="440DB33D" w:rsidR="009E7BF5" w:rsidRPr="000E50F1" w:rsidRDefault="009E7BF5" w:rsidP="00CF50B2">
      <w:pPr>
        <w:rPr>
          <w:rFonts w:ascii="Times" w:eastAsia="Calibri" w:hAnsi="Times"/>
          <w:bCs/>
          <w:lang w:val="en-US"/>
        </w:rPr>
      </w:pPr>
      <w:r w:rsidRPr="000E50F1">
        <w:rPr>
          <w:rFonts w:ascii="Times" w:eastAsia="Calibri" w:hAnsi="Times"/>
          <w:b/>
          <w:bCs/>
          <w:lang w:val="en-US"/>
        </w:rPr>
        <w:t xml:space="preserve">Keywords: </w:t>
      </w:r>
      <w:r w:rsidRPr="000E50F1">
        <w:rPr>
          <w:rFonts w:ascii="Times" w:eastAsia="Calibri" w:hAnsi="Times"/>
          <w:bCs/>
          <w:lang w:val="en-US"/>
        </w:rPr>
        <w:t>international students; Express Entry; barriers to immigration; permanent residence; immigration policy</w:t>
      </w:r>
    </w:p>
    <w:p w14:paraId="1B7AFBDD" w14:textId="146C5731" w:rsidR="00583583" w:rsidRPr="000E50F1" w:rsidRDefault="00583583" w:rsidP="00CF50B2">
      <w:pPr>
        <w:rPr>
          <w:rFonts w:ascii="Times" w:eastAsia="Calibri" w:hAnsi="Times"/>
          <w:bCs/>
          <w:lang w:val="en-US"/>
        </w:rPr>
      </w:pPr>
    </w:p>
    <w:p w14:paraId="632E4BA9" w14:textId="77777777" w:rsidR="00583583" w:rsidRPr="000E50F1" w:rsidRDefault="00583583" w:rsidP="00583583">
      <w:pPr>
        <w:spacing w:before="100" w:beforeAutospacing="1" w:after="100" w:afterAutospacing="1"/>
        <w:rPr>
          <w:rFonts w:ascii="Times" w:hAnsi="Times"/>
          <w:b/>
          <w:bCs/>
        </w:rPr>
      </w:pPr>
    </w:p>
    <w:p w14:paraId="29C38D23" w14:textId="77777777" w:rsidR="00583583" w:rsidRPr="000E50F1" w:rsidRDefault="00583583" w:rsidP="00583583">
      <w:pPr>
        <w:spacing w:before="100" w:beforeAutospacing="1" w:after="100" w:afterAutospacing="1"/>
        <w:rPr>
          <w:rFonts w:ascii="Times" w:hAnsi="Times"/>
          <w:b/>
          <w:bCs/>
        </w:rPr>
      </w:pPr>
    </w:p>
    <w:p w14:paraId="0CC3F550" w14:textId="30A4C7A8" w:rsidR="00583583" w:rsidRPr="000E50F1" w:rsidRDefault="00583583" w:rsidP="00583583">
      <w:pPr>
        <w:rPr>
          <w:rFonts w:ascii="Arial" w:hAnsi="Arial" w:cs="Arial"/>
          <w:sz w:val="20"/>
          <w:szCs w:val="20"/>
          <w:shd w:val="clear" w:color="auto" w:fill="FFFFFF"/>
        </w:rPr>
      </w:pPr>
    </w:p>
    <w:p w14:paraId="1C852F52" w14:textId="77777777" w:rsidR="00583583" w:rsidRPr="000E50F1" w:rsidRDefault="00583583" w:rsidP="00583583">
      <w:pPr>
        <w:rPr>
          <w:rFonts w:ascii="Arial" w:hAnsi="Arial" w:cs="Arial"/>
          <w:sz w:val="20"/>
          <w:szCs w:val="20"/>
          <w:shd w:val="clear" w:color="auto" w:fill="FFFFFF"/>
        </w:rPr>
      </w:pPr>
    </w:p>
    <w:p w14:paraId="269B3E17" w14:textId="77777777" w:rsidR="00583583" w:rsidRPr="000E50F1" w:rsidRDefault="00583583" w:rsidP="00583583">
      <w:pPr>
        <w:rPr>
          <w:rFonts w:ascii="Times" w:hAnsi="Times"/>
          <w:b/>
          <w:bCs/>
        </w:rPr>
      </w:pPr>
    </w:p>
    <w:p w14:paraId="09DA9AE0" w14:textId="77777777" w:rsidR="00583583" w:rsidRPr="000E50F1" w:rsidRDefault="00583583" w:rsidP="00583583">
      <w:pPr>
        <w:rPr>
          <w:rFonts w:ascii="Times" w:hAnsi="Times"/>
          <w:b/>
          <w:bCs/>
        </w:rPr>
      </w:pPr>
    </w:p>
    <w:p w14:paraId="5E88E4F4" w14:textId="77777777" w:rsidR="00583583" w:rsidRPr="000E50F1" w:rsidRDefault="00583583" w:rsidP="00583583">
      <w:pPr>
        <w:rPr>
          <w:rFonts w:ascii="Times" w:hAnsi="Times"/>
          <w:b/>
          <w:bCs/>
        </w:rPr>
      </w:pPr>
    </w:p>
    <w:p w14:paraId="39BA2E0B" w14:textId="441AA8F4" w:rsidR="00583583" w:rsidRPr="000E50F1" w:rsidRDefault="00583583" w:rsidP="00583583">
      <w:pPr>
        <w:rPr>
          <w:rFonts w:ascii="Times" w:hAnsi="Times"/>
          <w:b/>
          <w:bCs/>
        </w:rPr>
      </w:pPr>
    </w:p>
    <w:p w14:paraId="7617EF44" w14:textId="77777777" w:rsidR="001F0FF4" w:rsidRPr="000E50F1" w:rsidRDefault="001F0FF4" w:rsidP="00583583">
      <w:pPr>
        <w:rPr>
          <w:rFonts w:ascii="Times" w:hAnsi="Times"/>
          <w:b/>
          <w:bCs/>
        </w:rPr>
      </w:pPr>
    </w:p>
    <w:p w14:paraId="7E6D51F7" w14:textId="2DAABDAE" w:rsidR="00B33672" w:rsidRPr="000E50F1" w:rsidRDefault="00B33672" w:rsidP="007B71F2">
      <w:pPr>
        <w:rPr>
          <w:rFonts w:ascii="Times" w:hAnsi="Times"/>
        </w:rPr>
      </w:pPr>
    </w:p>
    <w:p w14:paraId="0A3B91B5" w14:textId="77777777" w:rsidR="007B71F2" w:rsidRPr="000E50F1" w:rsidRDefault="007B71F2" w:rsidP="007B71F2">
      <w:pPr>
        <w:rPr>
          <w:rFonts w:ascii="Times" w:hAnsi="Times"/>
        </w:rPr>
      </w:pPr>
    </w:p>
    <w:p w14:paraId="49C2C090" w14:textId="77777777" w:rsidR="00B33672" w:rsidRPr="000E50F1" w:rsidRDefault="00B33672" w:rsidP="00B33672">
      <w:pPr>
        <w:ind w:left="567" w:hanging="567"/>
        <w:rPr>
          <w:rFonts w:ascii="Times" w:hAnsi="Times"/>
        </w:rPr>
      </w:pPr>
    </w:p>
    <w:p w14:paraId="0CCBC7C4" w14:textId="1D3D0A59" w:rsidR="00B33672" w:rsidRPr="000E50F1" w:rsidRDefault="00B33672" w:rsidP="00B33672">
      <w:pPr>
        <w:ind w:left="567" w:hanging="567"/>
        <w:rPr>
          <w:rFonts w:ascii="Times" w:hAnsi="Times"/>
        </w:rPr>
      </w:pPr>
      <w:r w:rsidRPr="000E50F1">
        <w:rPr>
          <w:rFonts w:ascii="Times" w:hAnsi="Times"/>
        </w:rPr>
        <w:t>*Permission to be reprinted granted.</w:t>
      </w:r>
    </w:p>
    <w:p w14:paraId="2B9C10CB" w14:textId="77777777" w:rsidR="00B33672" w:rsidRPr="000E50F1" w:rsidRDefault="00B33672" w:rsidP="001F0FF4">
      <w:pPr>
        <w:rPr>
          <w:rFonts w:ascii="Times" w:hAnsi="Times"/>
          <w:b/>
          <w:bCs/>
        </w:rPr>
      </w:pPr>
    </w:p>
    <w:p w14:paraId="60385DB8" w14:textId="77777777" w:rsidR="00B33672" w:rsidRPr="000E50F1" w:rsidRDefault="00583583" w:rsidP="00B33672">
      <w:pPr>
        <w:rPr>
          <w:rFonts w:ascii="Times" w:hAnsi="Times"/>
        </w:rPr>
      </w:pPr>
      <w:r w:rsidRPr="000E50F1">
        <w:rPr>
          <w:rFonts w:ascii="Times" w:hAnsi="Times"/>
          <w:b/>
          <w:bCs/>
        </w:rPr>
        <w:t>Published version:</w:t>
      </w:r>
      <w:r w:rsidRPr="000E50F1">
        <w:rPr>
          <w:rFonts w:ascii="Times" w:hAnsi="Times"/>
        </w:rPr>
        <w:t xml:space="preserve"> </w:t>
      </w:r>
    </w:p>
    <w:p w14:paraId="11FCD82F" w14:textId="4F62320C" w:rsidR="00B33672" w:rsidRPr="000E50F1" w:rsidRDefault="00583583" w:rsidP="00B33672">
      <w:pPr>
        <w:ind w:left="567" w:hanging="567"/>
        <w:rPr>
          <w:rFonts w:ascii="Times" w:hAnsi="Times"/>
        </w:rPr>
      </w:pPr>
      <w:r w:rsidRPr="000E50F1">
        <w:rPr>
          <w:rFonts w:ascii="Times" w:hAnsi="Times" w:cs="Arial"/>
          <w:shd w:val="clear" w:color="auto" w:fill="FFFFFF"/>
        </w:rPr>
        <w:t>Dam, H., Chan, J., &amp; Wayland, S. (2018). Missed opportunity: International students in Canada face barriers to permanent residence. </w:t>
      </w:r>
      <w:r w:rsidRPr="000E50F1">
        <w:rPr>
          <w:rFonts w:ascii="Times" w:hAnsi="Times" w:cs="Arial"/>
          <w:i/>
          <w:iCs/>
        </w:rPr>
        <w:t>Journal of International Migration and Integration</w:t>
      </w:r>
      <w:r w:rsidRPr="000E50F1">
        <w:rPr>
          <w:rFonts w:ascii="Times" w:hAnsi="Times" w:cs="Arial"/>
          <w:shd w:val="clear" w:color="auto" w:fill="FFFFFF"/>
        </w:rPr>
        <w:t>, </w:t>
      </w:r>
      <w:r w:rsidRPr="000E50F1">
        <w:rPr>
          <w:rFonts w:ascii="Times" w:hAnsi="Times" w:cs="Arial"/>
          <w:i/>
          <w:iCs/>
        </w:rPr>
        <w:t>19</w:t>
      </w:r>
      <w:r w:rsidRPr="000E50F1">
        <w:rPr>
          <w:rFonts w:ascii="Times" w:hAnsi="Times" w:cs="Arial"/>
          <w:shd w:val="clear" w:color="auto" w:fill="FFFFFF"/>
        </w:rPr>
        <w:t>(4), 891-903.</w:t>
      </w:r>
    </w:p>
    <w:p w14:paraId="5A482153" w14:textId="636E1A89" w:rsidR="0026684B" w:rsidRPr="000E50F1" w:rsidRDefault="009575BD" w:rsidP="009575BD">
      <w:pPr>
        <w:rPr>
          <w:rFonts w:ascii="Times" w:eastAsia="Calibri" w:hAnsi="Times"/>
          <w:b/>
          <w:lang w:val="en-US"/>
        </w:rPr>
      </w:pPr>
      <w:r w:rsidRPr="000E50F1">
        <w:rPr>
          <w:rFonts w:ascii="Times" w:eastAsia="Calibri" w:hAnsi="Times"/>
          <w:b/>
          <w:lang w:val="en-US"/>
        </w:rPr>
        <w:lastRenderedPageBreak/>
        <w:t>Introduction</w:t>
      </w:r>
      <w:r w:rsidRPr="000E50F1">
        <w:rPr>
          <w:rFonts w:ascii="Times" w:eastAsia="Calibri" w:hAnsi="Times"/>
          <w:b/>
          <w:lang w:val="en-US"/>
        </w:rPr>
        <w:tab/>
      </w:r>
    </w:p>
    <w:p w14:paraId="20EE2690" w14:textId="7EFA7157" w:rsidR="0026684B" w:rsidRPr="000E50F1" w:rsidRDefault="0026684B" w:rsidP="0026684B">
      <w:pPr>
        <w:ind w:right="4"/>
        <w:rPr>
          <w:rStyle w:val="Strong"/>
          <w:rFonts w:ascii="Times" w:eastAsiaTheme="minorHAnsi" w:hAnsi="Times" w:cstheme="majorHAnsi"/>
          <w:b w:val="0"/>
          <w:iCs/>
        </w:rPr>
      </w:pPr>
      <w:r w:rsidRPr="000E50F1">
        <w:rPr>
          <w:rStyle w:val="Strong"/>
          <w:rFonts w:ascii="Times" w:eastAsiaTheme="minorHAnsi" w:hAnsi="Times" w:cstheme="majorHAnsi"/>
          <w:b w:val="0"/>
        </w:rPr>
        <w:t>“Why wouldn’t we want to hang on to [international students]? These are already people who are proficient in English and French or both and who have a post-secondary education in one of our fine institutions</w:t>
      </w:r>
      <w:r w:rsidR="001767B1" w:rsidRPr="000E50F1">
        <w:rPr>
          <w:rStyle w:val="Strong"/>
          <w:rFonts w:ascii="Times" w:eastAsiaTheme="minorHAnsi" w:hAnsi="Times" w:cstheme="majorHAnsi"/>
          <w:b w:val="0"/>
        </w:rPr>
        <w:t>”</w:t>
      </w:r>
      <w:r w:rsidRPr="000E50F1">
        <w:rPr>
          <w:rStyle w:val="Strong"/>
          <w:rFonts w:ascii="Times" w:eastAsiaTheme="minorHAnsi" w:hAnsi="Times" w:cstheme="majorHAnsi"/>
          <w:b w:val="0"/>
        </w:rPr>
        <w:t xml:space="preserve">  </w:t>
      </w:r>
    </w:p>
    <w:p w14:paraId="6D84F66A" w14:textId="03FA16C3" w:rsidR="0026684B" w:rsidRPr="000E50F1" w:rsidRDefault="0026684B" w:rsidP="001767B1">
      <w:pPr>
        <w:tabs>
          <w:tab w:val="left" w:pos="1560"/>
        </w:tabs>
        <w:ind w:left="567" w:right="4" w:hanging="426"/>
        <w:rPr>
          <w:rFonts w:ascii="Times" w:hAnsi="Times" w:cstheme="majorHAnsi"/>
          <w:bCs/>
          <w:iCs/>
        </w:rPr>
      </w:pPr>
      <w:r w:rsidRPr="000E50F1">
        <w:rPr>
          <w:rStyle w:val="Strong"/>
          <w:rFonts w:ascii="Times" w:hAnsi="Times" w:cstheme="majorHAnsi"/>
          <w:b w:val="0"/>
          <w:caps/>
        </w:rPr>
        <w:t>–</w:t>
      </w:r>
      <w:r w:rsidRPr="000E50F1">
        <w:rPr>
          <w:rStyle w:val="Strong"/>
          <w:rFonts w:ascii="Times" w:hAnsi="Times" w:cstheme="majorHAnsi"/>
          <w:b w:val="0"/>
        </w:rPr>
        <w:t>Ahmed Hussen, Canada’s Minister of Immigration, Refugees and Citizenship (IRCC, 2017a)</w:t>
      </w:r>
    </w:p>
    <w:p w14:paraId="247D1509" w14:textId="2C47F4E2" w:rsidR="009575BD" w:rsidRPr="000E50F1" w:rsidRDefault="001767B1" w:rsidP="001767B1">
      <w:pPr>
        <w:spacing w:before="100" w:beforeAutospacing="1" w:after="100" w:afterAutospacing="1"/>
        <w:rPr>
          <w:rFonts w:ascii="Times" w:hAnsi="Times"/>
        </w:rPr>
      </w:pPr>
      <w:r w:rsidRPr="000E50F1">
        <w:rPr>
          <w:rFonts w:ascii="Times" w:hAnsi="Times"/>
        </w:rPr>
        <w:t xml:space="preserve">International students represent an ideal immigration source for Canada. Generally speaking, they have a high propensity to successfully integrate as they are young, have Canadian post-secondary credentials, can speak English or French, and already have ties to this country. Moreover, their ties to the communities in which they study could be leveraged as a vehicle for attracting new immigrants to areas in need of skilled workers. Despite recognition by the federal government of the attractiveness of international students, federal policies have inadvertently created barriers for international students wishing to become permanent residents of Canada. Specifically, the Express Entry (EE) processing system effective January 1, 2015 has left international students in Canada in precarious situations at risk of losing their ability to work and to permanently immigrate. The creation of unfair conditions for international students undermines Canada’s immigration and eco- nomic success. The goals of this policy brief are to highlight the challenges that EE poses for international students, and to propose recommendations to the federal government to address these barriers. </w:t>
      </w:r>
    </w:p>
    <w:p w14:paraId="4FF82D9B" w14:textId="77777777" w:rsidR="001839D4" w:rsidRPr="000E50F1" w:rsidRDefault="009575BD" w:rsidP="001839D4">
      <w:pPr>
        <w:rPr>
          <w:rFonts w:ascii="Times" w:eastAsia="Calibri" w:hAnsi="Times"/>
          <w:b/>
          <w:lang w:val="en-US"/>
        </w:rPr>
      </w:pPr>
      <w:r w:rsidRPr="000E50F1">
        <w:rPr>
          <w:rFonts w:ascii="Times" w:eastAsia="Calibri" w:hAnsi="Times"/>
          <w:b/>
          <w:lang w:val="en-US"/>
        </w:rPr>
        <w:t>Why International Students</w:t>
      </w:r>
    </w:p>
    <w:p w14:paraId="6787D0DA" w14:textId="35F48189" w:rsidR="001767B1" w:rsidRPr="000E50F1" w:rsidRDefault="001767B1" w:rsidP="001839D4">
      <w:pPr>
        <w:rPr>
          <w:rFonts w:ascii="Times" w:eastAsia="Calibri" w:hAnsi="Times"/>
          <w:b/>
          <w:lang w:val="en-US"/>
        </w:rPr>
      </w:pPr>
      <w:r w:rsidRPr="000E50F1">
        <w:rPr>
          <w:rFonts w:ascii="Times" w:hAnsi="Times"/>
        </w:rPr>
        <w:t xml:space="preserve">The enrollment of international students at Canadian educational institutions is rising steadily. There were 353,570 international students in Canada in 2015, a 92% increase from 2008 (Canadian Bureau for International Education [CBIE] 2016). Their top fields of study are engineering, business, and the natural and social sciences (CBIE 2016). Furthermore, many international students wish to stay in Canada after graduation, and see their studies as the first step to immigration. In 2015, approximately 51% of international students stated their intention to apply for permanent residence (PR) in Canada (CBIE 2016). </w:t>
      </w:r>
    </w:p>
    <w:p w14:paraId="606437CD" w14:textId="6F20B050" w:rsidR="001767B1" w:rsidRPr="000E50F1" w:rsidRDefault="001767B1" w:rsidP="001767B1">
      <w:pPr>
        <w:spacing w:before="100" w:beforeAutospacing="1" w:after="100" w:afterAutospacing="1"/>
        <w:rPr>
          <w:rFonts w:ascii="Times" w:hAnsi="Times"/>
        </w:rPr>
      </w:pPr>
      <w:r w:rsidRPr="000E50F1">
        <w:rPr>
          <w:rFonts w:ascii="Times" w:hAnsi="Times"/>
        </w:rPr>
        <w:t xml:space="preserve">From the perspective of any developed nation, an </w:t>
      </w:r>
      <w:r w:rsidR="00516248" w:rsidRPr="000E50F1">
        <w:rPr>
          <w:rFonts w:ascii="Times" w:hAnsi="Times"/>
        </w:rPr>
        <w:t>“</w:t>
      </w:r>
      <w:r w:rsidRPr="000E50F1">
        <w:rPr>
          <w:rFonts w:ascii="Times" w:hAnsi="Times"/>
        </w:rPr>
        <w:t>ideal immigrant</w:t>
      </w:r>
      <w:r w:rsidR="00516248" w:rsidRPr="000E50F1">
        <w:rPr>
          <w:rFonts w:ascii="Times" w:hAnsi="Times"/>
        </w:rPr>
        <w:t>”</w:t>
      </w:r>
      <w:r w:rsidRPr="000E50F1">
        <w:rPr>
          <w:rFonts w:ascii="Times" w:hAnsi="Times"/>
        </w:rPr>
        <w:t xml:space="preserve"> is one who is already acculturated and ready for integration into the labo</w:t>
      </w:r>
      <w:r w:rsidR="00D82D38" w:rsidRPr="000E50F1">
        <w:rPr>
          <w:rFonts w:ascii="Times" w:hAnsi="Times"/>
        </w:rPr>
        <w:t>u</w:t>
      </w:r>
      <w:r w:rsidRPr="000E50F1">
        <w:rPr>
          <w:rFonts w:ascii="Times" w:hAnsi="Times"/>
        </w:rPr>
        <w:t>r force. These characteristics fit perfectly with the description of international students. The time that international students spend in Canadian universities prepares them academically, culturally, linguistically, and socially. During their time at school, international students gain relevant work experience required for the labo</w:t>
      </w:r>
      <w:r w:rsidR="00D82D38" w:rsidRPr="000E50F1">
        <w:rPr>
          <w:rFonts w:ascii="Times" w:hAnsi="Times"/>
        </w:rPr>
        <w:t>u</w:t>
      </w:r>
      <w:r w:rsidRPr="000E50F1">
        <w:rPr>
          <w:rFonts w:ascii="Times" w:hAnsi="Times"/>
        </w:rPr>
        <w:t xml:space="preserve">r force, become proficient in at least one official language, and undergo extensive Canadian education and training, making them desirable for PR. </w:t>
      </w:r>
    </w:p>
    <w:p w14:paraId="247DB5E5" w14:textId="056D3977" w:rsidR="009575BD" w:rsidRPr="000E50F1" w:rsidRDefault="00C85F79" w:rsidP="001839D4">
      <w:pPr>
        <w:spacing w:before="100" w:beforeAutospacing="1" w:after="100" w:afterAutospacing="1"/>
        <w:rPr>
          <w:rFonts w:ascii="Times" w:hAnsi="Times"/>
        </w:rPr>
      </w:pPr>
      <w:r w:rsidRPr="000E50F1">
        <w:rPr>
          <w:rFonts w:ascii="Times" w:hAnsi="Times"/>
        </w:rPr>
        <w:t xml:space="preserve">Economic leaders worldwide are making changes to their international education policies to encourage foreign students to take residence in their country while </w:t>
      </w:r>
      <w:r w:rsidRPr="000E50F1">
        <w:rPr>
          <w:rFonts w:ascii="Times" w:hAnsi="Times"/>
        </w:rPr>
        <w:lastRenderedPageBreak/>
        <w:t xml:space="preserve">completing their studies. </w:t>
      </w:r>
      <w:r w:rsidR="001767B1" w:rsidRPr="000E50F1">
        <w:rPr>
          <w:rFonts w:ascii="Times" w:hAnsi="Times"/>
        </w:rPr>
        <w:t xml:space="preserve">International students acquire countless valuable skills and traits that contribute to the flourishing of any economy. International students contribute substantially to the Canadian economy, generating approximately 81,000 jobs and $445 million per annum in government revenue (Global Affairs Canada 2016). After graduation, they continue to contribute to the communities where they live and work. If Canada fails to acknowledge international students’ rich set of skills and capabilities we will miss out on the opportunity to retain these ideal immigrants. </w:t>
      </w:r>
    </w:p>
    <w:p w14:paraId="242DA52B" w14:textId="77777777" w:rsidR="001839D4" w:rsidRPr="000E50F1" w:rsidRDefault="009575BD" w:rsidP="001839D4">
      <w:pPr>
        <w:rPr>
          <w:rFonts w:ascii="Times" w:eastAsia="Calibri" w:hAnsi="Times"/>
          <w:b/>
          <w:lang w:val="en-US"/>
        </w:rPr>
      </w:pPr>
      <w:r w:rsidRPr="000E50F1">
        <w:rPr>
          <w:rFonts w:ascii="Times" w:eastAsia="Calibri" w:hAnsi="Times"/>
          <w:b/>
          <w:lang w:val="en-US"/>
        </w:rPr>
        <w:t>The Express Entry System</w:t>
      </w:r>
    </w:p>
    <w:p w14:paraId="48330B0A" w14:textId="0D845EC3" w:rsidR="001839D4" w:rsidRPr="000E50F1" w:rsidRDefault="001839D4" w:rsidP="001839D4">
      <w:pPr>
        <w:rPr>
          <w:rFonts w:ascii="Times" w:eastAsia="Calibri" w:hAnsi="Times"/>
          <w:b/>
          <w:lang w:val="en-US"/>
        </w:rPr>
      </w:pPr>
      <w:r w:rsidRPr="000E50F1">
        <w:rPr>
          <w:rFonts w:ascii="Times" w:hAnsi="Times"/>
        </w:rPr>
        <w:t xml:space="preserve">Express Entry is not an immigration program but rather is a way for the government to manage immigration applications for all federal programs. Instead of processing applications on a first come first serve basis, applicants who show an ability to succeed in Canada are selected through a two-phase process introduced by EE (see Fig. 1). Applicants must first meet the requirements for one of Canada’s federal immigration programs—i.e., the Federal Skilled Workers Program (FSW), Federal Skilled Trades Program (FST), or Canadian Experience Class (CEC)—to get into the EE pool (Immigration, Refugees and Citizenship Canada [IRCC] 2016a). </w:t>
      </w:r>
      <w:r w:rsidR="00C85F79" w:rsidRPr="000E50F1">
        <w:rPr>
          <w:rFonts w:ascii="Times" w:hAnsi="Times"/>
        </w:rPr>
        <w:t xml:space="preserve">Once in the pool, applicants receive a score using the Comprehensive Ranking System (CRS), a points-based system used to rank applicants against each other by assessing each applicant’s profile according to their skills, work experience, language ability, education, and other factors (IRCC 2016a). </w:t>
      </w:r>
      <w:r w:rsidRPr="000E50F1">
        <w:rPr>
          <w:rFonts w:ascii="Times" w:hAnsi="Times"/>
        </w:rPr>
        <w:t xml:space="preserve">Applicants with a job offer, Canadian education credentials, or a provincial or territorial nomination can receive additional points. The CRS is calculated based on a four-part formula and applicants are given a score out of 1200 points (see Table </w:t>
      </w:r>
      <w:r w:rsidR="001F1198" w:rsidRPr="000E50F1">
        <w:rPr>
          <w:rFonts w:ascii="Times" w:hAnsi="Times"/>
        </w:rPr>
        <w:t>5</w:t>
      </w:r>
      <w:r w:rsidRPr="000E50F1">
        <w:rPr>
          <w:rFonts w:ascii="Times" w:hAnsi="Times"/>
        </w:rPr>
        <w:t xml:space="preserve"> in Appendix 1 for more details). CRS cutoff refers to the CRS score of the lowest-ranked candidate invited to apply for PR (IRCC 2017c). </w:t>
      </w:r>
    </w:p>
    <w:p w14:paraId="585E51A3" w14:textId="77777777" w:rsidR="00D73245" w:rsidRPr="000E50F1" w:rsidRDefault="00D73245" w:rsidP="009575BD">
      <w:pPr>
        <w:rPr>
          <w:rFonts w:ascii="Times" w:eastAsia="Calibri" w:hAnsi="Times"/>
          <w:lang w:val="en-US"/>
        </w:rPr>
      </w:pPr>
    </w:p>
    <w:p w14:paraId="1CD63109" w14:textId="2C58AD42" w:rsidR="009575BD" w:rsidRPr="000E50F1" w:rsidRDefault="009575BD" w:rsidP="009575BD">
      <w:pPr>
        <w:jc w:val="center"/>
        <w:rPr>
          <w:rFonts w:ascii="Times" w:eastAsia="Calibri" w:hAnsi="Times"/>
          <w:b/>
          <w:bCs/>
          <w:lang w:val="en-US"/>
        </w:rPr>
      </w:pPr>
      <w:r w:rsidRPr="000E50F1">
        <w:rPr>
          <w:rFonts w:ascii="Times" w:eastAsia="Calibri" w:hAnsi="Times"/>
          <w:b/>
          <w:noProof/>
          <w:lang w:val="en-US"/>
        </w:rPr>
        <w:drawing>
          <wp:inline distT="0" distB="0" distL="0" distR="0" wp14:anchorId="0CADB69A" wp14:editId="7F42DDB3">
            <wp:extent cx="4112084" cy="1419860"/>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4898" cy="1448455"/>
                    </a:xfrm>
                    <a:prstGeom prst="rect">
                      <a:avLst/>
                    </a:prstGeom>
                    <a:noFill/>
                    <a:ln>
                      <a:noFill/>
                    </a:ln>
                  </pic:spPr>
                </pic:pic>
              </a:graphicData>
            </a:graphic>
          </wp:inline>
        </w:drawing>
      </w:r>
    </w:p>
    <w:p w14:paraId="6231AC82" w14:textId="42320A2B" w:rsidR="00C6380B" w:rsidRPr="000E50F1" w:rsidRDefault="006B645A" w:rsidP="00F94C87">
      <w:pPr>
        <w:pStyle w:val="Caption"/>
        <w:ind w:left="567" w:hanging="567"/>
        <w:rPr>
          <w:rFonts w:ascii="Times" w:hAnsi="Times"/>
          <w:sz w:val="24"/>
          <w:szCs w:val="20"/>
        </w:rPr>
      </w:pPr>
      <w:bookmarkStart w:id="13" w:name="_Toc27301968"/>
      <w:bookmarkStart w:id="14" w:name="_Toc54020231"/>
      <w:r w:rsidRPr="000E50F1">
        <w:rPr>
          <w:rFonts w:ascii="Times" w:hAnsi="Times"/>
          <w:i/>
          <w:iCs w:val="0"/>
          <w:sz w:val="24"/>
          <w:szCs w:val="20"/>
        </w:rPr>
        <w:t xml:space="preserve">Figure </w:t>
      </w:r>
      <w:r w:rsidRPr="000E50F1">
        <w:rPr>
          <w:rFonts w:ascii="Times" w:hAnsi="Times"/>
          <w:i/>
          <w:iCs w:val="0"/>
          <w:sz w:val="24"/>
          <w:szCs w:val="20"/>
        </w:rPr>
        <w:fldChar w:fldCharType="begin"/>
      </w:r>
      <w:r w:rsidRPr="000E50F1">
        <w:rPr>
          <w:rFonts w:ascii="Times" w:hAnsi="Times"/>
          <w:i/>
          <w:iCs w:val="0"/>
          <w:sz w:val="24"/>
          <w:szCs w:val="20"/>
        </w:rPr>
        <w:instrText xml:space="preserve"> SEQ Figure \* ARABIC </w:instrText>
      </w:r>
      <w:r w:rsidRPr="000E50F1">
        <w:rPr>
          <w:rFonts w:ascii="Times" w:hAnsi="Times"/>
          <w:i/>
          <w:iCs w:val="0"/>
          <w:sz w:val="24"/>
          <w:szCs w:val="20"/>
        </w:rPr>
        <w:fldChar w:fldCharType="separate"/>
      </w:r>
      <w:r w:rsidR="005D60E2" w:rsidRPr="000E50F1">
        <w:rPr>
          <w:rFonts w:ascii="Times" w:hAnsi="Times"/>
          <w:i/>
          <w:iCs w:val="0"/>
          <w:noProof/>
          <w:sz w:val="24"/>
          <w:szCs w:val="20"/>
        </w:rPr>
        <w:t>1</w:t>
      </w:r>
      <w:r w:rsidRPr="000E50F1">
        <w:rPr>
          <w:rFonts w:ascii="Times" w:hAnsi="Times"/>
          <w:i/>
          <w:iCs w:val="0"/>
          <w:sz w:val="24"/>
          <w:szCs w:val="20"/>
        </w:rPr>
        <w:fldChar w:fldCharType="end"/>
      </w:r>
      <w:r w:rsidR="009575BD" w:rsidRPr="000E50F1">
        <w:rPr>
          <w:rFonts w:ascii="Times" w:eastAsia="Calibri" w:hAnsi="Times"/>
          <w:bCs/>
          <w:i/>
          <w:iCs w:val="0"/>
          <w:sz w:val="24"/>
          <w:szCs w:val="20"/>
        </w:rPr>
        <w:t>.</w:t>
      </w:r>
      <w:r w:rsidR="009575BD" w:rsidRPr="000E50F1">
        <w:rPr>
          <w:rFonts w:ascii="Times" w:eastAsia="Calibri" w:hAnsi="Times"/>
          <w:bCs/>
          <w:sz w:val="24"/>
          <w:szCs w:val="20"/>
        </w:rPr>
        <w:t xml:space="preserve"> </w:t>
      </w:r>
      <w:bookmarkEnd w:id="13"/>
      <w:r w:rsidR="00C6380B" w:rsidRPr="000E50F1">
        <w:rPr>
          <w:rFonts w:ascii="Times" w:hAnsi="Times"/>
          <w:sz w:val="24"/>
          <w:szCs w:val="20"/>
        </w:rPr>
        <w:t>How Express Entry works. Reprinted from Express Entry: What prospective candidates need to know, by Immigration, Refugees and Citizenship Canada (IRCC), January 27</w:t>
      </w:r>
      <w:r w:rsidR="00621FF8" w:rsidRPr="000E50F1">
        <w:rPr>
          <w:rFonts w:ascii="Times" w:hAnsi="Times"/>
          <w:sz w:val="24"/>
          <w:szCs w:val="20"/>
        </w:rPr>
        <w:t>,</w:t>
      </w:r>
      <w:r w:rsidR="00C6380B" w:rsidRPr="000E50F1">
        <w:rPr>
          <w:rFonts w:ascii="Times" w:hAnsi="Times"/>
          <w:sz w:val="24"/>
          <w:szCs w:val="20"/>
        </w:rPr>
        <w:t xml:space="preserve"> 2015, retrieved from http://www.cic. gc.ca/english/resources/ publications/employers/ express-entry-spo-sheet.asp. Copyright by IRCC</w:t>
      </w:r>
      <w:bookmarkEnd w:id="14"/>
      <w:r w:rsidR="00C6380B" w:rsidRPr="000E50F1">
        <w:rPr>
          <w:rFonts w:ascii="Times" w:hAnsi="Times"/>
          <w:sz w:val="24"/>
          <w:szCs w:val="20"/>
        </w:rPr>
        <w:t xml:space="preserve"> </w:t>
      </w:r>
    </w:p>
    <w:p w14:paraId="5EC6539F" w14:textId="26B3E97E" w:rsidR="009575BD" w:rsidRPr="000E50F1" w:rsidRDefault="009575BD" w:rsidP="00957B6A">
      <w:pPr>
        <w:pStyle w:val="Caption"/>
        <w:ind w:left="567" w:hanging="567"/>
        <w:rPr>
          <w:rFonts w:ascii="Times" w:eastAsia="Calibri" w:hAnsi="Times"/>
          <w:bCs/>
          <w:sz w:val="24"/>
          <w:szCs w:val="24"/>
          <w:lang w:val="en-US"/>
        </w:rPr>
      </w:pPr>
    </w:p>
    <w:p w14:paraId="7C0CFA22" w14:textId="6E0A70D2" w:rsidR="009575BD" w:rsidRPr="000E50F1" w:rsidRDefault="009575BD" w:rsidP="009575BD">
      <w:pPr>
        <w:rPr>
          <w:rFonts w:ascii="Times" w:eastAsia="Calibri" w:hAnsi="Times"/>
          <w:lang w:val="en-US"/>
        </w:rPr>
      </w:pPr>
    </w:p>
    <w:p w14:paraId="6F9F8E83" w14:textId="13C75DC0" w:rsidR="001839D4" w:rsidRPr="000E50F1" w:rsidRDefault="001839D4" w:rsidP="001839D4">
      <w:pPr>
        <w:spacing w:before="100" w:beforeAutospacing="1" w:after="100" w:afterAutospacing="1"/>
        <w:rPr>
          <w:rFonts w:ascii="Times" w:hAnsi="Times"/>
        </w:rPr>
      </w:pPr>
      <w:r w:rsidRPr="000E50F1">
        <w:rPr>
          <w:rFonts w:ascii="Times" w:hAnsi="Times"/>
        </w:rPr>
        <w:lastRenderedPageBreak/>
        <w:t xml:space="preserve">Regular draws select the highest-ranking applicants from the EE pool, and selected candidates are given an Invitation to Apply (ITA) for PR and 90 days to complete an online application. Immigration, Refugees and Citizenship Canada (formerly Citizen- ship and Immigration Canada) processes the PR application within six months or less in most cases (IRCC 2016a). </w:t>
      </w:r>
    </w:p>
    <w:p w14:paraId="7D167C14" w14:textId="5A44597A" w:rsidR="009575BD" w:rsidRPr="000E50F1" w:rsidRDefault="009575BD" w:rsidP="00AD580B">
      <w:pPr>
        <w:jc w:val="center"/>
        <w:rPr>
          <w:rFonts w:ascii="Times" w:eastAsia="Calibri" w:hAnsi="Times"/>
          <w:b/>
          <w:bCs/>
          <w:lang w:val="en-US"/>
        </w:rPr>
      </w:pPr>
      <w:r w:rsidRPr="000E50F1">
        <w:rPr>
          <w:rFonts w:ascii="Times" w:hAnsi="Times" w:cstheme="majorHAnsi"/>
          <w:noProof/>
        </w:rPr>
        <w:drawing>
          <wp:inline distT="0" distB="0" distL="0" distR="0" wp14:anchorId="55927D3C" wp14:editId="6FDB402F">
            <wp:extent cx="5029200" cy="1594031"/>
            <wp:effectExtent l="0" t="0" r="0" b="63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B31E4F" w14:textId="77777777" w:rsidR="006B645A" w:rsidRPr="000E50F1" w:rsidRDefault="006B645A" w:rsidP="006B645A">
      <w:pPr>
        <w:pStyle w:val="Caption"/>
      </w:pPr>
      <w:bookmarkStart w:id="15" w:name="_Toc27301969"/>
    </w:p>
    <w:p w14:paraId="240D0B91" w14:textId="6E2FA4BF" w:rsidR="009575BD" w:rsidRPr="000E50F1" w:rsidRDefault="006B645A" w:rsidP="006B645A">
      <w:pPr>
        <w:pStyle w:val="Caption"/>
        <w:ind w:left="567" w:hanging="567"/>
        <w:rPr>
          <w:rFonts w:ascii="Times" w:hAnsi="Times"/>
          <w:sz w:val="24"/>
          <w:szCs w:val="20"/>
        </w:rPr>
      </w:pPr>
      <w:bookmarkStart w:id="16" w:name="_Toc54020232"/>
      <w:r w:rsidRPr="000E50F1">
        <w:rPr>
          <w:rFonts w:ascii="Times" w:hAnsi="Times"/>
          <w:i/>
          <w:iCs w:val="0"/>
          <w:sz w:val="24"/>
          <w:szCs w:val="20"/>
        </w:rPr>
        <w:t xml:space="preserve">Figure </w:t>
      </w:r>
      <w:r w:rsidRPr="000E50F1">
        <w:rPr>
          <w:rFonts w:ascii="Times" w:hAnsi="Times"/>
          <w:i/>
          <w:iCs w:val="0"/>
          <w:sz w:val="24"/>
          <w:szCs w:val="20"/>
        </w:rPr>
        <w:fldChar w:fldCharType="begin"/>
      </w:r>
      <w:r w:rsidRPr="000E50F1">
        <w:rPr>
          <w:rFonts w:ascii="Times" w:hAnsi="Times"/>
          <w:i/>
          <w:iCs w:val="0"/>
          <w:sz w:val="24"/>
          <w:szCs w:val="20"/>
        </w:rPr>
        <w:instrText xml:space="preserve"> SEQ Figure \* ARABIC </w:instrText>
      </w:r>
      <w:r w:rsidRPr="000E50F1">
        <w:rPr>
          <w:rFonts w:ascii="Times" w:hAnsi="Times"/>
          <w:i/>
          <w:iCs w:val="0"/>
          <w:sz w:val="24"/>
          <w:szCs w:val="20"/>
        </w:rPr>
        <w:fldChar w:fldCharType="separate"/>
      </w:r>
      <w:r w:rsidR="005D60E2" w:rsidRPr="000E50F1">
        <w:rPr>
          <w:rFonts w:ascii="Times" w:hAnsi="Times"/>
          <w:i/>
          <w:iCs w:val="0"/>
          <w:noProof/>
          <w:sz w:val="24"/>
          <w:szCs w:val="20"/>
        </w:rPr>
        <w:t>2</w:t>
      </w:r>
      <w:r w:rsidRPr="000E50F1">
        <w:rPr>
          <w:rFonts w:ascii="Times" w:hAnsi="Times"/>
          <w:i/>
          <w:iCs w:val="0"/>
          <w:sz w:val="24"/>
          <w:szCs w:val="20"/>
        </w:rPr>
        <w:fldChar w:fldCharType="end"/>
      </w:r>
      <w:r w:rsidR="009575BD" w:rsidRPr="000E50F1">
        <w:rPr>
          <w:rFonts w:ascii="Times" w:eastAsia="Calibri" w:hAnsi="Times"/>
          <w:bCs/>
          <w:i/>
          <w:iCs w:val="0"/>
          <w:sz w:val="24"/>
          <w:szCs w:val="20"/>
        </w:rPr>
        <w:t>.</w:t>
      </w:r>
      <w:r w:rsidR="009575BD" w:rsidRPr="000E50F1">
        <w:rPr>
          <w:rFonts w:ascii="Times" w:eastAsia="Calibri" w:hAnsi="Times"/>
          <w:bCs/>
          <w:sz w:val="24"/>
          <w:szCs w:val="20"/>
        </w:rPr>
        <w:t xml:space="preserve"> </w:t>
      </w:r>
      <w:bookmarkEnd w:id="15"/>
      <w:r w:rsidR="00C6380B" w:rsidRPr="000E50F1">
        <w:rPr>
          <w:rFonts w:ascii="Times" w:hAnsi="Times"/>
          <w:sz w:val="24"/>
          <w:szCs w:val="20"/>
        </w:rPr>
        <w:t>International students’ CRS score on November 23, 2015. Data for international students are obtained from IRCC (2016c)</w:t>
      </w:r>
      <w:bookmarkEnd w:id="16"/>
      <w:r w:rsidR="00C6380B" w:rsidRPr="000E50F1">
        <w:rPr>
          <w:rFonts w:ascii="Times" w:hAnsi="Times"/>
          <w:sz w:val="24"/>
          <w:szCs w:val="20"/>
        </w:rPr>
        <w:t xml:space="preserve"> </w:t>
      </w:r>
    </w:p>
    <w:p w14:paraId="38F2E503" w14:textId="77777777" w:rsidR="001839D4" w:rsidRPr="000E50F1" w:rsidRDefault="001839D4" w:rsidP="001839D4">
      <w:pPr>
        <w:rPr>
          <w:rFonts w:eastAsia="Calibri"/>
          <w:lang w:val="en-US"/>
        </w:rPr>
      </w:pPr>
    </w:p>
    <w:p w14:paraId="2381814F" w14:textId="42CE323C" w:rsidR="009575BD" w:rsidRPr="000E50F1" w:rsidRDefault="009575BD" w:rsidP="005F0B55">
      <w:pPr>
        <w:rPr>
          <w:rFonts w:ascii="Times" w:eastAsia="Calibri" w:hAnsi="Times"/>
          <w:b/>
          <w:lang w:val="en-US"/>
        </w:rPr>
      </w:pPr>
      <w:r w:rsidRPr="000E50F1">
        <w:rPr>
          <w:rFonts w:ascii="Times" w:hAnsi="Times" w:cstheme="majorHAnsi"/>
          <w:noProof/>
        </w:rPr>
        <w:drawing>
          <wp:inline distT="0" distB="0" distL="0" distR="0" wp14:anchorId="0CCE60C4" wp14:editId="6463063C">
            <wp:extent cx="4852035" cy="1422165"/>
            <wp:effectExtent l="0" t="0" r="24765" b="6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42E94C" w14:textId="77777777" w:rsidR="00D73245" w:rsidRPr="000E50F1" w:rsidRDefault="00D73245" w:rsidP="00226E57">
      <w:pPr>
        <w:ind w:left="567" w:hanging="567"/>
        <w:rPr>
          <w:rFonts w:ascii="Times" w:eastAsia="Calibri" w:hAnsi="Times"/>
          <w:bCs/>
          <w:i/>
          <w:lang w:val="en-US"/>
        </w:rPr>
      </w:pPr>
    </w:p>
    <w:p w14:paraId="28B73749" w14:textId="7F2CA22A" w:rsidR="001839D4" w:rsidRPr="000E50F1" w:rsidRDefault="006B645A" w:rsidP="006B645A">
      <w:pPr>
        <w:pStyle w:val="Caption"/>
        <w:ind w:left="567" w:hanging="567"/>
        <w:rPr>
          <w:rFonts w:ascii="Times" w:eastAsia="Calibri" w:hAnsi="Times"/>
          <w:bCs/>
          <w:sz w:val="24"/>
          <w:szCs w:val="20"/>
          <w:lang w:val="en-US"/>
        </w:rPr>
      </w:pPr>
      <w:bookmarkStart w:id="17" w:name="_Toc54020233"/>
      <w:r w:rsidRPr="000E50F1">
        <w:rPr>
          <w:rFonts w:ascii="Times" w:hAnsi="Times"/>
          <w:i/>
          <w:iCs w:val="0"/>
          <w:sz w:val="24"/>
          <w:szCs w:val="20"/>
        </w:rPr>
        <w:t xml:space="preserve">Figure </w:t>
      </w:r>
      <w:r w:rsidRPr="000E50F1">
        <w:rPr>
          <w:rFonts w:ascii="Times" w:hAnsi="Times"/>
          <w:i/>
          <w:iCs w:val="0"/>
          <w:sz w:val="24"/>
          <w:szCs w:val="20"/>
        </w:rPr>
        <w:fldChar w:fldCharType="begin"/>
      </w:r>
      <w:r w:rsidRPr="000E50F1">
        <w:rPr>
          <w:rFonts w:ascii="Times" w:hAnsi="Times"/>
          <w:i/>
          <w:iCs w:val="0"/>
          <w:sz w:val="24"/>
          <w:szCs w:val="20"/>
        </w:rPr>
        <w:instrText xml:space="preserve"> SEQ Figure \* ARABIC </w:instrText>
      </w:r>
      <w:r w:rsidRPr="000E50F1">
        <w:rPr>
          <w:rFonts w:ascii="Times" w:hAnsi="Times"/>
          <w:i/>
          <w:iCs w:val="0"/>
          <w:sz w:val="24"/>
          <w:szCs w:val="20"/>
        </w:rPr>
        <w:fldChar w:fldCharType="separate"/>
      </w:r>
      <w:r w:rsidR="005D60E2" w:rsidRPr="000E50F1">
        <w:rPr>
          <w:rFonts w:ascii="Times" w:hAnsi="Times"/>
          <w:i/>
          <w:iCs w:val="0"/>
          <w:noProof/>
          <w:sz w:val="24"/>
          <w:szCs w:val="20"/>
        </w:rPr>
        <w:t>3</w:t>
      </w:r>
      <w:r w:rsidRPr="000E50F1">
        <w:rPr>
          <w:rFonts w:ascii="Times" w:hAnsi="Times"/>
          <w:i/>
          <w:iCs w:val="0"/>
          <w:sz w:val="24"/>
          <w:szCs w:val="20"/>
        </w:rPr>
        <w:fldChar w:fldCharType="end"/>
      </w:r>
      <w:r w:rsidR="009575BD" w:rsidRPr="000E50F1">
        <w:rPr>
          <w:rFonts w:ascii="Times" w:eastAsia="Calibri" w:hAnsi="Times"/>
          <w:bCs/>
          <w:i/>
          <w:iCs w:val="0"/>
          <w:sz w:val="24"/>
          <w:szCs w:val="20"/>
          <w:lang w:val="en-US"/>
        </w:rPr>
        <w:t>.</w:t>
      </w:r>
      <w:r w:rsidR="009575BD" w:rsidRPr="000E50F1">
        <w:rPr>
          <w:rFonts w:ascii="Times" w:eastAsia="Calibri" w:hAnsi="Times"/>
          <w:bCs/>
          <w:sz w:val="24"/>
          <w:szCs w:val="20"/>
          <w:lang w:val="en-US"/>
        </w:rPr>
        <w:t xml:space="preserve"> </w:t>
      </w:r>
      <w:r w:rsidR="001839D4" w:rsidRPr="000E50F1">
        <w:rPr>
          <w:rFonts w:ascii="Times" w:eastAsia="Calibri" w:hAnsi="Times"/>
          <w:bCs/>
          <w:sz w:val="24"/>
          <w:szCs w:val="20"/>
          <w:lang w:val="en-US"/>
        </w:rPr>
        <w:t>International students’ CRS score on January 19, 2017. Data for international students are obtained from IRCC (2017b)</w:t>
      </w:r>
      <w:bookmarkEnd w:id="17"/>
      <w:r w:rsidR="001839D4" w:rsidRPr="000E50F1">
        <w:rPr>
          <w:rFonts w:ascii="Times" w:eastAsia="Calibri" w:hAnsi="Times"/>
          <w:bCs/>
          <w:sz w:val="24"/>
          <w:szCs w:val="20"/>
          <w:lang w:val="en-US"/>
        </w:rPr>
        <w:t xml:space="preserve"> </w:t>
      </w:r>
    </w:p>
    <w:p w14:paraId="47E64F3F" w14:textId="77777777" w:rsidR="001839D4" w:rsidRPr="000E50F1" w:rsidRDefault="001839D4" w:rsidP="001839D4">
      <w:pPr>
        <w:spacing w:before="100" w:beforeAutospacing="1" w:after="100" w:afterAutospacing="1"/>
        <w:rPr>
          <w:rFonts w:ascii="Times" w:hAnsi="Times"/>
        </w:rPr>
      </w:pPr>
      <w:r w:rsidRPr="000E50F1">
        <w:rPr>
          <w:rFonts w:ascii="Times" w:hAnsi="Times"/>
        </w:rPr>
        <w:t xml:space="preserve">A total of 31,063 ITAs were issued in 2015 and 33,782 in 2016 (IRCC 2017d). Once in the pool, it can be difficult to improve one’s CRS score so applicants often hope for a drop in the CRS cutoff or a policy change that can give them additional points for a chance at PR. In 2015 and 2016, the CRS cutoffs did not drop below 450 points (2017d). As seen in Fig. 2, snapshot data on November 23, 2015 indicate that 91% of international students in EE had scores below 450 points and the median score was 408. As seen in Fig. 3, on January 19, 2017, the median score for international students increased to 423 (IRCC 2017b). To date, the lowest CRS cutoff for all EE candidates on May 31, 2017 was 413 points (IRCC 2016b). As indicated in the 2016 Express Entry Year-End Report, 68% of international students in EE have CRS scores between 400 and 499 points (IRCC 2017b), which is a larger data range than reported in 2015 (IRCC 2016c). Greater </w:t>
      </w:r>
      <w:r w:rsidRPr="000E50F1">
        <w:rPr>
          <w:rFonts w:ascii="Times" w:hAnsi="Times"/>
        </w:rPr>
        <w:lastRenderedPageBreak/>
        <w:t xml:space="preserve">clarity and reporting consistency around data is needed to understand how policy changes are impacting those applicants with points closest to the CRS cutoff. </w:t>
      </w:r>
    </w:p>
    <w:p w14:paraId="6780DE36" w14:textId="77777777" w:rsidR="001839D4" w:rsidRPr="000E50F1" w:rsidRDefault="009575BD" w:rsidP="001839D4">
      <w:pPr>
        <w:rPr>
          <w:rFonts w:ascii="Times" w:eastAsia="Calibri" w:hAnsi="Times"/>
          <w:b/>
          <w:lang w:val="en-US"/>
        </w:rPr>
      </w:pPr>
      <w:r w:rsidRPr="000E50F1">
        <w:rPr>
          <w:rFonts w:ascii="Times" w:eastAsia="Calibri" w:hAnsi="Times"/>
          <w:b/>
          <w:lang w:val="en-US"/>
        </w:rPr>
        <w:t xml:space="preserve">Barriers to Permanent Residence </w:t>
      </w:r>
    </w:p>
    <w:p w14:paraId="5668333E" w14:textId="297ECCCF" w:rsidR="00733919" w:rsidRPr="000E50F1" w:rsidRDefault="001839D4" w:rsidP="001839D4">
      <w:pPr>
        <w:rPr>
          <w:rFonts w:ascii="Times" w:hAnsi="Times"/>
        </w:rPr>
      </w:pPr>
      <w:r w:rsidRPr="000E50F1">
        <w:rPr>
          <w:rFonts w:ascii="Times" w:hAnsi="Times"/>
        </w:rPr>
        <w:t xml:space="preserve">The number of international students studying in Canada has doubled from 2007 to 2016, yet proportionally as well as in actual numbers, international students have been declining as an immigration source. As seen in Table </w:t>
      </w:r>
      <w:r w:rsidR="001F1198" w:rsidRPr="000E50F1">
        <w:rPr>
          <w:rFonts w:ascii="Times" w:hAnsi="Times"/>
        </w:rPr>
        <w:t>2</w:t>
      </w:r>
      <w:r w:rsidRPr="000E50F1">
        <w:rPr>
          <w:rFonts w:ascii="Times" w:hAnsi="Times"/>
        </w:rPr>
        <w:t xml:space="preserve">, international students represented 2.8% of the total permanent residents admitted to Canada in 2016, which is a 170% drop from 2007. Under Express Entry, fewer international students are successful in obtaining PR after they graduate. In addition to these prospects, rather than competing within their peer group (i.e. against other international students), the transition from the old processing system to EE has added an element of competition that places international students against all other foreign applicants aiming to immigrate to Canada, with policy changes being slow to improve international students’ fair chance for PR. </w:t>
      </w:r>
    </w:p>
    <w:p w14:paraId="1C5F9DF5" w14:textId="77777777" w:rsidR="001839D4" w:rsidRPr="000E50F1" w:rsidRDefault="001839D4" w:rsidP="001839D4">
      <w:pPr>
        <w:rPr>
          <w:rFonts w:ascii="Times" w:eastAsia="Calibri" w:hAnsi="Times"/>
          <w:b/>
          <w:lang w:val="en-US"/>
        </w:rPr>
      </w:pPr>
    </w:p>
    <w:p w14:paraId="72158087" w14:textId="1501A117" w:rsidR="009575BD" w:rsidRPr="000E50F1" w:rsidRDefault="00733919" w:rsidP="005E5757">
      <w:pPr>
        <w:rPr>
          <w:rFonts w:ascii="Times" w:eastAsia="Calibri" w:hAnsi="Times"/>
          <w:bCs/>
          <w:lang w:val="en-US"/>
        </w:rPr>
      </w:pPr>
      <w:r w:rsidRPr="000E50F1">
        <w:rPr>
          <w:rFonts w:ascii="Times" w:eastAsia="Calibri" w:hAnsi="Times"/>
          <w:bCs/>
          <w:noProof/>
          <w:lang w:val="en-US"/>
        </w:rPr>
        <w:drawing>
          <wp:inline distT="0" distB="0" distL="0" distR="0" wp14:anchorId="0D050213" wp14:editId="4EC6B55B">
            <wp:extent cx="5035550" cy="150622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5550" cy="1506220"/>
                    </a:xfrm>
                    <a:prstGeom prst="rect">
                      <a:avLst/>
                    </a:prstGeom>
                  </pic:spPr>
                </pic:pic>
              </a:graphicData>
            </a:graphic>
          </wp:inline>
        </w:drawing>
      </w:r>
    </w:p>
    <w:p w14:paraId="67947291" w14:textId="1B635594" w:rsidR="001839D4" w:rsidRPr="000E50F1" w:rsidRDefault="0049719E" w:rsidP="0049719E">
      <w:pPr>
        <w:pStyle w:val="Caption"/>
        <w:ind w:left="567" w:hanging="567"/>
        <w:rPr>
          <w:rFonts w:ascii="Times" w:eastAsia="Calibri" w:hAnsi="Times"/>
          <w:bCs/>
          <w:sz w:val="24"/>
          <w:szCs w:val="24"/>
          <w:lang w:val="en-US"/>
        </w:rPr>
      </w:pPr>
      <w:bookmarkStart w:id="18" w:name="_Toc54510702"/>
      <w:r w:rsidRPr="000E50F1">
        <w:rPr>
          <w:rFonts w:ascii="Times" w:hAnsi="Times"/>
          <w:i/>
          <w:iCs w:val="0"/>
          <w:sz w:val="24"/>
          <w:szCs w:val="24"/>
        </w:rPr>
        <w:t xml:space="preserve">Table </w:t>
      </w:r>
      <w:r w:rsidRPr="000E50F1">
        <w:rPr>
          <w:rFonts w:ascii="Times" w:hAnsi="Times"/>
          <w:i/>
          <w:iCs w:val="0"/>
          <w:sz w:val="24"/>
          <w:szCs w:val="24"/>
        </w:rPr>
        <w:fldChar w:fldCharType="begin"/>
      </w:r>
      <w:r w:rsidRPr="000E50F1">
        <w:rPr>
          <w:rFonts w:ascii="Times" w:hAnsi="Times"/>
          <w:i/>
          <w:iCs w:val="0"/>
          <w:sz w:val="24"/>
          <w:szCs w:val="24"/>
        </w:rPr>
        <w:instrText xml:space="preserve"> SEQ Table \* ARABIC </w:instrText>
      </w:r>
      <w:r w:rsidRPr="000E50F1">
        <w:rPr>
          <w:rFonts w:ascii="Times" w:hAnsi="Times"/>
          <w:i/>
          <w:iCs w:val="0"/>
          <w:sz w:val="24"/>
          <w:szCs w:val="24"/>
        </w:rPr>
        <w:fldChar w:fldCharType="separate"/>
      </w:r>
      <w:r w:rsidR="003B1B28" w:rsidRPr="000E50F1">
        <w:rPr>
          <w:rFonts w:ascii="Times" w:hAnsi="Times"/>
          <w:i/>
          <w:iCs w:val="0"/>
          <w:noProof/>
          <w:sz w:val="24"/>
          <w:szCs w:val="24"/>
        </w:rPr>
        <w:t>1</w:t>
      </w:r>
      <w:r w:rsidRPr="000E50F1">
        <w:rPr>
          <w:rFonts w:ascii="Times" w:hAnsi="Times"/>
          <w:i/>
          <w:iCs w:val="0"/>
          <w:sz w:val="24"/>
          <w:szCs w:val="24"/>
        </w:rPr>
        <w:fldChar w:fldCharType="end"/>
      </w:r>
      <w:r w:rsidR="006B645A" w:rsidRPr="000E50F1">
        <w:rPr>
          <w:rFonts w:ascii="Times" w:hAnsi="Times"/>
          <w:i/>
          <w:iCs w:val="0"/>
          <w:sz w:val="24"/>
          <w:szCs w:val="24"/>
        </w:rPr>
        <w:t>.</w:t>
      </w:r>
      <w:r w:rsidR="001839D4" w:rsidRPr="000E50F1">
        <w:rPr>
          <w:rFonts w:ascii="Times" w:hAnsi="Times"/>
          <w:sz w:val="24"/>
          <w:szCs w:val="24"/>
        </w:rPr>
        <w:t xml:space="preserve"> Recent proportion of international students obtaining PR in Canada. Data for total PR admissions and total economic class are obtained from IRCC (2016d), total PRs with prior study permit holder status from IRCC (2017e), and total international students from IRCC (2017f)</w:t>
      </w:r>
      <w:bookmarkEnd w:id="18"/>
    </w:p>
    <w:p w14:paraId="78B1DB12" w14:textId="58C70445" w:rsidR="00C2461B" w:rsidRPr="000E50F1" w:rsidRDefault="001839D4" w:rsidP="001839D4">
      <w:pPr>
        <w:spacing w:before="100" w:beforeAutospacing="1" w:after="100" w:afterAutospacing="1"/>
        <w:rPr>
          <w:rFonts w:ascii="Times" w:hAnsi="Times"/>
        </w:rPr>
      </w:pPr>
      <w:r w:rsidRPr="000E50F1">
        <w:rPr>
          <w:rFonts w:ascii="Times" w:hAnsi="Times"/>
        </w:rPr>
        <w:t xml:space="preserve">On November 19, 2016, IRCC announced changes to EE that included the addition of 15–30 points for candidates with Canadian education credentials, and reduced the points for those with a Labour Market Impact Assessment (LMIA) from 600 to 50–200 points (IRCC 2016b). Recent changes on June 6, 2017 also increased PR odds for applicants with strong French language skills and for those with a sibling in Canada. Subsequent data reflecting these bonus eligibilities indicate that 4% (or 2414) of EE candidates with Canadian education credentials received 30 additional points (IRCC 2017g), increasing the median CRS score of international students by 15 points as seen in Fig. 3. </w:t>
      </w:r>
    </w:p>
    <w:p w14:paraId="3AB9D1EA" w14:textId="4438F8DD" w:rsidR="00C2461B" w:rsidRPr="000E50F1" w:rsidRDefault="001839D4" w:rsidP="001839D4">
      <w:pPr>
        <w:spacing w:before="100" w:beforeAutospacing="1" w:after="100" w:afterAutospacing="1"/>
        <w:rPr>
          <w:rFonts w:ascii="Times" w:hAnsi="Times"/>
        </w:rPr>
      </w:pPr>
      <w:r w:rsidRPr="000E50F1">
        <w:rPr>
          <w:rFonts w:ascii="Times" w:hAnsi="Times"/>
        </w:rPr>
        <w:t xml:space="preserve">Many international students remain in the pool for </w:t>
      </w:r>
      <w:r w:rsidR="00516248" w:rsidRPr="000E50F1">
        <w:rPr>
          <w:rFonts w:ascii="Times" w:hAnsi="Times"/>
        </w:rPr>
        <w:t>m</w:t>
      </w:r>
      <w:r w:rsidRPr="000E50F1">
        <w:rPr>
          <w:rFonts w:ascii="Times" w:hAnsi="Times"/>
        </w:rPr>
        <w:t xml:space="preserve">onths while hoping to receive an ITA. Unsuccessful profiles in EE expire after 12 months, but if applicants continue to meet the criteria for any of the federal programs (e.g., FSW, FST, or CEC), they can renew their profile and wait for future draws (IRCC 2016a). In </w:t>
      </w:r>
      <w:r w:rsidRPr="000E50F1">
        <w:rPr>
          <w:rFonts w:ascii="Times" w:hAnsi="Times"/>
        </w:rPr>
        <w:lastRenderedPageBreak/>
        <w:t xml:space="preserve">contrast to overseas applicants who carry on with their lives and may be applying to immigrate to several countries at the same time, international students in EE can find themselves trapped in limbo and running out of time. They can be living in Canada and can remain in the EE pool with no PR in sight and with few immigration options outside of EE. They also face the prospect of losing five points each year after their 29th birthday, a scoring that in particular affects the most skilled students who hold graduate degrees. </w:t>
      </w:r>
    </w:p>
    <w:p w14:paraId="105DC0B3" w14:textId="36BABD60" w:rsidR="00AD580B" w:rsidRPr="000E50F1" w:rsidRDefault="00C6380B" w:rsidP="00C6380B">
      <w:pPr>
        <w:spacing w:before="100" w:beforeAutospacing="1" w:after="100" w:afterAutospacing="1"/>
        <w:rPr>
          <w:rFonts w:ascii="Times" w:hAnsi="Times"/>
        </w:rPr>
      </w:pPr>
      <w:r w:rsidRPr="000E50F1">
        <w:rPr>
          <w:rFonts w:ascii="Times" w:hAnsi="Times"/>
        </w:rPr>
        <w:t xml:space="preserve">International students have also been impacted by external conditions. First, the processing of backlog PR applications (i.e., those submitted before EE was launched in January 2015) resulted in the high CRS cutoff in 2015 and 2016. Second, in response to the international political crisis of 2015, the quota for economic class immigrants was reduced in part to accommodate the increase in refugee sponsorship in 2016 (Zilio 2016). As seen in Table </w:t>
      </w:r>
      <w:r w:rsidR="001F1198" w:rsidRPr="000E50F1">
        <w:rPr>
          <w:rFonts w:ascii="Times" w:hAnsi="Times"/>
        </w:rPr>
        <w:t>3</w:t>
      </w:r>
      <w:r w:rsidRPr="000E50F1">
        <w:rPr>
          <w:rFonts w:ascii="Times" w:hAnsi="Times"/>
        </w:rPr>
        <w:t xml:space="preserve">, compared to the projected targets for 2015, the total number of permanent residents admitted under EE has been inconsistent. In 2014, the government promised to offer PR to 122,000 skilled workers in 2015, with up to 75,000 coming through the federal programs, and up to 48,000 through the Provincial Nominee Programs (PNP) (Mas 2014). As seen in Table </w:t>
      </w:r>
      <w:r w:rsidR="001F1198" w:rsidRPr="000E50F1">
        <w:rPr>
          <w:rFonts w:ascii="Times" w:hAnsi="Times"/>
        </w:rPr>
        <w:t>4</w:t>
      </w:r>
      <w:r w:rsidRPr="000E50F1">
        <w:rPr>
          <w:rFonts w:ascii="Times" w:hAnsi="Times"/>
        </w:rPr>
        <w:t xml:space="preserve">, by the end of 2015 only 9515 permanent residents were admitted under EE. Moreover, the target levels for 2016, when compared to 2015, dropped by more than 20,000 nominations for the economic stream. Thus, many international students relying on an ITA in 2015 and 2016 felt shortchanged by various external factors that have resulted in the modest draws each month. </w:t>
      </w:r>
    </w:p>
    <w:p w14:paraId="51D54D3B" w14:textId="1535BB29" w:rsidR="00C6380B" w:rsidRPr="000E50F1" w:rsidRDefault="00C6380B" w:rsidP="00C6380B">
      <w:pPr>
        <w:spacing w:before="100" w:beforeAutospacing="1" w:after="100" w:afterAutospacing="1"/>
        <w:rPr>
          <w:rFonts w:ascii="Times" w:hAnsi="Times"/>
        </w:rPr>
      </w:pPr>
      <w:r w:rsidRPr="000E50F1">
        <w:rPr>
          <w:rFonts w:ascii="Times" w:hAnsi="Times"/>
        </w:rPr>
        <w:t xml:space="preserve">After graduation, international students can apply for a post-graduation work permit (PGWP) which gives them up to three years to gain at least one year of skilled work experience and to obtain PR after graduation. If the PGWP expires before the applicant receives an ITA, they are deemed by IRCC as an “out of status temporary foreign worker.” Out of status applicants cannot continue to work in Canada and must restore their temporary status within 90 days (IRCC 2014). If failing to do so, applicants will be required to leave Canada and await their PR nomination outside of Canada. Out of status applicants can restore their status via a visitor visa or they can return to school on a subsequent study permit (IRCC 2014). PGWP can only be issued one time to each eligible international student. </w:t>
      </w:r>
    </w:p>
    <w:p w14:paraId="5FF8B14B" w14:textId="1CD213F1" w:rsidR="00C6380B" w:rsidRPr="000E50F1" w:rsidRDefault="00C6380B" w:rsidP="00C4568C">
      <w:pPr>
        <w:spacing w:before="100" w:beforeAutospacing="1" w:after="100" w:afterAutospacing="1"/>
        <w:rPr>
          <w:rFonts w:ascii="Times" w:hAnsi="Times"/>
        </w:rPr>
      </w:pPr>
      <w:r w:rsidRPr="000E50F1">
        <w:rPr>
          <w:rFonts w:ascii="Times" w:hAnsi="Times"/>
        </w:rPr>
        <w:t xml:space="preserve">The following section specifies the key features of the immigration process that disadvantage international students from obtaining PR in Canada and suggests recommendations to Immigration Refugees and Citizenship Canada for policy changes to rectify these barriers. </w:t>
      </w:r>
    </w:p>
    <w:tbl>
      <w:tblPr>
        <w:tblStyle w:val="Plain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2027"/>
        <w:gridCol w:w="2000"/>
        <w:gridCol w:w="1998"/>
        <w:gridCol w:w="1905"/>
      </w:tblGrid>
      <w:tr w:rsidR="00B4328B" w:rsidRPr="000E50F1" w14:paraId="5EFD14A9" w14:textId="77777777" w:rsidTr="00E97BD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78" w:type="pct"/>
            <w:tcBorders>
              <w:bottom w:val="single" w:sz="4" w:space="0" w:color="auto"/>
            </w:tcBorders>
          </w:tcPr>
          <w:p w14:paraId="1D442D9C" w14:textId="77777777" w:rsidR="005E5757" w:rsidRPr="000E50F1" w:rsidRDefault="005E5757" w:rsidP="005E5757">
            <w:pPr>
              <w:spacing w:line="276" w:lineRule="auto"/>
              <w:ind w:right="4"/>
              <w:contextualSpacing/>
              <w:rPr>
                <w:rFonts w:ascii="Calibri" w:hAnsi="Calibri"/>
                <w:sz w:val="22"/>
                <w:szCs w:val="22"/>
                <w:lang w:val="en-US"/>
              </w:rPr>
            </w:pPr>
            <w:r w:rsidRPr="000E50F1">
              <w:rPr>
                <w:rFonts w:ascii="Calibri" w:hAnsi="Calibri"/>
                <w:sz w:val="22"/>
                <w:szCs w:val="22"/>
                <w:lang w:val="en-US"/>
              </w:rPr>
              <w:lastRenderedPageBreak/>
              <w:t>Immigration Class</w:t>
            </w:r>
            <w:r w:rsidRPr="000E50F1">
              <w:rPr>
                <w:rFonts w:ascii="Calibri" w:hAnsi="Calibri"/>
                <w:sz w:val="22"/>
                <w:szCs w:val="22"/>
                <w:vertAlign w:val="superscript"/>
                <w:lang w:val="en-US"/>
              </w:rPr>
              <w:footnoteReference w:id="4"/>
            </w:r>
          </w:p>
        </w:tc>
        <w:tc>
          <w:tcPr>
            <w:tcW w:w="1261" w:type="pct"/>
            <w:tcBorders>
              <w:bottom w:val="single" w:sz="4" w:space="0" w:color="auto"/>
            </w:tcBorders>
          </w:tcPr>
          <w:p w14:paraId="5B9675C3" w14:textId="77777777" w:rsidR="005E5757" w:rsidRPr="000E50F1" w:rsidRDefault="005E5757" w:rsidP="005E5757">
            <w:pPr>
              <w:spacing w:line="276" w:lineRule="auto"/>
              <w:ind w:right="4"/>
              <w:contextualSpacing/>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lang w:val="en-US"/>
              </w:rPr>
            </w:pPr>
            <w:r w:rsidRPr="000E50F1">
              <w:rPr>
                <w:rFonts w:ascii="Calibri" w:hAnsi="Calibri"/>
                <w:b/>
                <w:bCs/>
                <w:sz w:val="22"/>
                <w:szCs w:val="22"/>
                <w:lang w:val="en-US"/>
              </w:rPr>
              <w:t xml:space="preserve">2015 Levels Plan </w:t>
            </w:r>
          </w:p>
        </w:tc>
        <w:tc>
          <w:tcPr>
            <w:tcW w:w="1260" w:type="pct"/>
            <w:tcBorders>
              <w:bottom w:val="single" w:sz="4" w:space="0" w:color="auto"/>
            </w:tcBorders>
          </w:tcPr>
          <w:p w14:paraId="3630AD9B" w14:textId="77777777" w:rsidR="005E5757" w:rsidRPr="000E50F1" w:rsidRDefault="005E5757" w:rsidP="005E5757">
            <w:pPr>
              <w:spacing w:line="276" w:lineRule="auto"/>
              <w:ind w:right="4"/>
              <w:contextualSpacing/>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lang w:val="en-US"/>
              </w:rPr>
            </w:pPr>
            <w:r w:rsidRPr="000E50F1">
              <w:rPr>
                <w:rFonts w:ascii="Calibri" w:hAnsi="Calibri"/>
                <w:b/>
                <w:bCs/>
                <w:sz w:val="22"/>
                <w:szCs w:val="22"/>
                <w:lang w:val="en-US"/>
              </w:rPr>
              <w:t xml:space="preserve">2016 Levels Plan </w:t>
            </w:r>
          </w:p>
        </w:tc>
        <w:tc>
          <w:tcPr>
            <w:tcW w:w="1201" w:type="pct"/>
            <w:tcBorders>
              <w:bottom w:val="single" w:sz="4" w:space="0" w:color="auto"/>
            </w:tcBorders>
          </w:tcPr>
          <w:p w14:paraId="0480DF24" w14:textId="77777777" w:rsidR="005E5757" w:rsidRPr="000E50F1" w:rsidRDefault="005E5757" w:rsidP="005E5757">
            <w:pPr>
              <w:spacing w:line="276" w:lineRule="auto"/>
              <w:ind w:right="4"/>
              <w:contextualSpacing/>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lang w:val="en-US"/>
              </w:rPr>
            </w:pPr>
            <w:r w:rsidRPr="000E50F1">
              <w:rPr>
                <w:rFonts w:ascii="Calibri" w:hAnsi="Calibri"/>
                <w:b/>
                <w:bCs/>
                <w:sz w:val="22"/>
                <w:szCs w:val="22"/>
                <w:lang w:val="en-US"/>
              </w:rPr>
              <w:t xml:space="preserve">2017 Levels Plan </w:t>
            </w:r>
          </w:p>
        </w:tc>
      </w:tr>
      <w:tr w:rsidR="00B4328B" w:rsidRPr="000E50F1" w14:paraId="71AEB412" w14:textId="77777777" w:rsidTr="00E97BDA">
        <w:trPr>
          <w:trHeight w:val="251"/>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uto"/>
            </w:tcBorders>
          </w:tcPr>
          <w:p w14:paraId="2E0E7428" w14:textId="77777777" w:rsidR="005E5757" w:rsidRPr="000E50F1" w:rsidRDefault="005E5757" w:rsidP="005E5757">
            <w:pPr>
              <w:spacing w:line="276" w:lineRule="auto"/>
              <w:ind w:right="4"/>
              <w:contextualSpacing/>
              <w:rPr>
                <w:rFonts w:ascii="Calibri" w:hAnsi="Calibri"/>
                <w:b w:val="0"/>
                <w:bCs w:val="0"/>
                <w:sz w:val="22"/>
                <w:szCs w:val="22"/>
                <w:lang w:val="en-US"/>
              </w:rPr>
            </w:pPr>
            <w:r w:rsidRPr="000E50F1">
              <w:rPr>
                <w:rFonts w:ascii="Calibri" w:hAnsi="Calibri"/>
                <w:b w:val="0"/>
                <w:bCs w:val="0"/>
                <w:sz w:val="22"/>
                <w:szCs w:val="22"/>
                <w:lang w:val="en-US"/>
              </w:rPr>
              <w:t xml:space="preserve">Economic </w:t>
            </w:r>
          </w:p>
        </w:tc>
        <w:tc>
          <w:tcPr>
            <w:tcW w:w="1261" w:type="pct"/>
            <w:tcBorders>
              <w:top w:val="single" w:sz="4" w:space="0" w:color="auto"/>
            </w:tcBorders>
          </w:tcPr>
          <w:p w14:paraId="7B8AF76C" w14:textId="77777777" w:rsidR="005E5757" w:rsidRPr="000E50F1" w:rsidRDefault="005E5757" w:rsidP="005E5757">
            <w:pPr>
              <w:spacing w:line="276" w:lineRule="auto"/>
              <w:ind w:right="4"/>
              <w:contextualSpacing/>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181,300</w:t>
            </w:r>
          </w:p>
        </w:tc>
        <w:tc>
          <w:tcPr>
            <w:tcW w:w="1260" w:type="pct"/>
            <w:tcBorders>
              <w:top w:val="single" w:sz="4" w:space="0" w:color="auto"/>
            </w:tcBorders>
          </w:tcPr>
          <w:p w14:paraId="1D42E2B9" w14:textId="77777777" w:rsidR="005E5757" w:rsidRPr="000E50F1" w:rsidRDefault="005E5757" w:rsidP="005E5757">
            <w:pPr>
              <w:spacing w:line="276" w:lineRule="auto"/>
              <w:ind w:right="4"/>
              <w:contextualSpacing/>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160,600</w:t>
            </w:r>
          </w:p>
        </w:tc>
        <w:tc>
          <w:tcPr>
            <w:tcW w:w="1201" w:type="pct"/>
            <w:tcBorders>
              <w:top w:val="single" w:sz="4" w:space="0" w:color="auto"/>
            </w:tcBorders>
          </w:tcPr>
          <w:p w14:paraId="2A0089AE" w14:textId="77777777" w:rsidR="005E5757" w:rsidRPr="000E50F1" w:rsidRDefault="005E5757" w:rsidP="005E5757">
            <w:pPr>
              <w:spacing w:line="276" w:lineRule="auto"/>
              <w:ind w:right="4"/>
              <w:contextualSpacing/>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172,500</w:t>
            </w:r>
          </w:p>
        </w:tc>
      </w:tr>
      <w:tr w:rsidR="00B4328B" w:rsidRPr="000E50F1" w14:paraId="5EC3B5B7" w14:textId="77777777" w:rsidTr="00E97BD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78" w:type="pct"/>
          </w:tcPr>
          <w:p w14:paraId="563F0AE7" w14:textId="77777777" w:rsidR="005E5757" w:rsidRPr="000E50F1" w:rsidRDefault="005E5757" w:rsidP="005E5757">
            <w:pPr>
              <w:spacing w:line="276" w:lineRule="auto"/>
              <w:ind w:right="4"/>
              <w:contextualSpacing/>
              <w:rPr>
                <w:rFonts w:ascii="Calibri" w:hAnsi="Calibri"/>
                <w:b w:val="0"/>
                <w:bCs w:val="0"/>
                <w:sz w:val="22"/>
                <w:szCs w:val="22"/>
                <w:lang w:val="en-US"/>
              </w:rPr>
            </w:pPr>
            <w:r w:rsidRPr="000E50F1">
              <w:rPr>
                <w:rFonts w:ascii="Calibri" w:hAnsi="Calibri"/>
                <w:b w:val="0"/>
                <w:bCs w:val="0"/>
                <w:sz w:val="22"/>
                <w:szCs w:val="22"/>
                <w:lang w:val="en-US"/>
              </w:rPr>
              <w:t xml:space="preserve">Family </w:t>
            </w:r>
          </w:p>
        </w:tc>
        <w:tc>
          <w:tcPr>
            <w:tcW w:w="1261" w:type="pct"/>
          </w:tcPr>
          <w:p w14:paraId="4B921D34" w14:textId="77777777" w:rsidR="005E5757" w:rsidRPr="000E50F1" w:rsidRDefault="005E5757" w:rsidP="005E5757">
            <w:pPr>
              <w:spacing w:line="276" w:lineRule="auto"/>
              <w:ind w:right="4"/>
              <w:contextualSpacing/>
              <w:cnfStyle w:val="000000100000" w:firstRow="0" w:lastRow="0" w:firstColumn="0" w:lastColumn="0" w:oddVBand="0" w:evenVBand="0" w:oddHBand="1"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68,000</w:t>
            </w:r>
          </w:p>
        </w:tc>
        <w:tc>
          <w:tcPr>
            <w:tcW w:w="1260" w:type="pct"/>
          </w:tcPr>
          <w:p w14:paraId="3F773333" w14:textId="77777777" w:rsidR="005E5757" w:rsidRPr="000E50F1" w:rsidRDefault="005E5757" w:rsidP="005E5757">
            <w:pPr>
              <w:spacing w:line="276" w:lineRule="auto"/>
              <w:ind w:right="4"/>
              <w:contextualSpacing/>
              <w:cnfStyle w:val="000000100000" w:firstRow="0" w:lastRow="0" w:firstColumn="0" w:lastColumn="0" w:oddVBand="0" w:evenVBand="0" w:oddHBand="1"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80,000</w:t>
            </w:r>
          </w:p>
        </w:tc>
        <w:tc>
          <w:tcPr>
            <w:tcW w:w="1201" w:type="pct"/>
          </w:tcPr>
          <w:p w14:paraId="5AF4072A" w14:textId="77777777" w:rsidR="005E5757" w:rsidRPr="000E50F1" w:rsidRDefault="005E5757" w:rsidP="005E5757">
            <w:pPr>
              <w:spacing w:line="276" w:lineRule="auto"/>
              <w:ind w:right="4"/>
              <w:contextualSpacing/>
              <w:cnfStyle w:val="000000100000" w:firstRow="0" w:lastRow="0" w:firstColumn="0" w:lastColumn="0" w:oddVBand="0" w:evenVBand="0" w:oddHBand="1"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84,000</w:t>
            </w:r>
          </w:p>
        </w:tc>
      </w:tr>
      <w:tr w:rsidR="00B4328B" w:rsidRPr="000E50F1" w14:paraId="0DCBF223" w14:textId="77777777" w:rsidTr="00E97BDA">
        <w:trPr>
          <w:trHeight w:val="291"/>
        </w:trPr>
        <w:tc>
          <w:tcPr>
            <w:cnfStyle w:val="001000000000" w:firstRow="0" w:lastRow="0" w:firstColumn="1" w:lastColumn="0" w:oddVBand="0" w:evenVBand="0" w:oddHBand="0" w:evenHBand="0" w:firstRowFirstColumn="0" w:firstRowLastColumn="0" w:lastRowFirstColumn="0" w:lastRowLastColumn="0"/>
            <w:tcW w:w="1278" w:type="pct"/>
          </w:tcPr>
          <w:p w14:paraId="151F170F" w14:textId="77777777" w:rsidR="005E5757" w:rsidRPr="000E50F1" w:rsidRDefault="005E5757" w:rsidP="005E5757">
            <w:pPr>
              <w:spacing w:line="276" w:lineRule="auto"/>
              <w:ind w:right="4"/>
              <w:contextualSpacing/>
              <w:rPr>
                <w:rFonts w:ascii="Calibri" w:hAnsi="Calibri"/>
                <w:b w:val="0"/>
                <w:bCs w:val="0"/>
                <w:sz w:val="22"/>
                <w:szCs w:val="22"/>
                <w:lang w:val="en-US"/>
              </w:rPr>
            </w:pPr>
            <w:r w:rsidRPr="000E50F1">
              <w:rPr>
                <w:rFonts w:ascii="Calibri" w:hAnsi="Calibri"/>
                <w:b w:val="0"/>
                <w:bCs w:val="0"/>
                <w:sz w:val="22"/>
                <w:szCs w:val="22"/>
                <w:lang w:val="en-US"/>
              </w:rPr>
              <w:t xml:space="preserve">Refugee </w:t>
            </w:r>
          </w:p>
        </w:tc>
        <w:tc>
          <w:tcPr>
            <w:tcW w:w="1261" w:type="pct"/>
          </w:tcPr>
          <w:p w14:paraId="64C44B4D" w14:textId="77777777" w:rsidR="005E5757" w:rsidRPr="000E50F1" w:rsidRDefault="005E5757" w:rsidP="005E5757">
            <w:pPr>
              <w:spacing w:line="276" w:lineRule="auto"/>
              <w:ind w:right="4"/>
              <w:contextualSpacing/>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24,800</w:t>
            </w:r>
          </w:p>
        </w:tc>
        <w:tc>
          <w:tcPr>
            <w:tcW w:w="1260" w:type="pct"/>
          </w:tcPr>
          <w:p w14:paraId="5989B34B" w14:textId="77777777" w:rsidR="005E5757" w:rsidRPr="000E50F1" w:rsidRDefault="005E5757" w:rsidP="005E5757">
            <w:pPr>
              <w:spacing w:line="276" w:lineRule="auto"/>
              <w:ind w:right="4"/>
              <w:contextualSpacing/>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55,800</w:t>
            </w:r>
          </w:p>
        </w:tc>
        <w:tc>
          <w:tcPr>
            <w:tcW w:w="1201" w:type="pct"/>
          </w:tcPr>
          <w:p w14:paraId="12B03AC9" w14:textId="77777777" w:rsidR="005E5757" w:rsidRPr="000E50F1" w:rsidRDefault="005E5757" w:rsidP="005E5757">
            <w:pPr>
              <w:spacing w:line="276" w:lineRule="auto"/>
              <w:ind w:right="4"/>
              <w:contextualSpacing/>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40,000</w:t>
            </w:r>
          </w:p>
        </w:tc>
      </w:tr>
      <w:tr w:rsidR="00B4328B" w:rsidRPr="000E50F1" w14:paraId="64F1538D" w14:textId="77777777" w:rsidTr="00E97BD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78" w:type="pct"/>
            <w:tcBorders>
              <w:bottom w:val="single" w:sz="4" w:space="0" w:color="auto"/>
            </w:tcBorders>
          </w:tcPr>
          <w:p w14:paraId="6414D645" w14:textId="77777777" w:rsidR="005E5757" w:rsidRPr="000E50F1" w:rsidRDefault="005E5757" w:rsidP="005E5757">
            <w:pPr>
              <w:spacing w:line="276" w:lineRule="auto"/>
              <w:ind w:right="4"/>
              <w:contextualSpacing/>
              <w:rPr>
                <w:rFonts w:ascii="Calibri" w:hAnsi="Calibri"/>
                <w:b w:val="0"/>
                <w:bCs w:val="0"/>
                <w:sz w:val="22"/>
                <w:szCs w:val="22"/>
                <w:lang w:val="en-US"/>
              </w:rPr>
            </w:pPr>
            <w:r w:rsidRPr="000E50F1">
              <w:rPr>
                <w:rFonts w:ascii="Calibri" w:hAnsi="Calibri"/>
                <w:b w:val="0"/>
                <w:bCs w:val="0"/>
                <w:sz w:val="22"/>
                <w:szCs w:val="22"/>
                <w:lang w:val="en-US"/>
              </w:rPr>
              <w:t xml:space="preserve">Others </w:t>
            </w:r>
          </w:p>
        </w:tc>
        <w:tc>
          <w:tcPr>
            <w:tcW w:w="1261" w:type="pct"/>
            <w:tcBorders>
              <w:bottom w:val="single" w:sz="4" w:space="0" w:color="auto"/>
            </w:tcBorders>
          </w:tcPr>
          <w:p w14:paraId="0E6CFFB1" w14:textId="77777777" w:rsidR="005E5757" w:rsidRPr="000E50F1" w:rsidRDefault="005E5757" w:rsidP="005E5757">
            <w:pPr>
              <w:spacing w:line="276" w:lineRule="auto"/>
              <w:ind w:right="4"/>
              <w:contextualSpacing/>
              <w:cnfStyle w:val="000000100000" w:firstRow="0" w:lastRow="0" w:firstColumn="0" w:lastColumn="0" w:oddVBand="0" w:evenVBand="0" w:oddHBand="1"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5,100</w:t>
            </w:r>
          </w:p>
        </w:tc>
        <w:tc>
          <w:tcPr>
            <w:tcW w:w="1260" w:type="pct"/>
            <w:tcBorders>
              <w:bottom w:val="single" w:sz="4" w:space="0" w:color="auto"/>
            </w:tcBorders>
          </w:tcPr>
          <w:p w14:paraId="0699EEFD" w14:textId="77777777" w:rsidR="005E5757" w:rsidRPr="000E50F1" w:rsidRDefault="005E5757" w:rsidP="005E5757">
            <w:pPr>
              <w:spacing w:line="276" w:lineRule="auto"/>
              <w:ind w:right="4"/>
              <w:contextualSpacing/>
              <w:cnfStyle w:val="000000100000" w:firstRow="0" w:lastRow="0" w:firstColumn="0" w:lastColumn="0" w:oddVBand="0" w:evenVBand="0" w:oddHBand="1"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3,600</w:t>
            </w:r>
          </w:p>
        </w:tc>
        <w:tc>
          <w:tcPr>
            <w:tcW w:w="1201" w:type="pct"/>
            <w:tcBorders>
              <w:bottom w:val="single" w:sz="4" w:space="0" w:color="auto"/>
            </w:tcBorders>
          </w:tcPr>
          <w:p w14:paraId="5A72108A" w14:textId="77777777" w:rsidR="005E5757" w:rsidRPr="000E50F1" w:rsidRDefault="005E5757" w:rsidP="005E5757">
            <w:pPr>
              <w:spacing w:line="276" w:lineRule="auto"/>
              <w:ind w:right="4"/>
              <w:contextualSpacing/>
              <w:cnfStyle w:val="000000100000" w:firstRow="0" w:lastRow="0" w:firstColumn="0" w:lastColumn="0" w:oddVBand="0" w:evenVBand="0" w:oddHBand="1"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3,500</w:t>
            </w:r>
          </w:p>
        </w:tc>
      </w:tr>
      <w:tr w:rsidR="00B4328B" w:rsidRPr="000E50F1" w14:paraId="6211D70B" w14:textId="77777777" w:rsidTr="00E97BDA">
        <w:trPr>
          <w:trHeight w:val="21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uto"/>
            </w:tcBorders>
          </w:tcPr>
          <w:p w14:paraId="191F24C3" w14:textId="77777777" w:rsidR="005E5757" w:rsidRPr="000E50F1" w:rsidRDefault="005E5757" w:rsidP="005E5757">
            <w:pPr>
              <w:spacing w:line="276" w:lineRule="auto"/>
              <w:ind w:right="4"/>
              <w:contextualSpacing/>
              <w:rPr>
                <w:rFonts w:ascii="Calibri" w:hAnsi="Calibri"/>
                <w:b w:val="0"/>
                <w:bCs w:val="0"/>
                <w:sz w:val="22"/>
                <w:szCs w:val="22"/>
                <w:lang w:val="en-US"/>
              </w:rPr>
            </w:pPr>
            <w:r w:rsidRPr="000E50F1">
              <w:rPr>
                <w:rFonts w:ascii="Calibri" w:hAnsi="Calibri"/>
                <w:b w:val="0"/>
                <w:bCs w:val="0"/>
                <w:sz w:val="22"/>
                <w:szCs w:val="22"/>
                <w:lang w:val="en-US"/>
              </w:rPr>
              <w:t xml:space="preserve">Total </w:t>
            </w:r>
          </w:p>
        </w:tc>
        <w:tc>
          <w:tcPr>
            <w:tcW w:w="1261" w:type="pct"/>
            <w:tcBorders>
              <w:top w:val="single" w:sz="4" w:space="0" w:color="auto"/>
            </w:tcBorders>
          </w:tcPr>
          <w:p w14:paraId="5AD20CD4" w14:textId="77777777" w:rsidR="005E5757" w:rsidRPr="000E50F1" w:rsidRDefault="005E5757" w:rsidP="005E5757">
            <w:pPr>
              <w:spacing w:line="276" w:lineRule="auto"/>
              <w:ind w:right="4"/>
              <w:contextualSpacing/>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 xml:space="preserve">279,200 </w:t>
            </w:r>
          </w:p>
        </w:tc>
        <w:tc>
          <w:tcPr>
            <w:tcW w:w="1260" w:type="pct"/>
            <w:tcBorders>
              <w:top w:val="single" w:sz="4" w:space="0" w:color="auto"/>
            </w:tcBorders>
          </w:tcPr>
          <w:p w14:paraId="4742FF80" w14:textId="77777777" w:rsidR="005E5757" w:rsidRPr="000E50F1" w:rsidRDefault="005E5757" w:rsidP="005E5757">
            <w:pPr>
              <w:spacing w:line="276" w:lineRule="auto"/>
              <w:ind w:right="4"/>
              <w:contextualSpacing/>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300,000</w:t>
            </w:r>
          </w:p>
        </w:tc>
        <w:tc>
          <w:tcPr>
            <w:tcW w:w="1201" w:type="pct"/>
            <w:tcBorders>
              <w:top w:val="single" w:sz="4" w:space="0" w:color="auto"/>
            </w:tcBorders>
          </w:tcPr>
          <w:p w14:paraId="7050AD36" w14:textId="77777777" w:rsidR="005E5757" w:rsidRPr="000E50F1" w:rsidRDefault="005E5757" w:rsidP="005E5757">
            <w:pPr>
              <w:spacing w:line="276" w:lineRule="auto"/>
              <w:ind w:right="4"/>
              <w:contextualSpacing/>
              <w:cnfStyle w:val="000000000000" w:firstRow="0" w:lastRow="0" w:firstColumn="0" w:lastColumn="0" w:oddVBand="0" w:evenVBand="0" w:oddHBand="0" w:evenHBand="0" w:firstRowFirstColumn="0" w:firstRowLastColumn="0" w:lastRowFirstColumn="0" w:lastRowLastColumn="0"/>
              <w:rPr>
                <w:rFonts w:ascii="Calibri" w:hAnsi="Calibri"/>
                <w:bCs/>
                <w:sz w:val="22"/>
                <w:szCs w:val="22"/>
                <w:lang w:val="en-US"/>
              </w:rPr>
            </w:pPr>
            <w:r w:rsidRPr="000E50F1">
              <w:rPr>
                <w:rFonts w:ascii="Calibri" w:hAnsi="Calibri"/>
                <w:bCs/>
                <w:sz w:val="22"/>
                <w:szCs w:val="22"/>
                <w:lang w:val="en-US"/>
              </w:rPr>
              <w:t>300,000</w:t>
            </w:r>
          </w:p>
        </w:tc>
      </w:tr>
    </w:tbl>
    <w:p w14:paraId="1D5A3B70" w14:textId="77777777" w:rsidR="00AD580B" w:rsidRPr="000E50F1" w:rsidRDefault="00AD580B" w:rsidP="00AD580B">
      <w:pPr>
        <w:pStyle w:val="Caption"/>
        <w:spacing w:after="0"/>
        <w:ind w:left="567" w:hanging="567"/>
        <w:rPr>
          <w:rFonts w:ascii="Times" w:hAnsi="Times"/>
          <w:sz w:val="24"/>
          <w:szCs w:val="24"/>
        </w:rPr>
      </w:pPr>
    </w:p>
    <w:p w14:paraId="782032C4" w14:textId="38BDAEF4" w:rsidR="00D82D38" w:rsidRPr="000E50F1" w:rsidRDefault="0049719E" w:rsidP="0049719E">
      <w:pPr>
        <w:pStyle w:val="Caption"/>
        <w:ind w:left="567" w:hanging="567"/>
        <w:rPr>
          <w:rFonts w:ascii="Times" w:eastAsia="Calibri" w:hAnsi="Times"/>
          <w:bCs/>
          <w:sz w:val="24"/>
          <w:szCs w:val="24"/>
          <w:lang w:val="en-US"/>
        </w:rPr>
      </w:pPr>
      <w:bookmarkStart w:id="19" w:name="_Toc54510703"/>
      <w:r w:rsidRPr="000E50F1">
        <w:rPr>
          <w:rFonts w:ascii="Times" w:hAnsi="Times"/>
          <w:i/>
          <w:iCs w:val="0"/>
          <w:sz w:val="24"/>
          <w:szCs w:val="24"/>
        </w:rPr>
        <w:t xml:space="preserve">Table </w:t>
      </w:r>
      <w:r w:rsidRPr="000E50F1">
        <w:rPr>
          <w:rFonts w:ascii="Times" w:hAnsi="Times"/>
          <w:i/>
          <w:iCs w:val="0"/>
          <w:sz w:val="24"/>
          <w:szCs w:val="24"/>
        </w:rPr>
        <w:fldChar w:fldCharType="begin"/>
      </w:r>
      <w:r w:rsidRPr="000E50F1">
        <w:rPr>
          <w:rFonts w:ascii="Times" w:hAnsi="Times"/>
          <w:i/>
          <w:iCs w:val="0"/>
          <w:sz w:val="24"/>
          <w:szCs w:val="24"/>
        </w:rPr>
        <w:instrText xml:space="preserve"> SEQ Table \* ARABIC </w:instrText>
      </w:r>
      <w:r w:rsidRPr="000E50F1">
        <w:rPr>
          <w:rFonts w:ascii="Times" w:hAnsi="Times"/>
          <w:i/>
          <w:iCs w:val="0"/>
          <w:sz w:val="24"/>
          <w:szCs w:val="24"/>
        </w:rPr>
        <w:fldChar w:fldCharType="separate"/>
      </w:r>
      <w:r w:rsidR="003B1B28" w:rsidRPr="000E50F1">
        <w:rPr>
          <w:rFonts w:ascii="Times" w:hAnsi="Times"/>
          <w:i/>
          <w:iCs w:val="0"/>
          <w:noProof/>
          <w:sz w:val="24"/>
          <w:szCs w:val="24"/>
        </w:rPr>
        <w:t>2</w:t>
      </w:r>
      <w:r w:rsidRPr="000E50F1">
        <w:rPr>
          <w:rFonts w:ascii="Times" w:hAnsi="Times"/>
          <w:i/>
          <w:iCs w:val="0"/>
          <w:sz w:val="24"/>
          <w:szCs w:val="24"/>
        </w:rPr>
        <w:fldChar w:fldCharType="end"/>
      </w:r>
      <w:r w:rsidR="009575BD" w:rsidRPr="000E50F1">
        <w:rPr>
          <w:rFonts w:ascii="Times" w:eastAsia="Calibri" w:hAnsi="Times"/>
          <w:bCs/>
          <w:i/>
          <w:iCs w:val="0"/>
          <w:sz w:val="24"/>
          <w:szCs w:val="24"/>
          <w:lang w:val="en-US"/>
        </w:rPr>
        <w:t>.</w:t>
      </w:r>
      <w:r w:rsidR="009575BD" w:rsidRPr="000E50F1">
        <w:rPr>
          <w:rFonts w:ascii="Times" w:eastAsia="Calibri" w:hAnsi="Times"/>
          <w:bCs/>
          <w:sz w:val="24"/>
          <w:szCs w:val="24"/>
          <w:lang w:val="en-US"/>
        </w:rPr>
        <w:t> </w:t>
      </w:r>
      <w:r w:rsidR="00D82D38" w:rsidRPr="000E50F1">
        <w:rPr>
          <w:rFonts w:ascii="Times" w:hAnsi="Times"/>
          <w:sz w:val="24"/>
          <w:szCs w:val="24"/>
        </w:rPr>
        <w:t>Canada’s 2015–2017 levels plan. Data for 2015 and 2016 levels plan from IRCC (2016e) and 2017 levels plan from IRCC (2016f)</w:t>
      </w:r>
      <w:bookmarkEnd w:id="19"/>
      <w:r w:rsidR="00D82D38" w:rsidRPr="000E50F1">
        <w:rPr>
          <w:rFonts w:ascii="Times" w:hAnsi="Times"/>
          <w:sz w:val="24"/>
          <w:szCs w:val="24"/>
        </w:rPr>
        <w:t xml:space="preserve"> </w:t>
      </w:r>
    </w:p>
    <w:p w14:paraId="30A8A200" w14:textId="77777777" w:rsidR="00366C94" w:rsidRPr="000E50F1" w:rsidRDefault="00366C94" w:rsidP="009575BD">
      <w:pPr>
        <w:rPr>
          <w:rFonts w:ascii="Times" w:eastAsia="Calibri" w:hAnsi="Times"/>
          <w:b/>
        </w:rPr>
      </w:pPr>
    </w:p>
    <w:tbl>
      <w:tblPr>
        <w:tblStyle w:val="PlainTable1"/>
        <w:tblW w:w="5000" w:type="pct"/>
        <w:tblBorders>
          <w:top w:val="none" w:sz="0" w:space="0" w:color="auto"/>
          <w:left w:val="none" w:sz="0" w:space="0" w:color="auto"/>
          <w:bottom w:val="none" w:sz="0" w:space="0" w:color="auto"/>
          <w:right w:val="none" w:sz="0" w:space="0" w:color="auto"/>
        </w:tblBorders>
        <w:shd w:val="clear" w:color="auto" w:fill="F2F2F2" w:themeFill="background1" w:themeFillShade="F2"/>
        <w:tblLook w:val="04A0" w:firstRow="1" w:lastRow="0" w:firstColumn="1" w:lastColumn="0" w:noHBand="0" w:noVBand="1"/>
      </w:tblPr>
      <w:tblGrid>
        <w:gridCol w:w="999"/>
        <w:gridCol w:w="1997"/>
        <w:gridCol w:w="1567"/>
        <w:gridCol w:w="1986"/>
        <w:gridCol w:w="1381"/>
      </w:tblGrid>
      <w:tr w:rsidR="00B4328B" w:rsidRPr="000E50F1" w14:paraId="10230912" w14:textId="77777777" w:rsidTr="00E97BDA">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30" w:type="pct"/>
            <w:tcBorders>
              <w:bottom w:val="single" w:sz="4" w:space="0" w:color="auto"/>
            </w:tcBorders>
            <w:shd w:val="clear" w:color="auto" w:fill="F2F2F2" w:themeFill="background1" w:themeFillShade="F2"/>
          </w:tcPr>
          <w:p w14:paraId="02B7E4C8" w14:textId="77777777" w:rsidR="005E5757" w:rsidRPr="000E50F1" w:rsidRDefault="005E5757" w:rsidP="005E5757">
            <w:pPr>
              <w:rPr>
                <w:rFonts w:asciiTheme="minorHAnsi" w:eastAsia="Calibri" w:hAnsiTheme="minorHAnsi"/>
                <w:sz w:val="22"/>
                <w:szCs w:val="22"/>
                <w:lang w:val="en-US"/>
              </w:rPr>
            </w:pPr>
            <w:r w:rsidRPr="000E50F1">
              <w:rPr>
                <w:rFonts w:asciiTheme="minorHAnsi" w:eastAsia="Calibri" w:hAnsiTheme="minorHAnsi"/>
                <w:sz w:val="22"/>
                <w:szCs w:val="22"/>
                <w:lang w:val="en-US"/>
              </w:rPr>
              <w:t>2015</w:t>
            </w:r>
          </w:p>
        </w:tc>
        <w:tc>
          <w:tcPr>
            <w:tcW w:w="1259" w:type="pct"/>
            <w:tcBorders>
              <w:bottom w:val="single" w:sz="4" w:space="0" w:color="auto"/>
            </w:tcBorders>
            <w:shd w:val="clear" w:color="auto" w:fill="F2F2F2" w:themeFill="background1" w:themeFillShade="F2"/>
          </w:tcPr>
          <w:p w14:paraId="63D087A0" w14:textId="77777777" w:rsidR="005E5757" w:rsidRPr="000E50F1" w:rsidRDefault="005E5757" w:rsidP="005E5757">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Targets</w:t>
            </w:r>
          </w:p>
        </w:tc>
        <w:tc>
          <w:tcPr>
            <w:tcW w:w="988" w:type="pct"/>
            <w:tcBorders>
              <w:bottom w:val="single" w:sz="4" w:space="0" w:color="auto"/>
            </w:tcBorders>
            <w:shd w:val="clear" w:color="auto" w:fill="F2F2F2" w:themeFill="background1" w:themeFillShade="F2"/>
          </w:tcPr>
          <w:p w14:paraId="51EFE897" w14:textId="77777777" w:rsidR="005E5757" w:rsidRPr="000E50F1" w:rsidRDefault="005E5757" w:rsidP="005E5757">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Total ITA</w:t>
            </w:r>
          </w:p>
        </w:tc>
        <w:tc>
          <w:tcPr>
            <w:tcW w:w="1252" w:type="pct"/>
            <w:tcBorders>
              <w:bottom w:val="single" w:sz="4" w:space="0" w:color="auto"/>
            </w:tcBorders>
            <w:shd w:val="clear" w:color="auto" w:fill="F2F2F2" w:themeFill="background1" w:themeFillShade="F2"/>
          </w:tcPr>
          <w:p w14:paraId="7BBAC3D1" w14:textId="77777777" w:rsidR="005E5757" w:rsidRPr="000E50F1" w:rsidRDefault="005E5757" w:rsidP="005E5757">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Total PR under EE</w:t>
            </w:r>
          </w:p>
        </w:tc>
        <w:tc>
          <w:tcPr>
            <w:tcW w:w="871" w:type="pct"/>
            <w:tcBorders>
              <w:bottom w:val="single" w:sz="4" w:space="0" w:color="auto"/>
            </w:tcBorders>
            <w:shd w:val="clear" w:color="auto" w:fill="F2F2F2" w:themeFill="background1" w:themeFillShade="F2"/>
          </w:tcPr>
          <w:p w14:paraId="46F71665" w14:textId="77777777" w:rsidR="005E5757" w:rsidRPr="000E50F1" w:rsidRDefault="005E5757" w:rsidP="005E5757">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Total PR</w:t>
            </w:r>
            <w:r w:rsidRPr="000E50F1">
              <w:rPr>
                <w:rFonts w:asciiTheme="minorHAnsi" w:eastAsia="Calibri" w:hAnsiTheme="minorHAnsi"/>
                <w:sz w:val="22"/>
                <w:szCs w:val="22"/>
                <w:vertAlign w:val="superscript"/>
                <w:lang w:val="en-US"/>
              </w:rPr>
              <w:footnoteReference w:id="5"/>
            </w:r>
          </w:p>
        </w:tc>
      </w:tr>
      <w:tr w:rsidR="00B4328B" w:rsidRPr="000E50F1" w14:paraId="55BA7146" w14:textId="77777777" w:rsidTr="00E97BD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630" w:type="pct"/>
            <w:tcBorders>
              <w:top w:val="single" w:sz="4" w:space="0" w:color="auto"/>
            </w:tcBorders>
            <w:shd w:val="clear" w:color="auto" w:fill="auto"/>
          </w:tcPr>
          <w:p w14:paraId="2B1FABFE" w14:textId="77777777" w:rsidR="005E5757" w:rsidRPr="000E50F1" w:rsidRDefault="005E5757" w:rsidP="005E5757">
            <w:pPr>
              <w:rPr>
                <w:rFonts w:asciiTheme="minorHAnsi" w:eastAsia="Calibri" w:hAnsiTheme="minorHAnsi"/>
                <w:sz w:val="22"/>
                <w:szCs w:val="22"/>
                <w:lang w:val="en-US"/>
              </w:rPr>
            </w:pPr>
            <w:r w:rsidRPr="000E50F1">
              <w:rPr>
                <w:rFonts w:asciiTheme="minorHAnsi" w:eastAsia="Calibri" w:hAnsiTheme="minorHAnsi"/>
                <w:sz w:val="22"/>
                <w:szCs w:val="22"/>
                <w:lang w:val="en-US"/>
              </w:rPr>
              <w:t>FSW</w:t>
            </w:r>
          </w:p>
        </w:tc>
        <w:tc>
          <w:tcPr>
            <w:tcW w:w="1259" w:type="pct"/>
            <w:tcBorders>
              <w:top w:val="single" w:sz="4" w:space="0" w:color="auto"/>
            </w:tcBorders>
            <w:shd w:val="clear" w:color="auto" w:fill="auto"/>
          </w:tcPr>
          <w:p w14:paraId="7915E871"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51,000 (incl. FST)</w:t>
            </w:r>
          </w:p>
        </w:tc>
        <w:tc>
          <w:tcPr>
            <w:tcW w:w="988" w:type="pct"/>
            <w:tcBorders>
              <w:top w:val="single" w:sz="4" w:space="0" w:color="auto"/>
            </w:tcBorders>
            <w:shd w:val="clear" w:color="auto" w:fill="auto"/>
          </w:tcPr>
          <w:p w14:paraId="58832798"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13,214</w:t>
            </w:r>
          </w:p>
        </w:tc>
        <w:tc>
          <w:tcPr>
            <w:tcW w:w="1252" w:type="pct"/>
            <w:tcBorders>
              <w:top w:val="single" w:sz="4" w:space="0" w:color="auto"/>
            </w:tcBorders>
            <w:shd w:val="clear" w:color="auto" w:fill="auto"/>
          </w:tcPr>
          <w:p w14:paraId="3A92C577"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1640</w:t>
            </w:r>
          </w:p>
        </w:tc>
        <w:tc>
          <w:tcPr>
            <w:tcW w:w="871" w:type="pct"/>
            <w:tcBorders>
              <w:top w:val="single" w:sz="4" w:space="0" w:color="auto"/>
            </w:tcBorders>
            <w:shd w:val="clear" w:color="auto" w:fill="auto"/>
          </w:tcPr>
          <w:p w14:paraId="2BAE3881"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30,432</w:t>
            </w:r>
          </w:p>
        </w:tc>
      </w:tr>
      <w:tr w:rsidR="00B4328B" w:rsidRPr="000E50F1" w14:paraId="061E2ADC" w14:textId="77777777" w:rsidTr="00C6380B">
        <w:trPr>
          <w:trHeight w:val="278"/>
        </w:trPr>
        <w:tc>
          <w:tcPr>
            <w:cnfStyle w:val="001000000000" w:firstRow="0" w:lastRow="0" w:firstColumn="1" w:lastColumn="0" w:oddVBand="0" w:evenVBand="0" w:oddHBand="0" w:evenHBand="0" w:firstRowFirstColumn="0" w:firstRowLastColumn="0" w:lastRowFirstColumn="0" w:lastRowLastColumn="0"/>
            <w:tcW w:w="630" w:type="pct"/>
            <w:shd w:val="clear" w:color="auto" w:fill="F2F2F2" w:themeFill="background1" w:themeFillShade="F2"/>
          </w:tcPr>
          <w:p w14:paraId="6C985E0C" w14:textId="77777777" w:rsidR="005E5757" w:rsidRPr="000E50F1" w:rsidRDefault="005E5757" w:rsidP="005E5757">
            <w:pPr>
              <w:rPr>
                <w:rFonts w:asciiTheme="minorHAnsi" w:eastAsia="Calibri" w:hAnsiTheme="minorHAnsi"/>
                <w:sz w:val="22"/>
                <w:szCs w:val="22"/>
                <w:lang w:val="en-US"/>
              </w:rPr>
            </w:pPr>
            <w:r w:rsidRPr="000E50F1">
              <w:rPr>
                <w:rFonts w:asciiTheme="minorHAnsi" w:eastAsia="Calibri" w:hAnsiTheme="minorHAnsi"/>
                <w:sz w:val="22"/>
                <w:szCs w:val="22"/>
                <w:lang w:val="en-US"/>
              </w:rPr>
              <w:t>FST</w:t>
            </w:r>
          </w:p>
        </w:tc>
        <w:tc>
          <w:tcPr>
            <w:tcW w:w="1259" w:type="pct"/>
            <w:shd w:val="clear" w:color="auto" w:fill="F2F2F2" w:themeFill="background1" w:themeFillShade="F2"/>
          </w:tcPr>
          <w:p w14:paraId="2C5CE779" w14:textId="06A3F9D7" w:rsidR="005E5757" w:rsidRPr="000E50F1" w:rsidRDefault="005E5757" w:rsidP="005E575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w:t>
            </w:r>
            <w:r w:rsidR="00366C94" w:rsidRPr="000E50F1">
              <w:rPr>
                <w:rFonts w:asciiTheme="minorHAnsi" w:eastAsia="Calibri" w:hAnsiTheme="minorHAnsi"/>
                <w:sz w:val="22"/>
                <w:szCs w:val="22"/>
                <w:lang w:val="en-US"/>
              </w:rPr>
              <w:t>-</w:t>
            </w:r>
          </w:p>
        </w:tc>
        <w:tc>
          <w:tcPr>
            <w:tcW w:w="988" w:type="pct"/>
            <w:shd w:val="clear" w:color="auto" w:fill="F2F2F2" w:themeFill="background1" w:themeFillShade="F2"/>
          </w:tcPr>
          <w:p w14:paraId="0328E334" w14:textId="77777777" w:rsidR="005E5757" w:rsidRPr="000E50F1" w:rsidRDefault="005E5757" w:rsidP="005E575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2,516</w:t>
            </w:r>
          </w:p>
        </w:tc>
        <w:tc>
          <w:tcPr>
            <w:tcW w:w="1252" w:type="pct"/>
            <w:shd w:val="clear" w:color="auto" w:fill="F2F2F2" w:themeFill="background1" w:themeFillShade="F2"/>
          </w:tcPr>
          <w:p w14:paraId="52A0F7FD" w14:textId="77777777" w:rsidR="005E5757" w:rsidRPr="000E50F1" w:rsidRDefault="005E5757" w:rsidP="005E575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1785</w:t>
            </w:r>
          </w:p>
        </w:tc>
        <w:tc>
          <w:tcPr>
            <w:tcW w:w="871" w:type="pct"/>
            <w:shd w:val="clear" w:color="auto" w:fill="F2F2F2" w:themeFill="background1" w:themeFillShade="F2"/>
          </w:tcPr>
          <w:p w14:paraId="0456844D" w14:textId="77777777" w:rsidR="005E5757" w:rsidRPr="000E50F1" w:rsidRDefault="005E5757" w:rsidP="005E575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971</w:t>
            </w:r>
          </w:p>
        </w:tc>
      </w:tr>
      <w:tr w:rsidR="00B4328B" w:rsidRPr="000E50F1" w14:paraId="52903EE2" w14:textId="77777777" w:rsidTr="00C63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shd w:val="clear" w:color="auto" w:fill="auto"/>
          </w:tcPr>
          <w:p w14:paraId="4E5EE5D4" w14:textId="77777777" w:rsidR="005E5757" w:rsidRPr="000E50F1" w:rsidRDefault="005E5757" w:rsidP="005E5757">
            <w:pPr>
              <w:rPr>
                <w:rFonts w:asciiTheme="minorHAnsi" w:eastAsia="Calibri" w:hAnsiTheme="minorHAnsi"/>
                <w:sz w:val="22"/>
                <w:szCs w:val="22"/>
                <w:lang w:val="en-US"/>
              </w:rPr>
            </w:pPr>
            <w:r w:rsidRPr="000E50F1">
              <w:rPr>
                <w:rFonts w:asciiTheme="minorHAnsi" w:eastAsia="Calibri" w:hAnsiTheme="minorHAnsi"/>
                <w:sz w:val="22"/>
                <w:szCs w:val="22"/>
                <w:lang w:val="en-US"/>
              </w:rPr>
              <w:t>CEC</w:t>
            </w:r>
          </w:p>
        </w:tc>
        <w:tc>
          <w:tcPr>
            <w:tcW w:w="1259" w:type="pct"/>
            <w:shd w:val="clear" w:color="auto" w:fill="auto"/>
          </w:tcPr>
          <w:p w14:paraId="29A3E0CA"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23,000</w:t>
            </w:r>
          </w:p>
        </w:tc>
        <w:tc>
          <w:tcPr>
            <w:tcW w:w="988" w:type="pct"/>
            <w:shd w:val="clear" w:color="auto" w:fill="auto"/>
          </w:tcPr>
          <w:p w14:paraId="0EF37902"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11,228</w:t>
            </w:r>
          </w:p>
        </w:tc>
        <w:tc>
          <w:tcPr>
            <w:tcW w:w="1252" w:type="pct"/>
            <w:shd w:val="clear" w:color="auto" w:fill="auto"/>
          </w:tcPr>
          <w:p w14:paraId="2D75EA1D"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5925</w:t>
            </w:r>
          </w:p>
        </w:tc>
        <w:tc>
          <w:tcPr>
            <w:tcW w:w="871" w:type="pct"/>
            <w:shd w:val="clear" w:color="auto" w:fill="auto"/>
          </w:tcPr>
          <w:p w14:paraId="1FA330B4"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11,251</w:t>
            </w:r>
          </w:p>
        </w:tc>
      </w:tr>
      <w:tr w:rsidR="00B4328B" w:rsidRPr="000E50F1" w14:paraId="2E346660" w14:textId="77777777" w:rsidTr="00E97BDA">
        <w:trPr>
          <w:trHeight w:val="180"/>
        </w:trPr>
        <w:tc>
          <w:tcPr>
            <w:cnfStyle w:val="001000000000" w:firstRow="0" w:lastRow="0" w:firstColumn="1" w:lastColumn="0" w:oddVBand="0" w:evenVBand="0" w:oddHBand="0" w:evenHBand="0" w:firstRowFirstColumn="0" w:firstRowLastColumn="0" w:lastRowFirstColumn="0" w:lastRowLastColumn="0"/>
            <w:tcW w:w="630" w:type="pct"/>
            <w:tcBorders>
              <w:bottom w:val="single" w:sz="4" w:space="0" w:color="auto"/>
            </w:tcBorders>
            <w:shd w:val="clear" w:color="auto" w:fill="F2F2F2" w:themeFill="background1" w:themeFillShade="F2"/>
          </w:tcPr>
          <w:p w14:paraId="02C9479C" w14:textId="77777777" w:rsidR="005E5757" w:rsidRPr="000E50F1" w:rsidRDefault="005E5757" w:rsidP="005E5757">
            <w:pPr>
              <w:rPr>
                <w:rFonts w:asciiTheme="minorHAnsi" w:eastAsia="Calibri" w:hAnsiTheme="minorHAnsi"/>
                <w:sz w:val="22"/>
                <w:szCs w:val="22"/>
                <w:lang w:val="en-US"/>
              </w:rPr>
            </w:pPr>
            <w:r w:rsidRPr="000E50F1">
              <w:rPr>
                <w:rFonts w:asciiTheme="minorHAnsi" w:eastAsia="Calibri" w:hAnsiTheme="minorHAnsi"/>
                <w:sz w:val="22"/>
                <w:szCs w:val="22"/>
                <w:lang w:val="en-US"/>
              </w:rPr>
              <w:t>PNP</w:t>
            </w:r>
          </w:p>
        </w:tc>
        <w:tc>
          <w:tcPr>
            <w:tcW w:w="1259" w:type="pct"/>
            <w:tcBorders>
              <w:bottom w:val="single" w:sz="4" w:space="0" w:color="auto"/>
            </w:tcBorders>
            <w:shd w:val="clear" w:color="auto" w:fill="F2F2F2" w:themeFill="background1" w:themeFillShade="F2"/>
          </w:tcPr>
          <w:p w14:paraId="7ECCE789" w14:textId="77777777" w:rsidR="005E5757" w:rsidRPr="000E50F1" w:rsidRDefault="005E5757" w:rsidP="005E575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48,000</w:t>
            </w:r>
          </w:p>
        </w:tc>
        <w:tc>
          <w:tcPr>
            <w:tcW w:w="988" w:type="pct"/>
            <w:tcBorders>
              <w:bottom w:val="single" w:sz="4" w:space="0" w:color="auto"/>
            </w:tcBorders>
            <w:shd w:val="clear" w:color="auto" w:fill="F2F2F2" w:themeFill="background1" w:themeFillShade="F2"/>
          </w:tcPr>
          <w:p w14:paraId="15DB77FF" w14:textId="77777777" w:rsidR="005E5757" w:rsidRPr="000E50F1" w:rsidRDefault="005E5757" w:rsidP="005E575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4,105</w:t>
            </w:r>
          </w:p>
        </w:tc>
        <w:tc>
          <w:tcPr>
            <w:tcW w:w="1252" w:type="pct"/>
            <w:tcBorders>
              <w:bottom w:val="single" w:sz="4" w:space="0" w:color="auto"/>
            </w:tcBorders>
            <w:shd w:val="clear" w:color="auto" w:fill="F2F2F2" w:themeFill="background1" w:themeFillShade="F2"/>
          </w:tcPr>
          <w:p w14:paraId="1F973A8B" w14:textId="77777777" w:rsidR="005E5757" w:rsidRPr="000E50F1" w:rsidRDefault="005E5757" w:rsidP="005E575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140</w:t>
            </w:r>
          </w:p>
        </w:tc>
        <w:tc>
          <w:tcPr>
            <w:tcW w:w="871" w:type="pct"/>
            <w:tcBorders>
              <w:bottom w:val="single" w:sz="4" w:space="0" w:color="auto"/>
            </w:tcBorders>
            <w:shd w:val="clear" w:color="auto" w:fill="F2F2F2" w:themeFill="background1" w:themeFillShade="F2"/>
          </w:tcPr>
          <w:p w14:paraId="07ADB639" w14:textId="77777777" w:rsidR="005E5757" w:rsidRPr="000E50F1" w:rsidRDefault="005E5757" w:rsidP="005E575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20,929</w:t>
            </w:r>
          </w:p>
        </w:tc>
      </w:tr>
      <w:tr w:rsidR="00B4328B" w:rsidRPr="000E50F1" w14:paraId="75474DFD" w14:textId="77777777" w:rsidTr="00E97BD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630" w:type="pct"/>
            <w:tcBorders>
              <w:top w:val="single" w:sz="4" w:space="0" w:color="auto"/>
            </w:tcBorders>
            <w:shd w:val="clear" w:color="auto" w:fill="auto"/>
          </w:tcPr>
          <w:p w14:paraId="2B483729" w14:textId="77777777" w:rsidR="005E5757" w:rsidRPr="000E50F1" w:rsidRDefault="005E5757" w:rsidP="005E5757">
            <w:pPr>
              <w:rPr>
                <w:rFonts w:asciiTheme="minorHAnsi" w:eastAsia="Calibri" w:hAnsiTheme="minorHAnsi"/>
                <w:sz w:val="22"/>
                <w:szCs w:val="22"/>
                <w:lang w:val="en-US"/>
              </w:rPr>
            </w:pPr>
            <w:r w:rsidRPr="000E50F1">
              <w:rPr>
                <w:rFonts w:asciiTheme="minorHAnsi" w:eastAsia="Calibri" w:hAnsiTheme="minorHAnsi"/>
                <w:sz w:val="22"/>
                <w:szCs w:val="22"/>
                <w:lang w:val="en-US"/>
              </w:rPr>
              <w:t>Total</w:t>
            </w:r>
          </w:p>
        </w:tc>
        <w:tc>
          <w:tcPr>
            <w:tcW w:w="1259" w:type="pct"/>
            <w:tcBorders>
              <w:top w:val="single" w:sz="4" w:space="0" w:color="auto"/>
            </w:tcBorders>
            <w:shd w:val="clear" w:color="auto" w:fill="auto"/>
          </w:tcPr>
          <w:p w14:paraId="0C78E1E9"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122,000</w:t>
            </w:r>
          </w:p>
        </w:tc>
        <w:tc>
          <w:tcPr>
            <w:tcW w:w="988" w:type="pct"/>
            <w:tcBorders>
              <w:top w:val="single" w:sz="4" w:space="0" w:color="auto"/>
            </w:tcBorders>
            <w:shd w:val="clear" w:color="auto" w:fill="auto"/>
          </w:tcPr>
          <w:p w14:paraId="147F5C19"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31,062</w:t>
            </w:r>
          </w:p>
        </w:tc>
        <w:tc>
          <w:tcPr>
            <w:tcW w:w="1252" w:type="pct"/>
            <w:tcBorders>
              <w:top w:val="single" w:sz="4" w:space="0" w:color="auto"/>
            </w:tcBorders>
            <w:shd w:val="clear" w:color="auto" w:fill="auto"/>
          </w:tcPr>
          <w:p w14:paraId="74FCE440"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9,515</w:t>
            </w:r>
            <w:r w:rsidRPr="000E50F1">
              <w:rPr>
                <w:rFonts w:asciiTheme="minorHAnsi" w:eastAsia="Calibri" w:hAnsiTheme="minorHAnsi"/>
                <w:sz w:val="22"/>
                <w:szCs w:val="22"/>
                <w:vertAlign w:val="superscript"/>
                <w:lang w:val="en-US"/>
              </w:rPr>
              <w:footnoteReference w:id="6"/>
            </w:r>
          </w:p>
        </w:tc>
        <w:tc>
          <w:tcPr>
            <w:tcW w:w="871" w:type="pct"/>
            <w:tcBorders>
              <w:top w:val="single" w:sz="4" w:space="0" w:color="auto"/>
            </w:tcBorders>
            <w:shd w:val="clear" w:color="auto" w:fill="auto"/>
          </w:tcPr>
          <w:p w14:paraId="24CD5BCB" w14:textId="77777777" w:rsidR="005E5757" w:rsidRPr="000E50F1" w:rsidRDefault="005E5757" w:rsidP="005E575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lang w:val="en-US"/>
              </w:rPr>
            </w:pPr>
            <w:r w:rsidRPr="000E50F1">
              <w:rPr>
                <w:rFonts w:asciiTheme="minorHAnsi" w:eastAsia="Calibri" w:hAnsiTheme="minorHAnsi"/>
                <w:sz w:val="22"/>
                <w:szCs w:val="22"/>
                <w:lang w:val="en-US"/>
              </w:rPr>
              <w:t>63,583</w:t>
            </w:r>
          </w:p>
        </w:tc>
      </w:tr>
    </w:tbl>
    <w:p w14:paraId="16185D3C" w14:textId="6F426A61" w:rsidR="009575BD" w:rsidRPr="000E50F1" w:rsidRDefault="009575BD" w:rsidP="009575BD">
      <w:pPr>
        <w:rPr>
          <w:rFonts w:ascii="Times" w:eastAsia="Calibri" w:hAnsi="Times"/>
          <w:bCs/>
          <w:i/>
          <w:iCs/>
          <w:lang w:val="en-US"/>
        </w:rPr>
      </w:pPr>
    </w:p>
    <w:p w14:paraId="634922EE" w14:textId="4D074557" w:rsidR="003776C7" w:rsidRPr="000E50F1" w:rsidRDefault="0049719E" w:rsidP="0049719E">
      <w:pPr>
        <w:pStyle w:val="Caption"/>
        <w:ind w:left="567" w:hanging="567"/>
        <w:rPr>
          <w:rFonts w:ascii="Times" w:eastAsia="Calibri" w:hAnsi="Times"/>
          <w:bCs/>
          <w:sz w:val="24"/>
          <w:szCs w:val="24"/>
          <w:lang w:val="en-US"/>
        </w:rPr>
      </w:pPr>
      <w:bookmarkStart w:id="20" w:name="_Toc54510704"/>
      <w:r w:rsidRPr="000E50F1">
        <w:rPr>
          <w:rFonts w:ascii="Times" w:hAnsi="Times"/>
          <w:i/>
          <w:iCs w:val="0"/>
          <w:sz w:val="24"/>
          <w:szCs w:val="24"/>
        </w:rPr>
        <w:t xml:space="preserve">Table </w:t>
      </w:r>
      <w:r w:rsidRPr="000E50F1">
        <w:rPr>
          <w:rFonts w:ascii="Times" w:hAnsi="Times"/>
          <w:i/>
          <w:iCs w:val="0"/>
          <w:sz w:val="24"/>
          <w:szCs w:val="24"/>
        </w:rPr>
        <w:fldChar w:fldCharType="begin"/>
      </w:r>
      <w:r w:rsidRPr="000E50F1">
        <w:rPr>
          <w:rFonts w:ascii="Times" w:hAnsi="Times"/>
          <w:i/>
          <w:iCs w:val="0"/>
          <w:sz w:val="24"/>
          <w:szCs w:val="24"/>
        </w:rPr>
        <w:instrText xml:space="preserve"> SEQ Table \* ARABIC </w:instrText>
      </w:r>
      <w:r w:rsidRPr="000E50F1">
        <w:rPr>
          <w:rFonts w:ascii="Times" w:hAnsi="Times"/>
          <w:i/>
          <w:iCs w:val="0"/>
          <w:sz w:val="24"/>
          <w:szCs w:val="24"/>
        </w:rPr>
        <w:fldChar w:fldCharType="separate"/>
      </w:r>
      <w:r w:rsidR="003B1B28" w:rsidRPr="000E50F1">
        <w:rPr>
          <w:rFonts w:ascii="Times" w:hAnsi="Times"/>
          <w:i/>
          <w:iCs w:val="0"/>
          <w:noProof/>
          <w:sz w:val="24"/>
          <w:szCs w:val="24"/>
        </w:rPr>
        <w:t>3</w:t>
      </w:r>
      <w:r w:rsidRPr="000E50F1">
        <w:rPr>
          <w:rFonts w:ascii="Times" w:hAnsi="Times"/>
          <w:i/>
          <w:iCs w:val="0"/>
          <w:sz w:val="24"/>
          <w:szCs w:val="24"/>
        </w:rPr>
        <w:fldChar w:fldCharType="end"/>
      </w:r>
      <w:r w:rsidR="00FF6ABC" w:rsidRPr="000E50F1">
        <w:rPr>
          <w:rFonts w:ascii="Times" w:hAnsi="Times"/>
          <w:i/>
          <w:iCs w:val="0"/>
          <w:sz w:val="24"/>
          <w:szCs w:val="24"/>
        </w:rPr>
        <w:t>.</w:t>
      </w:r>
      <w:r w:rsidR="00FF6ABC" w:rsidRPr="000E50F1">
        <w:rPr>
          <w:rFonts w:ascii="Times" w:hAnsi="Times"/>
          <w:sz w:val="24"/>
          <w:szCs w:val="24"/>
        </w:rPr>
        <w:t xml:space="preserve"> </w:t>
      </w:r>
      <w:r w:rsidR="003776C7" w:rsidRPr="000E50F1">
        <w:rPr>
          <w:rFonts w:ascii="Times" w:hAnsi="Times"/>
          <w:sz w:val="24"/>
          <w:szCs w:val="24"/>
        </w:rPr>
        <w:t>Canada’s 2015 immigration outcome. Data for 2015 targets from IRCC (2016i), total ITA from IRCC (2016c), total PR under EE from IRCC (2016g), and total PR from IRCC (2016d)</w:t>
      </w:r>
      <w:bookmarkEnd w:id="20"/>
      <w:r w:rsidR="003776C7" w:rsidRPr="000E50F1">
        <w:rPr>
          <w:rFonts w:ascii="Times" w:hAnsi="Times"/>
          <w:sz w:val="24"/>
          <w:szCs w:val="24"/>
        </w:rPr>
        <w:t xml:space="preserve"> </w:t>
      </w:r>
    </w:p>
    <w:p w14:paraId="2978F40D" w14:textId="77777777" w:rsidR="009575BD" w:rsidRPr="000E50F1" w:rsidRDefault="009575BD" w:rsidP="009575BD">
      <w:pPr>
        <w:rPr>
          <w:rFonts w:ascii="Times" w:eastAsia="Calibri" w:hAnsi="Times"/>
          <w:b/>
        </w:rPr>
      </w:pPr>
      <w:bookmarkStart w:id="21" w:name="OLE_LINK2"/>
    </w:p>
    <w:p w14:paraId="1A977C36" w14:textId="77777777" w:rsidR="00C4568C" w:rsidRPr="000E50F1" w:rsidRDefault="00C4568C" w:rsidP="00C4568C">
      <w:pPr>
        <w:rPr>
          <w:rFonts w:ascii="Times" w:hAnsi="Times"/>
          <w:b/>
          <w:bCs/>
        </w:rPr>
      </w:pPr>
      <w:r w:rsidRPr="000E50F1">
        <w:rPr>
          <w:rFonts w:ascii="Times" w:hAnsi="Times"/>
          <w:b/>
          <w:bCs/>
        </w:rPr>
        <w:t xml:space="preserve">Barrier 1: Low Skill Employment Restrictions </w:t>
      </w:r>
    </w:p>
    <w:p w14:paraId="46B4BD6E" w14:textId="62D5EED9" w:rsidR="00C4568C" w:rsidRPr="000E50F1" w:rsidRDefault="00C4568C" w:rsidP="00C4568C">
      <w:pPr>
        <w:rPr>
          <w:rFonts w:ascii="Times" w:hAnsi="Times"/>
          <w:b/>
          <w:bCs/>
        </w:rPr>
      </w:pPr>
      <w:r w:rsidRPr="000E50F1">
        <w:rPr>
          <w:rFonts w:ascii="Times" w:hAnsi="Times"/>
        </w:rPr>
        <w:t xml:space="preserve">The immigration streams open to international students have inconsistent, unrealistic, and confusing work experience requirements. For example, to be considered for admission under the CEC federal program, international students must have one year of </w:t>
      </w:r>
      <w:r w:rsidR="00D82D38" w:rsidRPr="000E50F1">
        <w:rPr>
          <w:rFonts w:ascii="Times" w:hAnsi="Times"/>
        </w:rPr>
        <w:t>“</w:t>
      </w:r>
      <w:r w:rsidRPr="000E50F1">
        <w:rPr>
          <w:rFonts w:ascii="Times" w:hAnsi="Times"/>
        </w:rPr>
        <w:t>high skill</w:t>
      </w:r>
      <w:r w:rsidR="00D82D38" w:rsidRPr="000E50F1">
        <w:rPr>
          <w:rFonts w:ascii="Times" w:hAnsi="Times"/>
        </w:rPr>
        <w:t>”</w:t>
      </w:r>
      <w:r w:rsidRPr="000E50F1">
        <w:rPr>
          <w:rFonts w:ascii="Times" w:hAnsi="Times"/>
        </w:rPr>
        <w:t xml:space="preserve"> employment experience in Canada, as determined by the National Occupational Classification (NOC) codes (IRCC 2016h). Differentiating between </w:t>
      </w:r>
      <w:r w:rsidR="00D82D38" w:rsidRPr="000E50F1">
        <w:rPr>
          <w:rFonts w:ascii="Times" w:hAnsi="Times"/>
        </w:rPr>
        <w:t>“</w:t>
      </w:r>
      <w:r w:rsidRPr="000E50F1">
        <w:rPr>
          <w:rFonts w:ascii="Times" w:hAnsi="Times"/>
        </w:rPr>
        <w:t>high skill</w:t>
      </w:r>
      <w:r w:rsidR="00D82D38" w:rsidRPr="000E50F1">
        <w:rPr>
          <w:rFonts w:ascii="Times" w:hAnsi="Times"/>
        </w:rPr>
        <w:t>”</w:t>
      </w:r>
      <w:r w:rsidRPr="000E50F1">
        <w:rPr>
          <w:rFonts w:ascii="Times" w:hAnsi="Times"/>
        </w:rPr>
        <w:t xml:space="preserve"> and </w:t>
      </w:r>
      <w:r w:rsidR="00D82D38" w:rsidRPr="000E50F1">
        <w:rPr>
          <w:rFonts w:ascii="Times" w:hAnsi="Times"/>
        </w:rPr>
        <w:t>“</w:t>
      </w:r>
      <w:r w:rsidRPr="000E50F1">
        <w:rPr>
          <w:rFonts w:ascii="Times" w:hAnsi="Times"/>
        </w:rPr>
        <w:t>low skill</w:t>
      </w:r>
      <w:r w:rsidR="00D82D38" w:rsidRPr="000E50F1">
        <w:rPr>
          <w:rFonts w:ascii="Times" w:hAnsi="Times"/>
        </w:rPr>
        <w:t>”</w:t>
      </w:r>
      <w:r w:rsidRPr="000E50F1">
        <w:rPr>
          <w:rFonts w:ascii="Times" w:hAnsi="Times"/>
        </w:rPr>
        <w:t xml:space="preserve"> occupations within NOC codes can be confusing. Furthermore, the high skill versus low skill designation contributes to a problematic situation where some international students who may help fill the labo</w:t>
      </w:r>
      <w:r w:rsidR="00D82D38" w:rsidRPr="000E50F1">
        <w:rPr>
          <w:rFonts w:ascii="Times" w:hAnsi="Times"/>
        </w:rPr>
        <w:t>u</w:t>
      </w:r>
      <w:r w:rsidRPr="000E50F1">
        <w:rPr>
          <w:rFonts w:ascii="Times" w:hAnsi="Times"/>
        </w:rPr>
        <w:t>r gap in Canada, cannot immigrate without securing high skill employment. Amidst the current economic climate, even Canadian post-secondary graduates are challenged to find work under the high skill classification. The restrictive NOC codes and the disadvantage they pose to international students</w:t>
      </w:r>
      <w:r w:rsidR="00516248" w:rsidRPr="000E50F1">
        <w:rPr>
          <w:rFonts w:ascii="Times" w:hAnsi="Times"/>
        </w:rPr>
        <w:t xml:space="preserve"> </w:t>
      </w:r>
      <w:r w:rsidRPr="000E50F1">
        <w:rPr>
          <w:rFonts w:ascii="Times" w:hAnsi="Times"/>
        </w:rPr>
        <w:t xml:space="preserve">who cannot obtain high skill work experiences must be recognized at the policy level. </w:t>
      </w:r>
    </w:p>
    <w:p w14:paraId="05376BEB" w14:textId="3BCC6D76" w:rsidR="009575BD" w:rsidRPr="000E50F1" w:rsidRDefault="00C4568C" w:rsidP="00D82D38">
      <w:pPr>
        <w:rPr>
          <w:rFonts w:ascii="Times" w:hAnsi="Times"/>
          <w:b/>
          <w:bCs/>
        </w:rPr>
      </w:pPr>
      <w:r w:rsidRPr="000E50F1">
        <w:rPr>
          <w:rFonts w:ascii="Times" w:hAnsi="Times"/>
          <w:b/>
          <w:bCs/>
        </w:rPr>
        <w:lastRenderedPageBreak/>
        <w:t>Recommendation 1:</w:t>
      </w:r>
      <w:r w:rsidRPr="000E50F1">
        <w:rPr>
          <w:rFonts w:ascii="Times" w:hAnsi="Times"/>
        </w:rPr>
        <w:t xml:space="preserve"> Points should be given to candidates for all work experience, with candidates receiving a greater number of points for high skill work. </w:t>
      </w:r>
    </w:p>
    <w:p w14:paraId="1AE80127" w14:textId="77777777" w:rsidR="00D82D38" w:rsidRPr="000E50F1" w:rsidRDefault="00D82D38" w:rsidP="00D82D38">
      <w:pPr>
        <w:rPr>
          <w:rFonts w:ascii="Times" w:eastAsia="Calibri" w:hAnsi="Times"/>
          <w:b/>
          <w:lang w:val="en-US"/>
        </w:rPr>
      </w:pPr>
    </w:p>
    <w:p w14:paraId="10A94196" w14:textId="77777777" w:rsidR="00D82D38" w:rsidRPr="000E50F1" w:rsidRDefault="00D82D38" w:rsidP="00D82D38">
      <w:pPr>
        <w:rPr>
          <w:rFonts w:ascii="Times" w:eastAsia="Calibri" w:hAnsi="Times"/>
          <w:b/>
          <w:lang w:val="en-US"/>
        </w:rPr>
      </w:pPr>
      <w:r w:rsidRPr="000E50F1">
        <w:rPr>
          <w:rFonts w:ascii="Times" w:eastAsia="Calibri" w:hAnsi="Times"/>
          <w:b/>
          <w:lang w:val="en-US"/>
        </w:rPr>
        <w:t>Barrier 2: In-Study Restriction and Ineligible Work Experience</w:t>
      </w:r>
    </w:p>
    <w:p w14:paraId="7FFC921E" w14:textId="5A6C87F9" w:rsidR="00D82D38" w:rsidRPr="000E50F1" w:rsidRDefault="00D82D38" w:rsidP="00D82D38">
      <w:pPr>
        <w:rPr>
          <w:rFonts w:ascii="Times" w:eastAsia="Calibri" w:hAnsi="Times"/>
          <w:b/>
          <w:lang w:val="en-US"/>
        </w:rPr>
      </w:pPr>
      <w:r w:rsidRPr="000E50F1">
        <w:rPr>
          <w:rFonts w:ascii="Times" w:hAnsi="Times"/>
        </w:rPr>
        <w:t xml:space="preserve">Under the FSW and FST federal programs, applicants are required to show sufficient funds in order to meet immigration criteria (IRCC 2017h). Given that proof of funds is not required for CEC applicants, this makes it more feasible for international students to apply to this CEC economic stream. At present, current international students under CEC are not eligible to apply for PR until they have graduated. In addition, international students can only use work experience gained after graduation towards valid Canadian work experience in their application under CEC and for CRS points. For example, relevant work experience as a researcher or teaching assistant gained by doctoral and master’s level students while studying cannot be counted for immigration. This situation presents a double setback for international students: they graduate with work experience accumulated during their studies, yet in EE their work experience is reset to zero and they must start from scratch. The ability to use all work experience towards PR is critical in leveraging international student achievements, including part-time work, co-op, and volunteer positions. </w:t>
      </w:r>
    </w:p>
    <w:p w14:paraId="78B412F7" w14:textId="77777777" w:rsidR="00D82D38" w:rsidRPr="000E50F1" w:rsidRDefault="00D82D38" w:rsidP="00D82D38">
      <w:pPr>
        <w:rPr>
          <w:rFonts w:ascii="Times" w:hAnsi="Times"/>
          <w:b/>
          <w:bCs/>
        </w:rPr>
      </w:pPr>
    </w:p>
    <w:p w14:paraId="798B4BBA" w14:textId="79CAEB5C" w:rsidR="00D82D38" w:rsidRPr="000E50F1" w:rsidRDefault="00D82D38" w:rsidP="00D82D38">
      <w:pPr>
        <w:rPr>
          <w:rFonts w:ascii="Times" w:hAnsi="Times"/>
        </w:rPr>
      </w:pPr>
      <w:r w:rsidRPr="000E50F1">
        <w:rPr>
          <w:rFonts w:ascii="Times" w:hAnsi="Times"/>
          <w:b/>
          <w:bCs/>
        </w:rPr>
        <w:t>Recommendation 2:</w:t>
      </w:r>
      <w:r w:rsidRPr="000E50F1">
        <w:rPr>
          <w:rFonts w:ascii="Times" w:hAnsi="Times"/>
        </w:rPr>
        <w:t xml:space="preserve"> Remove in study-restrictions for CEC applicants, and allow all work experience that international students gain while studying to count towards their Canadian work experience. </w:t>
      </w:r>
    </w:p>
    <w:p w14:paraId="7BD7881B" w14:textId="77777777" w:rsidR="00D82D38" w:rsidRPr="000E50F1" w:rsidRDefault="00D82D38" w:rsidP="00D82D38">
      <w:pPr>
        <w:rPr>
          <w:rFonts w:ascii="Times" w:hAnsi="Times"/>
          <w:b/>
          <w:bCs/>
        </w:rPr>
      </w:pPr>
    </w:p>
    <w:p w14:paraId="37F9BA92" w14:textId="050DC1FC" w:rsidR="00D82D38" w:rsidRPr="000E50F1" w:rsidRDefault="00D82D38" w:rsidP="00D82D38">
      <w:pPr>
        <w:rPr>
          <w:rFonts w:ascii="Times" w:hAnsi="Times"/>
          <w:b/>
          <w:bCs/>
        </w:rPr>
      </w:pPr>
      <w:r w:rsidRPr="000E50F1">
        <w:rPr>
          <w:rFonts w:ascii="Times" w:hAnsi="Times"/>
          <w:b/>
          <w:bCs/>
        </w:rPr>
        <w:t xml:space="preserve">Barrier 3: Expired Post-Graduation Work Permits </w:t>
      </w:r>
    </w:p>
    <w:p w14:paraId="037B0F50" w14:textId="68A90A36" w:rsidR="00D82D38" w:rsidRPr="000E50F1" w:rsidRDefault="00D82D38" w:rsidP="00D82D38">
      <w:pPr>
        <w:rPr>
          <w:rFonts w:ascii="Times" w:hAnsi="Times"/>
          <w:b/>
          <w:bCs/>
        </w:rPr>
      </w:pPr>
      <w:r w:rsidRPr="000E50F1">
        <w:rPr>
          <w:rFonts w:ascii="Times" w:hAnsi="Times"/>
        </w:rPr>
        <w:t xml:space="preserve">Persons with Post-Graduation Work Permits (PGWP) in Canada sometimes require a bridging work permit to cover the gap between the expiry of their current work permit and the final decision on their application for PR (e.g. when the applicant is waiting as IRCC processes the completed PR application). Bridging work permits can only be issued to individuals who have submitted an application for PR and are currently holding a valid work permit that has not expired (IRCC 2016j). If the PGWP expires before receiving an ITA, the candidate will be ineligible for a bridging work permit, and thus will not be allowed to work until he or she becomes a permanent resident; this could entail months of unemployment. </w:t>
      </w:r>
    </w:p>
    <w:p w14:paraId="4B1E6F0B" w14:textId="77777777" w:rsidR="00D82D38" w:rsidRPr="000E50F1" w:rsidRDefault="00D82D38" w:rsidP="00D82D38">
      <w:pPr>
        <w:rPr>
          <w:rFonts w:ascii="Times" w:hAnsi="Times"/>
        </w:rPr>
      </w:pPr>
    </w:p>
    <w:p w14:paraId="2307250A" w14:textId="168D706B" w:rsidR="00D82D38" w:rsidRPr="000E50F1" w:rsidRDefault="00D82D38" w:rsidP="00D82D38">
      <w:pPr>
        <w:rPr>
          <w:rFonts w:ascii="Times" w:hAnsi="Times"/>
        </w:rPr>
      </w:pPr>
      <w:r w:rsidRPr="000E50F1">
        <w:rPr>
          <w:rFonts w:ascii="Times" w:hAnsi="Times"/>
        </w:rPr>
        <w:t xml:space="preserve">In addition, while former international students can apply for PR through the PNPs, these programs can temporarily close for long periods and delay PR applications for months. For example, in 2016, the Ontario Immigrant Nominee Program (OINP) closed on May 9 as the cap had been met for that year (Sullivan 2016). With the acceptance of new applications halted, many applicants would have needed to seek alternatives to the OINP program (Mangalji and Long 2017). </w:t>
      </w:r>
    </w:p>
    <w:p w14:paraId="6424B437" w14:textId="77777777" w:rsidR="00D82D38" w:rsidRPr="000E50F1" w:rsidRDefault="00D82D38" w:rsidP="00D82D38">
      <w:pPr>
        <w:rPr>
          <w:rFonts w:ascii="Times" w:hAnsi="Times"/>
        </w:rPr>
      </w:pPr>
      <w:r w:rsidRPr="000E50F1">
        <w:rPr>
          <w:rFonts w:ascii="Times" w:hAnsi="Times"/>
        </w:rPr>
        <w:lastRenderedPageBreak/>
        <w:t xml:space="preserve">While awaiting PR in Canada, bridging work permits should be extended to those with expired PGWPs but who have already qualified for one of Canada’s immigration programs. Taking away the means from PR candidates to support themselves in Canada while awaiting PR compounds their uncertain prospects with economic marginalization. </w:t>
      </w:r>
    </w:p>
    <w:p w14:paraId="49F03BB4" w14:textId="77777777" w:rsidR="00516248" w:rsidRPr="000E50F1" w:rsidRDefault="00516248" w:rsidP="00D82D38">
      <w:pPr>
        <w:rPr>
          <w:rFonts w:ascii="Times" w:hAnsi="Times"/>
        </w:rPr>
      </w:pPr>
    </w:p>
    <w:p w14:paraId="6F229C09" w14:textId="1D0452FB" w:rsidR="00D82D38" w:rsidRPr="000E50F1" w:rsidRDefault="00D82D38" w:rsidP="00D82D38">
      <w:pPr>
        <w:rPr>
          <w:rFonts w:ascii="Times" w:hAnsi="Times"/>
        </w:rPr>
      </w:pPr>
      <w:r w:rsidRPr="000E50F1">
        <w:rPr>
          <w:rFonts w:ascii="Times" w:hAnsi="Times"/>
          <w:b/>
          <w:bCs/>
        </w:rPr>
        <w:t>Recommendation 3:</w:t>
      </w:r>
      <w:r w:rsidRPr="000E50F1">
        <w:rPr>
          <w:rFonts w:ascii="Times" w:hAnsi="Times"/>
        </w:rPr>
        <w:t xml:space="preserve"> Allow bridging work permits of up to one year to be issued to PR candidates with an expired PGWP after they have received an ITA. </w:t>
      </w:r>
    </w:p>
    <w:p w14:paraId="4F6BAA59" w14:textId="77777777" w:rsidR="00516248" w:rsidRPr="000E50F1" w:rsidRDefault="00516248" w:rsidP="00D82D38">
      <w:pPr>
        <w:rPr>
          <w:rFonts w:ascii="Times" w:hAnsi="Times"/>
        </w:rPr>
      </w:pPr>
    </w:p>
    <w:p w14:paraId="1DC9015A" w14:textId="202F3E09" w:rsidR="00D82D38" w:rsidRPr="000E50F1" w:rsidRDefault="00D82D38" w:rsidP="00D82D38">
      <w:pPr>
        <w:rPr>
          <w:rFonts w:ascii="Times" w:hAnsi="Times"/>
          <w:b/>
          <w:bCs/>
        </w:rPr>
      </w:pPr>
      <w:r w:rsidRPr="000E50F1">
        <w:rPr>
          <w:rFonts w:ascii="Times" w:hAnsi="Times"/>
          <w:b/>
          <w:bCs/>
        </w:rPr>
        <w:t xml:space="preserve">Barrier 4: Restricted Participation from Municipal Government </w:t>
      </w:r>
    </w:p>
    <w:p w14:paraId="4345ABBE" w14:textId="56F45C79" w:rsidR="00D82D38" w:rsidRPr="000E50F1" w:rsidRDefault="00D82D38" w:rsidP="00D82D38">
      <w:pPr>
        <w:rPr>
          <w:rFonts w:ascii="Times" w:hAnsi="Times"/>
        </w:rPr>
      </w:pPr>
      <w:r w:rsidRPr="000E50F1">
        <w:rPr>
          <w:rFonts w:ascii="Times" w:hAnsi="Times"/>
        </w:rPr>
        <w:t xml:space="preserve">Smaller urban centers and rural communities rely on immigration for population and economic growth but are rarely top of mind for international students coming to Canada. For some college and university cities in Canada (e.g., Timmins, Sarnia, North Bay, Sudbury, Thunder Bay, Sault Ste. Marie, St. Catharines-Niagara, etc.; see Table </w:t>
      </w:r>
      <w:r w:rsidR="001F1198" w:rsidRPr="000E50F1">
        <w:rPr>
          <w:rFonts w:ascii="Times" w:hAnsi="Times"/>
        </w:rPr>
        <w:t>6</w:t>
      </w:r>
      <w:r w:rsidRPr="000E50F1">
        <w:rPr>
          <w:rFonts w:ascii="Times" w:hAnsi="Times"/>
        </w:rPr>
        <w:t xml:space="preserve"> in Appendix 1 for more details), international study programs are an effective way to attract potential immigrants and their families. International study programs can also be an effective way to redistribute potential immigrants and their families outside of Canada’s metropolis areas. Retaining international students after graduation is encumbered by low skill employment restrictions (outlined under Barrier 1) and by the lower availability of high skill work in smaller urban centers. Given the vested interest in retaining international students held by some municipalities, measures should be taken to help them attract and retain international students wishing to immigrate to Canada. Awarding more points for job offers outside of Canada’s largest urban centers is a simple, tangible tweak that could have immediate impact on the geographic dispersion of immigrants. </w:t>
      </w:r>
    </w:p>
    <w:p w14:paraId="04C71367" w14:textId="77777777" w:rsidR="00516248" w:rsidRPr="000E50F1" w:rsidRDefault="00516248" w:rsidP="00D82D38">
      <w:pPr>
        <w:rPr>
          <w:rFonts w:ascii="Times" w:hAnsi="Times"/>
        </w:rPr>
      </w:pPr>
    </w:p>
    <w:p w14:paraId="62DA6DE4" w14:textId="7072F251" w:rsidR="00D82D38" w:rsidRPr="000E50F1" w:rsidRDefault="00D82D38" w:rsidP="00D82D38">
      <w:pPr>
        <w:rPr>
          <w:rFonts w:ascii="Times" w:hAnsi="Times"/>
        </w:rPr>
      </w:pPr>
      <w:r w:rsidRPr="000E50F1">
        <w:rPr>
          <w:rFonts w:ascii="Times" w:hAnsi="Times"/>
          <w:b/>
          <w:bCs/>
        </w:rPr>
        <w:t>Recommendation 4:</w:t>
      </w:r>
      <w:r w:rsidRPr="000E50F1">
        <w:rPr>
          <w:rFonts w:ascii="Times" w:hAnsi="Times"/>
        </w:rPr>
        <w:t xml:space="preserve"> Under Express Entry, extra points should be awarded to job offers originating in smaller urban or rural areas. </w:t>
      </w:r>
    </w:p>
    <w:p w14:paraId="067AF6DE" w14:textId="77777777" w:rsidR="00516248" w:rsidRPr="000E50F1" w:rsidRDefault="00516248" w:rsidP="00D82D38">
      <w:pPr>
        <w:rPr>
          <w:rFonts w:ascii="Times" w:hAnsi="Times"/>
        </w:rPr>
      </w:pPr>
    </w:p>
    <w:p w14:paraId="70B6A3CF" w14:textId="64400133" w:rsidR="00D82D38" w:rsidRPr="000E50F1" w:rsidRDefault="00D82D38" w:rsidP="00D82D38">
      <w:pPr>
        <w:rPr>
          <w:rFonts w:ascii="Times" w:hAnsi="Times"/>
          <w:b/>
          <w:bCs/>
        </w:rPr>
      </w:pPr>
      <w:r w:rsidRPr="000E50F1">
        <w:rPr>
          <w:rFonts w:ascii="Times" w:hAnsi="Times"/>
          <w:b/>
          <w:bCs/>
        </w:rPr>
        <w:t xml:space="preserve">Closing </w:t>
      </w:r>
    </w:p>
    <w:p w14:paraId="29B73031" w14:textId="1E94586C" w:rsidR="00D82D38" w:rsidRPr="000E50F1" w:rsidRDefault="00D82D38" w:rsidP="00D82D38">
      <w:pPr>
        <w:rPr>
          <w:rFonts w:ascii="Times" w:hAnsi="Times"/>
        </w:rPr>
      </w:pPr>
      <w:r w:rsidRPr="000E50F1">
        <w:rPr>
          <w:rFonts w:ascii="Times" w:hAnsi="Times"/>
        </w:rPr>
        <w:t xml:space="preserve">The Canadian government has identified immigration as a strategy to enhance population and employment growth, and it has also recognized that international students are a valuable pool of potential immigrants. Yet, under current immigration policies, international students comprised less than 20% of economic class immigrants and only 11% of all immigration to Canada in 2015; it is time to scale up these proportions. The federal government has taken steps that may increase the number of international students immigrating to Canada, but greater action is needed. Without larger policy change in the EE system, post-secondary institutions, employers, and other key </w:t>
      </w:r>
      <w:r w:rsidR="00AE328D" w:rsidRPr="000E50F1">
        <w:rPr>
          <w:rFonts w:ascii="Times" w:hAnsi="Times"/>
        </w:rPr>
        <w:t>stakeholders</w:t>
      </w:r>
      <w:r w:rsidRPr="000E50F1">
        <w:rPr>
          <w:rFonts w:ascii="Times" w:hAnsi="Times"/>
        </w:rPr>
        <w:t xml:space="preserve"> can lack the ability and incentive to attract and retain international students in Canada, preventing potential economic and labor benefits to Canadian post-secondary institutions, employers, and regional economies. </w:t>
      </w:r>
    </w:p>
    <w:p w14:paraId="1A7D795E" w14:textId="5418F1C2" w:rsidR="009575BD" w:rsidRPr="000E50F1" w:rsidRDefault="00D82D38" w:rsidP="009575BD">
      <w:pPr>
        <w:rPr>
          <w:rFonts w:ascii="Times" w:eastAsia="Calibri" w:hAnsi="Times"/>
          <w:b/>
          <w:lang w:val="en-US"/>
        </w:rPr>
      </w:pPr>
      <w:r w:rsidRPr="000E50F1">
        <w:rPr>
          <w:rFonts w:ascii="Times" w:eastAsia="Calibri" w:hAnsi="Times"/>
          <w:b/>
          <w:lang w:val="en-US"/>
        </w:rPr>
        <w:t xml:space="preserve"> </w:t>
      </w:r>
      <w:r w:rsidR="009575BD" w:rsidRPr="000E50F1">
        <w:rPr>
          <w:rFonts w:ascii="Times" w:eastAsia="Calibri" w:hAnsi="Times"/>
          <w:b/>
          <w:lang w:val="en-US"/>
        </w:rPr>
        <w:br w:type="page"/>
      </w:r>
    </w:p>
    <w:p w14:paraId="5AA5C49E" w14:textId="76D1BC92" w:rsidR="009575BD" w:rsidRPr="000E50F1" w:rsidRDefault="009575BD" w:rsidP="009575BD">
      <w:pPr>
        <w:rPr>
          <w:rFonts w:ascii="Times" w:eastAsia="Calibri" w:hAnsi="Times"/>
          <w:b/>
        </w:rPr>
      </w:pPr>
      <w:r w:rsidRPr="000E50F1">
        <w:rPr>
          <w:rFonts w:ascii="Times" w:eastAsia="Calibri" w:hAnsi="Times"/>
          <w:b/>
        </w:rPr>
        <w:lastRenderedPageBreak/>
        <w:t xml:space="preserve">Appendix </w:t>
      </w:r>
      <w:r w:rsidR="00516248" w:rsidRPr="000E50F1">
        <w:rPr>
          <w:rFonts w:ascii="Times" w:eastAsia="Calibri" w:hAnsi="Times"/>
          <w:b/>
        </w:rPr>
        <w:t>1</w:t>
      </w:r>
    </w:p>
    <w:p w14:paraId="2474C774" w14:textId="77777777" w:rsidR="009575BD" w:rsidRPr="000E50F1" w:rsidRDefault="009575BD" w:rsidP="009575BD">
      <w:pPr>
        <w:rPr>
          <w:rFonts w:ascii="Times" w:eastAsia="Calibri" w:hAnsi="Times"/>
          <w:b/>
        </w:rPr>
      </w:pPr>
    </w:p>
    <w:tbl>
      <w:tblPr>
        <w:tblStyle w:val="GridTable4-Accent6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
        <w:gridCol w:w="4547"/>
        <w:gridCol w:w="1272"/>
        <w:gridCol w:w="1873"/>
      </w:tblGrid>
      <w:tr w:rsidR="00B4328B" w:rsidRPr="000E50F1" w14:paraId="6A0BBBEF" w14:textId="77777777" w:rsidTr="006B645A">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3017" w:type="pct"/>
            <w:gridSpan w:val="2"/>
            <w:tcBorders>
              <w:top w:val="none" w:sz="0" w:space="0" w:color="auto"/>
              <w:left w:val="none" w:sz="0" w:space="0" w:color="auto"/>
              <w:bottom w:val="single" w:sz="4" w:space="0" w:color="auto"/>
            </w:tcBorders>
            <w:shd w:val="clear" w:color="auto" w:fill="EAEDF1" w:themeFill="text2" w:themeFillTint="1A"/>
            <w:vAlign w:val="center"/>
          </w:tcPr>
          <w:bookmarkEnd w:id="21"/>
          <w:p w14:paraId="32C7830F" w14:textId="77777777" w:rsidR="009575BD" w:rsidRPr="000E50F1" w:rsidRDefault="009575BD" w:rsidP="00B16565">
            <w:pPr>
              <w:ind w:right="6"/>
              <w:contextualSpacing/>
              <w:rPr>
                <w:rFonts w:asciiTheme="minorHAnsi" w:hAnsiTheme="minorHAnsi" w:cstheme="majorHAnsi"/>
                <w:color w:val="auto"/>
                <w:sz w:val="22"/>
                <w:szCs w:val="22"/>
              </w:rPr>
            </w:pPr>
            <w:r w:rsidRPr="000E50F1">
              <w:rPr>
                <w:rFonts w:asciiTheme="minorHAnsi" w:hAnsiTheme="minorHAnsi" w:cstheme="majorHAnsi"/>
                <w:color w:val="auto"/>
                <w:sz w:val="22"/>
                <w:szCs w:val="22"/>
              </w:rPr>
              <w:t>CRS Components</w:t>
            </w:r>
          </w:p>
        </w:tc>
        <w:tc>
          <w:tcPr>
            <w:tcW w:w="801" w:type="pct"/>
            <w:tcBorders>
              <w:top w:val="none" w:sz="0" w:space="0" w:color="auto"/>
              <w:bottom w:val="single" w:sz="4" w:space="0" w:color="auto"/>
            </w:tcBorders>
            <w:shd w:val="clear" w:color="auto" w:fill="EAEDF1" w:themeFill="text2" w:themeFillTint="1A"/>
            <w:vAlign w:val="center"/>
          </w:tcPr>
          <w:p w14:paraId="2AFBA08E" w14:textId="77777777" w:rsidR="009575BD" w:rsidRPr="000E50F1" w:rsidRDefault="009575BD" w:rsidP="00B16565">
            <w:pPr>
              <w:ind w:right="4"/>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CRS Points</w:t>
            </w:r>
          </w:p>
        </w:tc>
        <w:tc>
          <w:tcPr>
            <w:tcW w:w="1181" w:type="pct"/>
            <w:tcBorders>
              <w:top w:val="none" w:sz="0" w:space="0" w:color="auto"/>
              <w:bottom w:val="single" w:sz="4" w:space="0" w:color="auto"/>
              <w:right w:val="none" w:sz="0" w:space="0" w:color="auto"/>
            </w:tcBorders>
            <w:shd w:val="clear" w:color="auto" w:fill="EAEDF1" w:themeFill="text2" w:themeFillTint="1A"/>
            <w:vAlign w:val="center"/>
          </w:tcPr>
          <w:p w14:paraId="124B33B7" w14:textId="77777777" w:rsidR="009575BD" w:rsidRPr="000E50F1" w:rsidRDefault="009575BD" w:rsidP="00B16565">
            <w:pPr>
              <w:ind w:right="4"/>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Maximum Points</w:t>
            </w:r>
          </w:p>
        </w:tc>
      </w:tr>
      <w:tr w:rsidR="00B4328B" w:rsidRPr="000E50F1" w14:paraId="363D9F29" w14:textId="77777777" w:rsidTr="00FC7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19" w:type="pct"/>
            <w:gridSpan w:val="3"/>
            <w:tcBorders>
              <w:top w:val="single" w:sz="4" w:space="0" w:color="auto"/>
            </w:tcBorders>
            <w:shd w:val="clear" w:color="auto" w:fill="auto"/>
            <w:vAlign w:val="center"/>
          </w:tcPr>
          <w:p w14:paraId="5F35B277" w14:textId="77777777" w:rsidR="009575BD" w:rsidRPr="000E50F1" w:rsidRDefault="009575BD" w:rsidP="00E85325">
            <w:pPr>
              <w:pStyle w:val="ListParagraph"/>
              <w:numPr>
                <w:ilvl w:val="0"/>
                <w:numId w:val="1"/>
              </w:numPr>
              <w:spacing w:after="0" w:line="240" w:lineRule="auto"/>
              <w:ind w:right="4"/>
              <w:rPr>
                <w:rFonts w:asciiTheme="minorHAnsi" w:eastAsia="Times New Roman" w:hAnsiTheme="minorHAnsi" w:cstheme="majorHAnsi"/>
                <w:color w:val="auto"/>
                <w:sz w:val="22"/>
              </w:rPr>
            </w:pPr>
            <w:r w:rsidRPr="000E50F1">
              <w:rPr>
                <w:rFonts w:asciiTheme="minorHAnsi" w:eastAsia="Times New Roman" w:hAnsiTheme="minorHAnsi" w:cstheme="majorHAnsi"/>
                <w:color w:val="auto"/>
                <w:sz w:val="22"/>
              </w:rPr>
              <w:t>Core / Human Capital Factors:</w:t>
            </w:r>
          </w:p>
        </w:tc>
        <w:tc>
          <w:tcPr>
            <w:tcW w:w="1181" w:type="pct"/>
            <w:tcBorders>
              <w:top w:val="single" w:sz="4" w:space="0" w:color="auto"/>
            </w:tcBorders>
            <w:shd w:val="clear" w:color="auto" w:fill="auto"/>
            <w:vAlign w:val="center"/>
          </w:tcPr>
          <w:p w14:paraId="2A0C55A0" w14:textId="77777777" w:rsidR="009575BD" w:rsidRPr="000E50F1" w:rsidRDefault="009575BD" w:rsidP="00B16565">
            <w:pPr>
              <w:ind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500</w:t>
            </w:r>
          </w:p>
        </w:tc>
      </w:tr>
      <w:tr w:rsidR="00B4328B" w:rsidRPr="000E50F1" w14:paraId="2C95878D" w14:textId="77777777" w:rsidTr="00FC7210">
        <w:trPr>
          <w:trHeight w:val="226"/>
          <w:jc w:val="center"/>
        </w:trPr>
        <w:tc>
          <w:tcPr>
            <w:cnfStyle w:val="001000000000" w:firstRow="0" w:lastRow="0" w:firstColumn="1" w:lastColumn="0" w:oddVBand="0" w:evenVBand="0" w:oddHBand="0" w:evenHBand="0" w:firstRowFirstColumn="0" w:firstRowLastColumn="0" w:lastRowFirstColumn="0" w:lastRowLastColumn="0"/>
            <w:tcW w:w="150" w:type="pct"/>
            <w:shd w:val="clear" w:color="auto" w:fill="EAEDF1" w:themeFill="text2" w:themeFillTint="1A"/>
            <w:vAlign w:val="center"/>
          </w:tcPr>
          <w:p w14:paraId="750FBF09" w14:textId="77777777" w:rsidR="009575BD" w:rsidRPr="000E50F1" w:rsidRDefault="009575BD" w:rsidP="00B16565">
            <w:pPr>
              <w:ind w:left="113" w:right="4"/>
              <w:contextualSpacing/>
              <w:rPr>
                <w:rFonts w:asciiTheme="minorHAnsi" w:hAnsiTheme="minorHAnsi" w:cstheme="majorHAnsi"/>
                <w:b w:val="0"/>
                <w:color w:val="auto"/>
                <w:sz w:val="22"/>
                <w:szCs w:val="22"/>
              </w:rPr>
            </w:pPr>
          </w:p>
        </w:tc>
        <w:tc>
          <w:tcPr>
            <w:tcW w:w="2867" w:type="pct"/>
            <w:shd w:val="clear" w:color="auto" w:fill="EAEDF1" w:themeFill="text2" w:themeFillTint="1A"/>
            <w:vAlign w:val="center"/>
          </w:tcPr>
          <w:p w14:paraId="78209F9F" w14:textId="77777777" w:rsidR="009575BD" w:rsidRPr="000E50F1" w:rsidRDefault="009575BD" w:rsidP="00B16565">
            <w:pPr>
              <w:ind w:left="253"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Age</w:t>
            </w:r>
          </w:p>
        </w:tc>
        <w:tc>
          <w:tcPr>
            <w:tcW w:w="801" w:type="pct"/>
            <w:shd w:val="clear" w:color="auto" w:fill="EAEDF1" w:themeFill="text2" w:themeFillTint="1A"/>
            <w:vAlign w:val="center"/>
          </w:tcPr>
          <w:p w14:paraId="16989192"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110</w:t>
            </w:r>
          </w:p>
        </w:tc>
        <w:tc>
          <w:tcPr>
            <w:tcW w:w="1181" w:type="pct"/>
            <w:shd w:val="clear" w:color="auto" w:fill="EAEDF1" w:themeFill="text2" w:themeFillTint="1A"/>
            <w:vAlign w:val="center"/>
          </w:tcPr>
          <w:p w14:paraId="76155CC9"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p>
        </w:tc>
      </w:tr>
      <w:tr w:rsidR="00B4328B" w:rsidRPr="000E50F1" w14:paraId="1E0568E1" w14:textId="77777777" w:rsidTr="00FC7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 w:type="pct"/>
            <w:shd w:val="clear" w:color="auto" w:fill="EAEDF1" w:themeFill="text2" w:themeFillTint="1A"/>
            <w:vAlign w:val="center"/>
          </w:tcPr>
          <w:p w14:paraId="7F7E01DD" w14:textId="77777777" w:rsidR="009575BD" w:rsidRPr="000E50F1" w:rsidRDefault="009575BD" w:rsidP="00B16565">
            <w:pPr>
              <w:ind w:left="113" w:right="4"/>
              <w:contextualSpacing/>
              <w:rPr>
                <w:rFonts w:asciiTheme="minorHAnsi" w:hAnsiTheme="minorHAnsi" w:cstheme="majorHAnsi"/>
                <w:b w:val="0"/>
                <w:color w:val="auto"/>
                <w:sz w:val="22"/>
                <w:szCs w:val="22"/>
              </w:rPr>
            </w:pPr>
          </w:p>
        </w:tc>
        <w:tc>
          <w:tcPr>
            <w:tcW w:w="2867" w:type="pct"/>
            <w:shd w:val="clear" w:color="auto" w:fill="EAEDF1" w:themeFill="text2" w:themeFillTint="1A"/>
            <w:vAlign w:val="center"/>
          </w:tcPr>
          <w:p w14:paraId="201A6CBB" w14:textId="77777777" w:rsidR="009575BD" w:rsidRPr="000E50F1" w:rsidRDefault="009575BD" w:rsidP="00B16565">
            <w:pPr>
              <w:ind w:left="253"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Level of education</w:t>
            </w:r>
          </w:p>
        </w:tc>
        <w:tc>
          <w:tcPr>
            <w:tcW w:w="801" w:type="pct"/>
            <w:shd w:val="clear" w:color="auto" w:fill="EAEDF1" w:themeFill="text2" w:themeFillTint="1A"/>
            <w:vAlign w:val="center"/>
          </w:tcPr>
          <w:p w14:paraId="30C9F5B6" w14:textId="77777777" w:rsidR="009575BD" w:rsidRPr="000E50F1" w:rsidRDefault="009575BD" w:rsidP="00B16565">
            <w:pPr>
              <w:ind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150</w:t>
            </w:r>
          </w:p>
        </w:tc>
        <w:tc>
          <w:tcPr>
            <w:tcW w:w="1181" w:type="pct"/>
            <w:shd w:val="clear" w:color="auto" w:fill="EAEDF1" w:themeFill="text2" w:themeFillTint="1A"/>
            <w:vAlign w:val="center"/>
          </w:tcPr>
          <w:p w14:paraId="4EE40E4C" w14:textId="77777777" w:rsidR="009575BD" w:rsidRPr="000E50F1" w:rsidRDefault="009575BD" w:rsidP="00B16565">
            <w:pPr>
              <w:ind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p>
        </w:tc>
      </w:tr>
      <w:tr w:rsidR="00B4328B" w:rsidRPr="000E50F1" w14:paraId="5EFB69C9" w14:textId="77777777" w:rsidTr="00FC7210">
        <w:trPr>
          <w:trHeight w:val="222"/>
          <w:jc w:val="center"/>
        </w:trPr>
        <w:tc>
          <w:tcPr>
            <w:cnfStyle w:val="001000000000" w:firstRow="0" w:lastRow="0" w:firstColumn="1" w:lastColumn="0" w:oddVBand="0" w:evenVBand="0" w:oddHBand="0" w:evenHBand="0" w:firstRowFirstColumn="0" w:firstRowLastColumn="0" w:lastRowFirstColumn="0" w:lastRowLastColumn="0"/>
            <w:tcW w:w="150" w:type="pct"/>
            <w:shd w:val="clear" w:color="auto" w:fill="EAEDF1" w:themeFill="text2" w:themeFillTint="1A"/>
            <w:vAlign w:val="center"/>
          </w:tcPr>
          <w:p w14:paraId="50954F76" w14:textId="77777777" w:rsidR="009575BD" w:rsidRPr="000E50F1" w:rsidRDefault="009575BD" w:rsidP="00B16565">
            <w:pPr>
              <w:ind w:left="113" w:right="4"/>
              <w:contextualSpacing/>
              <w:rPr>
                <w:rFonts w:asciiTheme="minorHAnsi" w:hAnsiTheme="minorHAnsi" w:cstheme="majorHAnsi"/>
                <w:b w:val="0"/>
                <w:color w:val="auto"/>
                <w:sz w:val="22"/>
                <w:szCs w:val="22"/>
              </w:rPr>
            </w:pPr>
          </w:p>
        </w:tc>
        <w:tc>
          <w:tcPr>
            <w:tcW w:w="2867" w:type="pct"/>
            <w:shd w:val="clear" w:color="auto" w:fill="EAEDF1" w:themeFill="text2" w:themeFillTint="1A"/>
            <w:vAlign w:val="center"/>
          </w:tcPr>
          <w:p w14:paraId="0B1645E6" w14:textId="77777777" w:rsidR="009575BD" w:rsidRPr="000E50F1" w:rsidRDefault="009575BD" w:rsidP="00B16565">
            <w:pPr>
              <w:ind w:left="253"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Official languages proficiency</w:t>
            </w:r>
          </w:p>
        </w:tc>
        <w:tc>
          <w:tcPr>
            <w:tcW w:w="801" w:type="pct"/>
            <w:shd w:val="clear" w:color="auto" w:fill="EAEDF1" w:themeFill="text2" w:themeFillTint="1A"/>
            <w:vAlign w:val="center"/>
          </w:tcPr>
          <w:p w14:paraId="70844ED6"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160</w:t>
            </w:r>
          </w:p>
        </w:tc>
        <w:tc>
          <w:tcPr>
            <w:tcW w:w="1181" w:type="pct"/>
            <w:shd w:val="clear" w:color="auto" w:fill="EAEDF1" w:themeFill="text2" w:themeFillTint="1A"/>
            <w:vAlign w:val="center"/>
          </w:tcPr>
          <w:p w14:paraId="1ED1501F"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p>
        </w:tc>
      </w:tr>
      <w:tr w:rsidR="00B4328B" w:rsidRPr="000E50F1" w14:paraId="7E5ACAB4" w14:textId="77777777" w:rsidTr="00FC7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 w:type="pct"/>
            <w:shd w:val="clear" w:color="auto" w:fill="EAEDF1" w:themeFill="text2" w:themeFillTint="1A"/>
            <w:vAlign w:val="center"/>
          </w:tcPr>
          <w:p w14:paraId="6E162A85" w14:textId="77777777" w:rsidR="009575BD" w:rsidRPr="000E50F1" w:rsidRDefault="009575BD" w:rsidP="00B16565">
            <w:pPr>
              <w:ind w:left="113" w:right="4"/>
              <w:contextualSpacing/>
              <w:rPr>
                <w:rFonts w:asciiTheme="minorHAnsi" w:hAnsiTheme="minorHAnsi" w:cstheme="majorHAnsi"/>
                <w:b w:val="0"/>
                <w:color w:val="auto"/>
                <w:sz w:val="22"/>
                <w:szCs w:val="22"/>
              </w:rPr>
            </w:pPr>
          </w:p>
        </w:tc>
        <w:tc>
          <w:tcPr>
            <w:tcW w:w="2867" w:type="pct"/>
            <w:shd w:val="clear" w:color="auto" w:fill="EAEDF1" w:themeFill="text2" w:themeFillTint="1A"/>
            <w:vAlign w:val="center"/>
          </w:tcPr>
          <w:p w14:paraId="636A1CBC" w14:textId="77777777" w:rsidR="009575BD" w:rsidRPr="000E50F1" w:rsidRDefault="009575BD" w:rsidP="00B16565">
            <w:pPr>
              <w:ind w:left="253"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Canadian work experience</w:t>
            </w:r>
          </w:p>
        </w:tc>
        <w:tc>
          <w:tcPr>
            <w:tcW w:w="801" w:type="pct"/>
            <w:shd w:val="clear" w:color="auto" w:fill="EAEDF1" w:themeFill="text2" w:themeFillTint="1A"/>
            <w:vAlign w:val="center"/>
          </w:tcPr>
          <w:p w14:paraId="78DD5234" w14:textId="77777777" w:rsidR="009575BD" w:rsidRPr="000E50F1" w:rsidRDefault="009575BD" w:rsidP="00B16565">
            <w:pPr>
              <w:ind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80</w:t>
            </w:r>
          </w:p>
        </w:tc>
        <w:tc>
          <w:tcPr>
            <w:tcW w:w="1181" w:type="pct"/>
            <w:shd w:val="clear" w:color="auto" w:fill="EAEDF1" w:themeFill="text2" w:themeFillTint="1A"/>
            <w:vAlign w:val="center"/>
          </w:tcPr>
          <w:p w14:paraId="5DA78309" w14:textId="77777777" w:rsidR="009575BD" w:rsidRPr="000E50F1" w:rsidRDefault="009575BD" w:rsidP="00B16565">
            <w:pPr>
              <w:ind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p>
        </w:tc>
      </w:tr>
      <w:tr w:rsidR="00B4328B" w:rsidRPr="000E50F1" w14:paraId="3B554F96" w14:textId="77777777" w:rsidTr="00FC7210">
        <w:trPr>
          <w:trHeight w:val="251"/>
          <w:jc w:val="center"/>
        </w:trPr>
        <w:tc>
          <w:tcPr>
            <w:cnfStyle w:val="001000000000" w:firstRow="0" w:lastRow="0" w:firstColumn="1" w:lastColumn="0" w:oddVBand="0" w:evenVBand="0" w:oddHBand="0" w:evenHBand="0" w:firstRowFirstColumn="0" w:firstRowLastColumn="0" w:lastRowFirstColumn="0" w:lastRowLastColumn="0"/>
            <w:tcW w:w="3819" w:type="pct"/>
            <w:gridSpan w:val="3"/>
            <w:shd w:val="clear" w:color="auto" w:fill="auto"/>
            <w:vAlign w:val="center"/>
          </w:tcPr>
          <w:p w14:paraId="7C1F64CE" w14:textId="77777777" w:rsidR="009575BD" w:rsidRPr="000E50F1" w:rsidRDefault="009575BD" w:rsidP="00E85325">
            <w:pPr>
              <w:pStyle w:val="ListParagraph"/>
              <w:numPr>
                <w:ilvl w:val="0"/>
                <w:numId w:val="1"/>
              </w:numPr>
              <w:spacing w:after="0" w:line="240" w:lineRule="auto"/>
              <w:ind w:right="4"/>
              <w:rPr>
                <w:rFonts w:asciiTheme="minorHAnsi" w:eastAsia="Times New Roman" w:hAnsiTheme="minorHAnsi" w:cstheme="majorHAnsi"/>
                <w:color w:val="auto"/>
                <w:sz w:val="22"/>
              </w:rPr>
            </w:pPr>
            <w:r w:rsidRPr="000E50F1">
              <w:rPr>
                <w:rFonts w:asciiTheme="minorHAnsi" w:eastAsia="Times New Roman" w:hAnsiTheme="minorHAnsi" w:cstheme="majorHAnsi"/>
                <w:color w:val="auto"/>
                <w:sz w:val="22"/>
              </w:rPr>
              <w:t>Spouse or Common-law Partner Factors:</w:t>
            </w:r>
          </w:p>
        </w:tc>
        <w:tc>
          <w:tcPr>
            <w:tcW w:w="1181" w:type="pct"/>
            <w:shd w:val="clear" w:color="auto" w:fill="auto"/>
            <w:vAlign w:val="center"/>
          </w:tcPr>
          <w:p w14:paraId="5B6B3822"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N/A</w:t>
            </w:r>
          </w:p>
        </w:tc>
      </w:tr>
      <w:tr w:rsidR="00B4328B" w:rsidRPr="000E50F1" w14:paraId="00A78529" w14:textId="77777777" w:rsidTr="00FC7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19" w:type="pct"/>
            <w:gridSpan w:val="3"/>
            <w:shd w:val="clear" w:color="auto" w:fill="auto"/>
            <w:vAlign w:val="center"/>
          </w:tcPr>
          <w:p w14:paraId="52DB0229" w14:textId="77777777" w:rsidR="009575BD" w:rsidRPr="000E50F1" w:rsidRDefault="009575BD" w:rsidP="00E85325">
            <w:pPr>
              <w:pStyle w:val="ListParagraph"/>
              <w:numPr>
                <w:ilvl w:val="0"/>
                <w:numId w:val="1"/>
              </w:numPr>
              <w:spacing w:after="0" w:line="240" w:lineRule="auto"/>
              <w:ind w:right="4"/>
              <w:rPr>
                <w:rFonts w:asciiTheme="minorHAnsi" w:eastAsia="Times New Roman" w:hAnsiTheme="minorHAnsi" w:cstheme="majorHAnsi"/>
                <w:color w:val="auto"/>
                <w:sz w:val="22"/>
              </w:rPr>
            </w:pPr>
            <w:r w:rsidRPr="000E50F1">
              <w:rPr>
                <w:rFonts w:asciiTheme="minorHAnsi" w:eastAsia="Times New Roman" w:hAnsiTheme="minorHAnsi" w:cstheme="majorHAnsi"/>
                <w:color w:val="auto"/>
                <w:sz w:val="22"/>
              </w:rPr>
              <w:t>Skill Transferability Factors:</w:t>
            </w:r>
          </w:p>
        </w:tc>
        <w:tc>
          <w:tcPr>
            <w:tcW w:w="1181" w:type="pct"/>
            <w:shd w:val="clear" w:color="auto" w:fill="auto"/>
            <w:vAlign w:val="center"/>
          </w:tcPr>
          <w:p w14:paraId="36EEC27A" w14:textId="77777777" w:rsidR="009575BD" w:rsidRPr="000E50F1" w:rsidRDefault="009575BD" w:rsidP="00B16565">
            <w:pPr>
              <w:ind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100</w:t>
            </w:r>
          </w:p>
        </w:tc>
      </w:tr>
      <w:tr w:rsidR="00B4328B" w:rsidRPr="000E50F1" w14:paraId="3186B008" w14:textId="77777777" w:rsidTr="00FC7210">
        <w:trPr>
          <w:trHeight w:val="161"/>
          <w:jc w:val="center"/>
        </w:trPr>
        <w:tc>
          <w:tcPr>
            <w:cnfStyle w:val="001000000000" w:firstRow="0" w:lastRow="0" w:firstColumn="1" w:lastColumn="0" w:oddVBand="0" w:evenVBand="0" w:oddHBand="0" w:evenHBand="0" w:firstRowFirstColumn="0" w:firstRowLastColumn="0" w:lastRowFirstColumn="0" w:lastRowLastColumn="0"/>
            <w:tcW w:w="150" w:type="pct"/>
            <w:shd w:val="clear" w:color="auto" w:fill="EAEDF1" w:themeFill="text2" w:themeFillTint="1A"/>
            <w:vAlign w:val="center"/>
          </w:tcPr>
          <w:p w14:paraId="35AC2A45" w14:textId="77777777" w:rsidR="009575BD" w:rsidRPr="000E50F1" w:rsidRDefault="009575BD" w:rsidP="00B16565">
            <w:pPr>
              <w:ind w:left="113" w:right="4"/>
              <w:contextualSpacing/>
              <w:rPr>
                <w:rFonts w:asciiTheme="minorHAnsi" w:hAnsiTheme="minorHAnsi" w:cstheme="majorHAnsi"/>
                <w:b w:val="0"/>
                <w:color w:val="auto"/>
                <w:sz w:val="22"/>
                <w:szCs w:val="22"/>
              </w:rPr>
            </w:pPr>
          </w:p>
        </w:tc>
        <w:tc>
          <w:tcPr>
            <w:tcW w:w="2867" w:type="pct"/>
            <w:shd w:val="clear" w:color="auto" w:fill="EAEDF1" w:themeFill="text2" w:themeFillTint="1A"/>
            <w:vAlign w:val="center"/>
          </w:tcPr>
          <w:p w14:paraId="28DE71A2" w14:textId="77777777" w:rsidR="009575BD" w:rsidRPr="000E50F1" w:rsidRDefault="009575BD" w:rsidP="00B16565">
            <w:pPr>
              <w:ind w:left="253"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Education</w:t>
            </w:r>
          </w:p>
        </w:tc>
        <w:tc>
          <w:tcPr>
            <w:tcW w:w="801" w:type="pct"/>
            <w:shd w:val="clear" w:color="auto" w:fill="EAEDF1" w:themeFill="text2" w:themeFillTint="1A"/>
            <w:vAlign w:val="center"/>
          </w:tcPr>
          <w:p w14:paraId="78BA2D9D"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50</w:t>
            </w:r>
          </w:p>
        </w:tc>
        <w:tc>
          <w:tcPr>
            <w:tcW w:w="1181" w:type="pct"/>
            <w:vMerge w:val="restart"/>
            <w:shd w:val="clear" w:color="auto" w:fill="EAEDF1" w:themeFill="text2" w:themeFillTint="1A"/>
            <w:vAlign w:val="center"/>
          </w:tcPr>
          <w:p w14:paraId="1974D11B"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p>
        </w:tc>
      </w:tr>
      <w:tr w:rsidR="00B4328B" w:rsidRPr="000E50F1" w14:paraId="642621E8" w14:textId="77777777" w:rsidTr="00FC7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 w:type="pct"/>
            <w:shd w:val="clear" w:color="auto" w:fill="EAEDF1" w:themeFill="text2" w:themeFillTint="1A"/>
            <w:vAlign w:val="center"/>
          </w:tcPr>
          <w:p w14:paraId="171BF7BA" w14:textId="77777777" w:rsidR="009575BD" w:rsidRPr="000E50F1" w:rsidRDefault="009575BD" w:rsidP="00B16565">
            <w:pPr>
              <w:ind w:left="113" w:right="4"/>
              <w:contextualSpacing/>
              <w:rPr>
                <w:rFonts w:asciiTheme="minorHAnsi" w:hAnsiTheme="minorHAnsi" w:cstheme="majorHAnsi"/>
                <w:b w:val="0"/>
                <w:color w:val="auto"/>
                <w:sz w:val="22"/>
                <w:szCs w:val="22"/>
              </w:rPr>
            </w:pPr>
          </w:p>
        </w:tc>
        <w:tc>
          <w:tcPr>
            <w:tcW w:w="2867" w:type="pct"/>
            <w:shd w:val="clear" w:color="auto" w:fill="EAEDF1" w:themeFill="text2" w:themeFillTint="1A"/>
            <w:vAlign w:val="center"/>
          </w:tcPr>
          <w:p w14:paraId="26FB65BA" w14:textId="77777777" w:rsidR="009575BD" w:rsidRPr="000E50F1" w:rsidRDefault="009575BD" w:rsidP="00B16565">
            <w:pPr>
              <w:ind w:left="253"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Foreign work experience</w:t>
            </w:r>
          </w:p>
        </w:tc>
        <w:tc>
          <w:tcPr>
            <w:tcW w:w="801" w:type="pct"/>
            <w:shd w:val="clear" w:color="auto" w:fill="EAEDF1" w:themeFill="text2" w:themeFillTint="1A"/>
            <w:vAlign w:val="center"/>
          </w:tcPr>
          <w:p w14:paraId="157A4B2B" w14:textId="77777777" w:rsidR="009575BD" w:rsidRPr="000E50F1" w:rsidRDefault="009575BD" w:rsidP="00B16565">
            <w:pPr>
              <w:ind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50</w:t>
            </w:r>
          </w:p>
        </w:tc>
        <w:tc>
          <w:tcPr>
            <w:tcW w:w="1181" w:type="pct"/>
            <w:vMerge/>
            <w:shd w:val="clear" w:color="auto" w:fill="EAEDF1" w:themeFill="text2" w:themeFillTint="1A"/>
            <w:vAlign w:val="center"/>
          </w:tcPr>
          <w:p w14:paraId="0FA265C0" w14:textId="77777777" w:rsidR="009575BD" w:rsidRPr="000E50F1" w:rsidRDefault="009575BD" w:rsidP="00B16565">
            <w:pPr>
              <w:ind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p>
        </w:tc>
      </w:tr>
      <w:tr w:rsidR="00B4328B" w:rsidRPr="000E50F1" w14:paraId="24CB81F5" w14:textId="77777777" w:rsidTr="00FC7210">
        <w:trPr>
          <w:jc w:val="center"/>
        </w:trPr>
        <w:tc>
          <w:tcPr>
            <w:cnfStyle w:val="001000000000" w:firstRow="0" w:lastRow="0" w:firstColumn="1" w:lastColumn="0" w:oddVBand="0" w:evenVBand="0" w:oddHBand="0" w:evenHBand="0" w:firstRowFirstColumn="0" w:firstRowLastColumn="0" w:lastRowFirstColumn="0" w:lastRowLastColumn="0"/>
            <w:tcW w:w="150" w:type="pct"/>
            <w:shd w:val="clear" w:color="auto" w:fill="EAEDF1" w:themeFill="text2" w:themeFillTint="1A"/>
            <w:vAlign w:val="center"/>
          </w:tcPr>
          <w:p w14:paraId="25EFB319" w14:textId="77777777" w:rsidR="009575BD" w:rsidRPr="000E50F1" w:rsidRDefault="009575BD" w:rsidP="00B16565">
            <w:pPr>
              <w:ind w:left="113" w:right="4"/>
              <w:contextualSpacing/>
              <w:rPr>
                <w:rFonts w:asciiTheme="minorHAnsi" w:hAnsiTheme="minorHAnsi" w:cstheme="majorHAnsi"/>
                <w:b w:val="0"/>
                <w:color w:val="auto"/>
                <w:sz w:val="22"/>
                <w:szCs w:val="22"/>
              </w:rPr>
            </w:pPr>
          </w:p>
        </w:tc>
        <w:tc>
          <w:tcPr>
            <w:tcW w:w="2867" w:type="pct"/>
            <w:shd w:val="clear" w:color="auto" w:fill="EAEDF1" w:themeFill="text2" w:themeFillTint="1A"/>
            <w:vAlign w:val="center"/>
          </w:tcPr>
          <w:p w14:paraId="77B69C8C" w14:textId="77777777" w:rsidR="009575BD" w:rsidRPr="000E50F1" w:rsidRDefault="009575BD" w:rsidP="00B16565">
            <w:pPr>
              <w:ind w:left="253"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Certificate of qualification (for trades applicants only)</w:t>
            </w:r>
          </w:p>
        </w:tc>
        <w:tc>
          <w:tcPr>
            <w:tcW w:w="801" w:type="pct"/>
            <w:shd w:val="clear" w:color="auto" w:fill="EAEDF1" w:themeFill="text2" w:themeFillTint="1A"/>
            <w:vAlign w:val="center"/>
          </w:tcPr>
          <w:p w14:paraId="33A0983A"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50</w:t>
            </w:r>
          </w:p>
        </w:tc>
        <w:tc>
          <w:tcPr>
            <w:tcW w:w="1181" w:type="pct"/>
            <w:vMerge/>
            <w:shd w:val="clear" w:color="auto" w:fill="EAEDF1" w:themeFill="text2" w:themeFillTint="1A"/>
            <w:vAlign w:val="center"/>
          </w:tcPr>
          <w:p w14:paraId="32FCBC2B"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p>
        </w:tc>
      </w:tr>
      <w:tr w:rsidR="00B4328B" w:rsidRPr="000E50F1" w14:paraId="482F76B6" w14:textId="77777777" w:rsidTr="00FC7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19" w:type="pct"/>
            <w:gridSpan w:val="3"/>
            <w:shd w:val="clear" w:color="auto" w:fill="auto"/>
            <w:vAlign w:val="center"/>
          </w:tcPr>
          <w:p w14:paraId="2E4560A8" w14:textId="77777777" w:rsidR="009575BD" w:rsidRPr="000E50F1" w:rsidRDefault="009575BD" w:rsidP="00E85325">
            <w:pPr>
              <w:pStyle w:val="ListParagraph"/>
              <w:numPr>
                <w:ilvl w:val="0"/>
                <w:numId w:val="1"/>
              </w:numPr>
              <w:spacing w:after="0" w:line="240" w:lineRule="auto"/>
              <w:ind w:right="4"/>
              <w:rPr>
                <w:rFonts w:asciiTheme="minorHAnsi" w:eastAsia="Times New Roman" w:hAnsiTheme="minorHAnsi" w:cstheme="majorHAnsi"/>
                <w:color w:val="auto"/>
                <w:sz w:val="22"/>
                <w:lang w:val="en-US"/>
              </w:rPr>
            </w:pPr>
            <w:r w:rsidRPr="000E50F1">
              <w:rPr>
                <w:rFonts w:asciiTheme="minorHAnsi" w:eastAsia="Times New Roman" w:hAnsiTheme="minorHAnsi" w:cstheme="majorHAnsi"/>
                <w:color w:val="auto"/>
                <w:sz w:val="22"/>
              </w:rPr>
              <w:t>Additional Points:</w:t>
            </w:r>
          </w:p>
        </w:tc>
        <w:tc>
          <w:tcPr>
            <w:tcW w:w="1181" w:type="pct"/>
            <w:shd w:val="clear" w:color="auto" w:fill="auto"/>
            <w:vAlign w:val="center"/>
          </w:tcPr>
          <w:p w14:paraId="3699DFE7" w14:textId="77777777" w:rsidR="009575BD" w:rsidRPr="000E50F1" w:rsidRDefault="009575BD" w:rsidP="00B16565">
            <w:pPr>
              <w:ind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600</w:t>
            </w:r>
          </w:p>
        </w:tc>
      </w:tr>
      <w:tr w:rsidR="00B4328B" w:rsidRPr="000E50F1" w14:paraId="7BC0F5BB" w14:textId="77777777" w:rsidTr="00FC7210">
        <w:trPr>
          <w:trHeight w:val="153"/>
          <w:jc w:val="center"/>
        </w:trPr>
        <w:tc>
          <w:tcPr>
            <w:cnfStyle w:val="001000000000" w:firstRow="0" w:lastRow="0" w:firstColumn="1" w:lastColumn="0" w:oddVBand="0" w:evenVBand="0" w:oddHBand="0" w:evenHBand="0" w:firstRowFirstColumn="0" w:firstRowLastColumn="0" w:lastRowFirstColumn="0" w:lastRowLastColumn="0"/>
            <w:tcW w:w="150" w:type="pct"/>
            <w:shd w:val="clear" w:color="auto" w:fill="EAEDF1" w:themeFill="text2" w:themeFillTint="1A"/>
            <w:vAlign w:val="center"/>
          </w:tcPr>
          <w:p w14:paraId="5FE9FD21" w14:textId="77777777" w:rsidR="009575BD" w:rsidRPr="000E50F1" w:rsidRDefault="009575BD" w:rsidP="00B16565">
            <w:pPr>
              <w:ind w:left="113" w:right="4"/>
              <w:contextualSpacing/>
              <w:rPr>
                <w:rFonts w:asciiTheme="minorHAnsi" w:hAnsiTheme="minorHAnsi" w:cstheme="majorHAnsi"/>
                <w:b w:val="0"/>
                <w:color w:val="auto"/>
                <w:sz w:val="22"/>
                <w:szCs w:val="22"/>
              </w:rPr>
            </w:pPr>
          </w:p>
        </w:tc>
        <w:tc>
          <w:tcPr>
            <w:tcW w:w="2867" w:type="pct"/>
            <w:shd w:val="clear" w:color="auto" w:fill="EAEDF1" w:themeFill="text2" w:themeFillTint="1A"/>
            <w:vAlign w:val="center"/>
          </w:tcPr>
          <w:p w14:paraId="2EA0D31A" w14:textId="77777777" w:rsidR="009575BD" w:rsidRPr="000E50F1" w:rsidRDefault="009575BD" w:rsidP="00B16565">
            <w:pPr>
              <w:ind w:left="253"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Post-secondary education credentials obtained in Canada</w:t>
            </w:r>
          </w:p>
        </w:tc>
        <w:tc>
          <w:tcPr>
            <w:tcW w:w="801" w:type="pct"/>
            <w:shd w:val="clear" w:color="auto" w:fill="EAEDF1" w:themeFill="text2" w:themeFillTint="1A"/>
            <w:vAlign w:val="center"/>
          </w:tcPr>
          <w:p w14:paraId="6ACF4670"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30</w:t>
            </w:r>
          </w:p>
        </w:tc>
        <w:tc>
          <w:tcPr>
            <w:tcW w:w="1181" w:type="pct"/>
            <w:vMerge w:val="restart"/>
            <w:shd w:val="clear" w:color="auto" w:fill="EAEDF1" w:themeFill="text2" w:themeFillTint="1A"/>
            <w:vAlign w:val="center"/>
          </w:tcPr>
          <w:p w14:paraId="2CCE2728"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p>
        </w:tc>
      </w:tr>
      <w:tr w:rsidR="00B4328B" w:rsidRPr="000E50F1" w14:paraId="1E6A06CD" w14:textId="77777777" w:rsidTr="00FC7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 w:type="pct"/>
            <w:shd w:val="clear" w:color="auto" w:fill="EAEDF1" w:themeFill="text2" w:themeFillTint="1A"/>
            <w:vAlign w:val="center"/>
          </w:tcPr>
          <w:p w14:paraId="349FFCB9" w14:textId="77777777" w:rsidR="009575BD" w:rsidRPr="000E50F1" w:rsidRDefault="009575BD" w:rsidP="00B16565">
            <w:pPr>
              <w:ind w:left="113" w:right="4"/>
              <w:contextualSpacing/>
              <w:rPr>
                <w:rFonts w:asciiTheme="minorHAnsi" w:hAnsiTheme="minorHAnsi" w:cstheme="majorHAnsi"/>
                <w:b w:val="0"/>
                <w:color w:val="auto"/>
                <w:sz w:val="22"/>
                <w:szCs w:val="22"/>
              </w:rPr>
            </w:pPr>
          </w:p>
        </w:tc>
        <w:tc>
          <w:tcPr>
            <w:tcW w:w="2867" w:type="pct"/>
            <w:shd w:val="clear" w:color="auto" w:fill="EAEDF1" w:themeFill="text2" w:themeFillTint="1A"/>
            <w:vAlign w:val="center"/>
          </w:tcPr>
          <w:p w14:paraId="78AF0D5C" w14:textId="77777777" w:rsidR="009575BD" w:rsidRPr="000E50F1" w:rsidRDefault="009575BD" w:rsidP="00B16565">
            <w:pPr>
              <w:ind w:left="253"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Arranged employment</w:t>
            </w:r>
          </w:p>
        </w:tc>
        <w:tc>
          <w:tcPr>
            <w:tcW w:w="801" w:type="pct"/>
            <w:shd w:val="clear" w:color="auto" w:fill="EAEDF1" w:themeFill="text2" w:themeFillTint="1A"/>
            <w:vAlign w:val="center"/>
          </w:tcPr>
          <w:p w14:paraId="6EA07F8D" w14:textId="77777777" w:rsidR="009575BD" w:rsidRPr="000E50F1" w:rsidRDefault="009575BD" w:rsidP="00B16565">
            <w:pPr>
              <w:ind w:right="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200</w:t>
            </w:r>
          </w:p>
        </w:tc>
        <w:tc>
          <w:tcPr>
            <w:tcW w:w="1181" w:type="pct"/>
            <w:vMerge/>
            <w:shd w:val="clear" w:color="auto" w:fill="D0CECE" w:themeFill="background2" w:themeFillShade="E6"/>
            <w:vAlign w:val="center"/>
          </w:tcPr>
          <w:p w14:paraId="1E4A2B40"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color w:val="auto"/>
                <w:sz w:val="22"/>
                <w:szCs w:val="22"/>
              </w:rPr>
            </w:pPr>
          </w:p>
        </w:tc>
      </w:tr>
      <w:tr w:rsidR="00B4328B" w:rsidRPr="000E50F1" w14:paraId="1E7755E7" w14:textId="77777777" w:rsidTr="00FC7210">
        <w:trPr>
          <w:jc w:val="center"/>
        </w:trPr>
        <w:tc>
          <w:tcPr>
            <w:cnfStyle w:val="001000000000" w:firstRow="0" w:lastRow="0" w:firstColumn="1" w:lastColumn="0" w:oddVBand="0" w:evenVBand="0" w:oddHBand="0" w:evenHBand="0" w:firstRowFirstColumn="0" w:firstRowLastColumn="0" w:lastRowFirstColumn="0" w:lastRowLastColumn="0"/>
            <w:tcW w:w="150" w:type="pct"/>
            <w:tcBorders>
              <w:bottom w:val="single" w:sz="4" w:space="0" w:color="auto"/>
            </w:tcBorders>
            <w:shd w:val="clear" w:color="auto" w:fill="EAEDF1" w:themeFill="text2" w:themeFillTint="1A"/>
            <w:vAlign w:val="center"/>
          </w:tcPr>
          <w:p w14:paraId="6493A410" w14:textId="77777777" w:rsidR="009575BD" w:rsidRPr="000E50F1" w:rsidRDefault="009575BD" w:rsidP="00B16565">
            <w:pPr>
              <w:ind w:left="113" w:right="4"/>
              <w:contextualSpacing/>
              <w:rPr>
                <w:rFonts w:asciiTheme="minorHAnsi" w:hAnsiTheme="minorHAnsi" w:cstheme="majorHAnsi"/>
                <w:b w:val="0"/>
                <w:color w:val="auto"/>
                <w:sz w:val="22"/>
                <w:szCs w:val="22"/>
              </w:rPr>
            </w:pPr>
          </w:p>
        </w:tc>
        <w:tc>
          <w:tcPr>
            <w:tcW w:w="2867" w:type="pct"/>
            <w:tcBorders>
              <w:bottom w:val="single" w:sz="4" w:space="0" w:color="auto"/>
            </w:tcBorders>
            <w:shd w:val="clear" w:color="auto" w:fill="EAEDF1" w:themeFill="text2" w:themeFillTint="1A"/>
            <w:vAlign w:val="center"/>
          </w:tcPr>
          <w:p w14:paraId="0F09DF7E" w14:textId="77777777" w:rsidR="009575BD" w:rsidRPr="000E50F1" w:rsidRDefault="009575BD" w:rsidP="00B16565">
            <w:pPr>
              <w:ind w:left="253"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Province or territory nomination</w:t>
            </w:r>
          </w:p>
        </w:tc>
        <w:tc>
          <w:tcPr>
            <w:tcW w:w="801" w:type="pct"/>
            <w:tcBorders>
              <w:bottom w:val="single" w:sz="4" w:space="0" w:color="auto"/>
            </w:tcBorders>
            <w:shd w:val="clear" w:color="auto" w:fill="EAEDF1" w:themeFill="text2" w:themeFillTint="1A"/>
            <w:vAlign w:val="center"/>
          </w:tcPr>
          <w:p w14:paraId="08CFAAE9" w14:textId="77777777" w:rsidR="009575BD" w:rsidRPr="000E50F1" w:rsidRDefault="009575BD" w:rsidP="00B16565">
            <w:pPr>
              <w:ind w:right="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600</w:t>
            </w:r>
          </w:p>
        </w:tc>
        <w:tc>
          <w:tcPr>
            <w:tcW w:w="1181" w:type="pct"/>
            <w:vMerge/>
            <w:tcBorders>
              <w:bottom w:val="single" w:sz="4" w:space="0" w:color="auto"/>
            </w:tcBorders>
            <w:shd w:val="clear" w:color="auto" w:fill="D0CECE" w:themeFill="background2" w:themeFillShade="E6"/>
            <w:vAlign w:val="center"/>
          </w:tcPr>
          <w:p w14:paraId="21DC60B9"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color w:val="auto"/>
                <w:sz w:val="22"/>
                <w:szCs w:val="22"/>
              </w:rPr>
            </w:pPr>
          </w:p>
        </w:tc>
      </w:tr>
      <w:tr w:rsidR="00B4328B" w:rsidRPr="000E50F1" w14:paraId="2051FBF6" w14:textId="77777777" w:rsidTr="00FC7210">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819" w:type="pct"/>
            <w:gridSpan w:val="3"/>
            <w:tcBorders>
              <w:top w:val="single" w:sz="4" w:space="0" w:color="auto"/>
            </w:tcBorders>
            <w:shd w:val="clear" w:color="auto" w:fill="auto"/>
            <w:vAlign w:val="center"/>
          </w:tcPr>
          <w:p w14:paraId="63273756" w14:textId="77777777" w:rsidR="009575BD" w:rsidRPr="000E50F1" w:rsidRDefault="009575BD" w:rsidP="00B16565">
            <w:pPr>
              <w:ind w:right="4"/>
              <w:rPr>
                <w:rFonts w:asciiTheme="minorHAnsi" w:hAnsiTheme="minorHAnsi" w:cstheme="majorHAnsi"/>
                <w:color w:val="auto"/>
                <w:sz w:val="22"/>
                <w:szCs w:val="22"/>
              </w:rPr>
            </w:pPr>
            <w:r w:rsidRPr="000E50F1">
              <w:rPr>
                <w:rFonts w:asciiTheme="minorHAnsi" w:hAnsiTheme="minorHAnsi" w:cstheme="majorHAnsi"/>
                <w:color w:val="auto"/>
                <w:sz w:val="22"/>
                <w:szCs w:val="22"/>
              </w:rPr>
              <w:t>Total Maximum CRS Score</w:t>
            </w:r>
          </w:p>
        </w:tc>
        <w:tc>
          <w:tcPr>
            <w:tcW w:w="1181" w:type="pct"/>
            <w:tcBorders>
              <w:top w:val="single" w:sz="4" w:space="0" w:color="auto"/>
            </w:tcBorders>
            <w:shd w:val="clear" w:color="auto" w:fill="auto"/>
            <w:vAlign w:val="center"/>
          </w:tcPr>
          <w:p w14:paraId="7282D5D3"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
                <w:bCs/>
                <w:color w:val="auto"/>
                <w:sz w:val="22"/>
                <w:szCs w:val="22"/>
              </w:rPr>
            </w:pPr>
            <w:r w:rsidRPr="000E50F1">
              <w:rPr>
                <w:rFonts w:asciiTheme="minorHAnsi" w:eastAsia="Times New Roman" w:hAnsiTheme="minorHAnsi" w:cstheme="majorHAnsi"/>
                <w:b/>
                <w:bCs/>
                <w:color w:val="auto"/>
                <w:sz w:val="22"/>
                <w:szCs w:val="22"/>
              </w:rPr>
              <w:t>1,200</w:t>
            </w:r>
          </w:p>
        </w:tc>
      </w:tr>
    </w:tbl>
    <w:p w14:paraId="79357FFC" w14:textId="77777777" w:rsidR="0049719E" w:rsidRPr="000E50F1" w:rsidRDefault="0049719E" w:rsidP="0049719E">
      <w:pPr>
        <w:pStyle w:val="Caption"/>
        <w:rPr>
          <w:rFonts w:ascii="Times" w:hAnsi="Times"/>
          <w:i/>
          <w:iCs w:val="0"/>
        </w:rPr>
      </w:pPr>
    </w:p>
    <w:p w14:paraId="601F5535" w14:textId="6480ACDB" w:rsidR="00B62BFA" w:rsidRPr="000E50F1" w:rsidRDefault="0049719E" w:rsidP="0049719E">
      <w:pPr>
        <w:pStyle w:val="Caption"/>
        <w:ind w:left="567" w:hanging="567"/>
        <w:rPr>
          <w:rFonts w:ascii="Times" w:hAnsi="Times"/>
          <w:i/>
          <w:iCs w:val="0"/>
          <w:sz w:val="24"/>
          <w:szCs w:val="20"/>
        </w:rPr>
      </w:pPr>
      <w:bookmarkStart w:id="22" w:name="_Toc54510705"/>
      <w:r w:rsidRPr="000E50F1">
        <w:rPr>
          <w:rFonts w:ascii="Times" w:hAnsi="Times"/>
          <w:i/>
          <w:iCs w:val="0"/>
          <w:sz w:val="24"/>
          <w:szCs w:val="20"/>
        </w:rPr>
        <w:t xml:space="preserve">Table </w:t>
      </w:r>
      <w:r w:rsidRPr="000E50F1">
        <w:rPr>
          <w:rFonts w:ascii="Times" w:hAnsi="Times"/>
          <w:i/>
          <w:iCs w:val="0"/>
          <w:sz w:val="24"/>
          <w:szCs w:val="20"/>
        </w:rPr>
        <w:fldChar w:fldCharType="begin"/>
      </w:r>
      <w:r w:rsidRPr="000E50F1">
        <w:rPr>
          <w:rFonts w:ascii="Times" w:hAnsi="Times"/>
          <w:i/>
          <w:iCs w:val="0"/>
          <w:sz w:val="24"/>
          <w:szCs w:val="20"/>
        </w:rPr>
        <w:instrText xml:space="preserve"> SEQ Table \* ARABIC </w:instrText>
      </w:r>
      <w:r w:rsidRPr="000E50F1">
        <w:rPr>
          <w:rFonts w:ascii="Times" w:hAnsi="Times"/>
          <w:i/>
          <w:iCs w:val="0"/>
          <w:sz w:val="24"/>
          <w:szCs w:val="20"/>
        </w:rPr>
        <w:fldChar w:fldCharType="separate"/>
      </w:r>
      <w:r w:rsidR="003B1B28" w:rsidRPr="000E50F1">
        <w:rPr>
          <w:rFonts w:ascii="Times" w:hAnsi="Times"/>
          <w:i/>
          <w:iCs w:val="0"/>
          <w:noProof/>
          <w:sz w:val="24"/>
          <w:szCs w:val="20"/>
        </w:rPr>
        <w:t>4</w:t>
      </w:r>
      <w:r w:rsidRPr="000E50F1">
        <w:rPr>
          <w:rFonts w:ascii="Times" w:hAnsi="Times"/>
          <w:i/>
          <w:iCs w:val="0"/>
          <w:sz w:val="24"/>
          <w:szCs w:val="20"/>
        </w:rPr>
        <w:fldChar w:fldCharType="end"/>
      </w:r>
      <w:r w:rsidR="009575BD" w:rsidRPr="000E50F1">
        <w:rPr>
          <w:rFonts w:ascii="Times" w:eastAsia="Calibri" w:hAnsi="Times"/>
          <w:bCs/>
          <w:i/>
          <w:sz w:val="24"/>
          <w:szCs w:val="20"/>
        </w:rPr>
        <w:t xml:space="preserve">. </w:t>
      </w:r>
      <w:r w:rsidR="00B62BFA" w:rsidRPr="000E50F1">
        <w:rPr>
          <w:rFonts w:ascii="Times" w:hAnsi="Times"/>
          <w:iCs w:val="0"/>
          <w:sz w:val="24"/>
          <w:szCs w:val="20"/>
        </w:rPr>
        <w:t>CRS score breakdown for candidates with no spouse or common-law partner. Calculations for CRS components from IRCC (2016i)</w:t>
      </w:r>
      <w:bookmarkEnd w:id="22"/>
      <w:r w:rsidR="00B62BFA" w:rsidRPr="000E50F1">
        <w:rPr>
          <w:rFonts w:ascii="Times" w:hAnsi="Times"/>
          <w:i/>
          <w:sz w:val="24"/>
          <w:szCs w:val="20"/>
        </w:rPr>
        <w:t xml:space="preserve"> </w:t>
      </w:r>
    </w:p>
    <w:p w14:paraId="7E1BB412" w14:textId="2D14B35D" w:rsidR="009575BD" w:rsidRPr="000E50F1" w:rsidRDefault="009575BD" w:rsidP="00D57740">
      <w:pPr>
        <w:pStyle w:val="Caption"/>
        <w:ind w:left="567" w:hanging="567"/>
        <w:rPr>
          <w:rFonts w:ascii="Times" w:eastAsia="Calibri" w:hAnsi="Times"/>
          <w:bCs/>
          <w:sz w:val="24"/>
          <w:szCs w:val="24"/>
          <w:lang w:val="en-US"/>
        </w:rPr>
      </w:pPr>
    </w:p>
    <w:p w14:paraId="7BCC8674" w14:textId="651C848A" w:rsidR="009575BD" w:rsidRPr="000E50F1" w:rsidRDefault="009575BD" w:rsidP="009575BD">
      <w:pPr>
        <w:rPr>
          <w:rFonts w:ascii="Times" w:eastAsia="Calibri" w:hAnsi="Times"/>
          <w:b/>
          <w:lang w:val="en-US"/>
        </w:rPr>
      </w:pPr>
    </w:p>
    <w:p w14:paraId="601E0FE4" w14:textId="77777777" w:rsidR="00113E5F" w:rsidRPr="000E50F1" w:rsidRDefault="00113E5F">
      <w:r w:rsidRPr="000E50F1">
        <w:rPr>
          <w:b/>
          <w:bCs/>
        </w:rPr>
        <w:br w:type="page"/>
      </w:r>
    </w:p>
    <w:tbl>
      <w:tblPr>
        <w:tblStyle w:val="GridTable4-Accent6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7"/>
        <w:gridCol w:w="1136"/>
        <w:gridCol w:w="1478"/>
        <w:gridCol w:w="1132"/>
        <w:gridCol w:w="1477"/>
      </w:tblGrid>
      <w:tr w:rsidR="00B4328B" w:rsidRPr="000E50F1" w14:paraId="440B7F4C" w14:textId="77777777" w:rsidTr="006B645A">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707" w:type="pct"/>
            <w:tcBorders>
              <w:top w:val="none" w:sz="0" w:space="0" w:color="auto"/>
              <w:left w:val="none" w:sz="0" w:space="0" w:color="auto"/>
              <w:bottom w:val="single" w:sz="4" w:space="0" w:color="auto"/>
            </w:tcBorders>
            <w:shd w:val="clear" w:color="auto" w:fill="EAEDF1" w:themeFill="text2" w:themeFillTint="1A"/>
            <w:vAlign w:val="center"/>
          </w:tcPr>
          <w:p w14:paraId="60722C66" w14:textId="7AC12E67" w:rsidR="009575BD" w:rsidRPr="000E50F1" w:rsidRDefault="009575BD" w:rsidP="009575BD">
            <w:pPr>
              <w:ind w:right="6"/>
              <w:contextualSpacing/>
              <w:rPr>
                <w:rFonts w:asciiTheme="minorHAnsi" w:hAnsiTheme="minorHAnsi" w:cstheme="majorHAnsi"/>
                <w:color w:val="auto"/>
                <w:sz w:val="22"/>
                <w:szCs w:val="22"/>
              </w:rPr>
            </w:pPr>
          </w:p>
        </w:tc>
        <w:tc>
          <w:tcPr>
            <w:tcW w:w="716" w:type="pct"/>
            <w:tcBorders>
              <w:top w:val="none" w:sz="0" w:space="0" w:color="auto"/>
              <w:bottom w:val="single" w:sz="4" w:space="0" w:color="auto"/>
            </w:tcBorders>
            <w:shd w:val="clear" w:color="auto" w:fill="EAEDF1" w:themeFill="text2" w:themeFillTint="1A"/>
            <w:vAlign w:val="center"/>
          </w:tcPr>
          <w:p w14:paraId="171E3154" w14:textId="77777777" w:rsidR="009575BD" w:rsidRPr="000E50F1" w:rsidRDefault="009575BD" w:rsidP="009575BD">
            <w:pPr>
              <w:ind w:right="6"/>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2014 Total</w:t>
            </w:r>
          </w:p>
        </w:tc>
        <w:tc>
          <w:tcPr>
            <w:tcW w:w="932" w:type="pct"/>
            <w:tcBorders>
              <w:top w:val="none" w:sz="0" w:space="0" w:color="auto"/>
              <w:bottom w:val="single" w:sz="4" w:space="0" w:color="auto"/>
            </w:tcBorders>
            <w:shd w:val="clear" w:color="auto" w:fill="EAEDF1" w:themeFill="text2" w:themeFillTint="1A"/>
            <w:vAlign w:val="center"/>
          </w:tcPr>
          <w:p w14:paraId="7C57290C" w14:textId="77777777" w:rsidR="009575BD" w:rsidRPr="000E50F1" w:rsidRDefault="009575BD" w:rsidP="009575BD">
            <w:pPr>
              <w:ind w:right="6"/>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Proportion (%)</w:t>
            </w:r>
          </w:p>
        </w:tc>
        <w:tc>
          <w:tcPr>
            <w:tcW w:w="714" w:type="pct"/>
            <w:tcBorders>
              <w:top w:val="none" w:sz="0" w:space="0" w:color="auto"/>
              <w:bottom w:val="single" w:sz="4" w:space="0" w:color="auto"/>
            </w:tcBorders>
            <w:shd w:val="clear" w:color="auto" w:fill="EAEDF1" w:themeFill="text2" w:themeFillTint="1A"/>
            <w:vAlign w:val="center"/>
          </w:tcPr>
          <w:p w14:paraId="36CEA0C7" w14:textId="77777777" w:rsidR="009575BD" w:rsidRPr="000E50F1" w:rsidRDefault="009575BD" w:rsidP="009575BD">
            <w:pPr>
              <w:ind w:right="6"/>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2015 Total</w:t>
            </w:r>
          </w:p>
        </w:tc>
        <w:tc>
          <w:tcPr>
            <w:tcW w:w="931" w:type="pct"/>
            <w:tcBorders>
              <w:top w:val="none" w:sz="0" w:space="0" w:color="auto"/>
              <w:bottom w:val="single" w:sz="4" w:space="0" w:color="auto"/>
              <w:right w:val="none" w:sz="0" w:space="0" w:color="auto"/>
            </w:tcBorders>
            <w:shd w:val="clear" w:color="auto" w:fill="EAEDF1" w:themeFill="text2" w:themeFillTint="1A"/>
            <w:vAlign w:val="center"/>
          </w:tcPr>
          <w:p w14:paraId="2FFAD008" w14:textId="77777777" w:rsidR="009575BD" w:rsidRPr="000E50F1" w:rsidRDefault="009575BD" w:rsidP="009575BD">
            <w:pPr>
              <w:ind w:right="6"/>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color w:val="auto"/>
                <w:sz w:val="22"/>
                <w:szCs w:val="22"/>
              </w:rPr>
            </w:pPr>
            <w:r w:rsidRPr="000E50F1">
              <w:rPr>
                <w:rFonts w:asciiTheme="minorHAnsi" w:hAnsiTheme="minorHAnsi" w:cstheme="majorHAnsi"/>
                <w:color w:val="auto"/>
                <w:sz w:val="22"/>
                <w:szCs w:val="22"/>
              </w:rPr>
              <w:t>Proportion (%)</w:t>
            </w:r>
          </w:p>
        </w:tc>
      </w:tr>
      <w:tr w:rsidR="00B4328B" w:rsidRPr="000E50F1" w14:paraId="70B08A32" w14:textId="77777777" w:rsidTr="00FC7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7" w:type="pct"/>
            <w:tcBorders>
              <w:top w:val="single" w:sz="4" w:space="0" w:color="auto"/>
            </w:tcBorders>
            <w:shd w:val="clear" w:color="auto" w:fill="FFFFFF" w:themeFill="background1"/>
            <w:vAlign w:val="center"/>
          </w:tcPr>
          <w:p w14:paraId="081F6FE3"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Toronto</w:t>
            </w:r>
          </w:p>
        </w:tc>
        <w:tc>
          <w:tcPr>
            <w:tcW w:w="716" w:type="pct"/>
            <w:tcBorders>
              <w:top w:val="single" w:sz="4" w:space="0" w:color="auto"/>
            </w:tcBorders>
            <w:shd w:val="clear" w:color="auto" w:fill="FFFFFF" w:themeFill="background1"/>
            <w:vAlign w:val="center"/>
          </w:tcPr>
          <w:p w14:paraId="391412CF"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75,654</w:t>
            </w:r>
          </w:p>
        </w:tc>
        <w:tc>
          <w:tcPr>
            <w:tcW w:w="932" w:type="pct"/>
            <w:tcBorders>
              <w:top w:val="single" w:sz="4" w:space="0" w:color="auto"/>
            </w:tcBorders>
            <w:shd w:val="clear" w:color="auto" w:fill="FFFFFF" w:themeFill="background1"/>
            <w:vAlign w:val="center"/>
          </w:tcPr>
          <w:p w14:paraId="522263A5"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79</w:t>
            </w:r>
          </w:p>
        </w:tc>
        <w:tc>
          <w:tcPr>
            <w:tcW w:w="714" w:type="pct"/>
            <w:tcBorders>
              <w:top w:val="single" w:sz="4" w:space="0" w:color="auto"/>
            </w:tcBorders>
            <w:shd w:val="clear" w:color="auto" w:fill="FFFFFF" w:themeFill="background1"/>
            <w:vAlign w:val="center"/>
          </w:tcPr>
          <w:p w14:paraId="0C557F9F"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82,097</w:t>
            </w:r>
          </w:p>
        </w:tc>
        <w:tc>
          <w:tcPr>
            <w:tcW w:w="931" w:type="pct"/>
            <w:tcBorders>
              <w:top w:val="single" w:sz="4" w:space="0" w:color="auto"/>
            </w:tcBorders>
            <w:shd w:val="clear" w:color="auto" w:fill="FFFFFF" w:themeFill="background1"/>
            <w:vAlign w:val="center"/>
          </w:tcPr>
          <w:p w14:paraId="470D9F99"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79</w:t>
            </w:r>
          </w:p>
        </w:tc>
      </w:tr>
      <w:tr w:rsidR="00B4328B" w:rsidRPr="000E50F1" w14:paraId="2D06E3B3" w14:textId="77777777" w:rsidTr="00FC7210">
        <w:trPr>
          <w:jc w:val="center"/>
        </w:trPr>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3FB2834B"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Ottawa-Gatineau</w:t>
            </w:r>
          </w:p>
        </w:tc>
        <w:tc>
          <w:tcPr>
            <w:tcW w:w="716" w:type="pct"/>
            <w:shd w:val="clear" w:color="auto" w:fill="EAEDF1" w:themeFill="text2" w:themeFillTint="1A"/>
            <w:vAlign w:val="center"/>
          </w:tcPr>
          <w:p w14:paraId="3E63BA13"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5,257</w:t>
            </w:r>
          </w:p>
        </w:tc>
        <w:tc>
          <w:tcPr>
            <w:tcW w:w="932" w:type="pct"/>
            <w:shd w:val="clear" w:color="auto" w:fill="EAEDF1" w:themeFill="text2" w:themeFillTint="1A"/>
            <w:vAlign w:val="center"/>
          </w:tcPr>
          <w:p w14:paraId="12E63EFA"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5</w:t>
            </w:r>
          </w:p>
        </w:tc>
        <w:tc>
          <w:tcPr>
            <w:tcW w:w="714" w:type="pct"/>
            <w:shd w:val="clear" w:color="auto" w:fill="EAEDF1" w:themeFill="text2" w:themeFillTint="1A"/>
            <w:vAlign w:val="center"/>
          </w:tcPr>
          <w:p w14:paraId="260AA8A8"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6,246</w:t>
            </w:r>
          </w:p>
        </w:tc>
        <w:tc>
          <w:tcPr>
            <w:tcW w:w="931" w:type="pct"/>
            <w:shd w:val="clear" w:color="auto" w:fill="EAEDF1" w:themeFill="text2" w:themeFillTint="1A"/>
            <w:vAlign w:val="center"/>
          </w:tcPr>
          <w:p w14:paraId="01F4F27A"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6</w:t>
            </w:r>
          </w:p>
        </w:tc>
      </w:tr>
      <w:tr w:rsidR="00B4328B" w:rsidRPr="000E50F1" w14:paraId="1BCE7B34" w14:textId="77777777" w:rsidTr="00FC7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7C5A1867"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Hamilton</w:t>
            </w:r>
          </w:p>
        </w:tc>
        <w:tc>
          <w:tcPr>
            <w:tcW w:w="716" w:type="pct"/>
            <w:shd w:val="clear" w:color="auto" w:fill="FFFFFF" w:themeFill="background1"/>
            <w:vAlign w:val="center"/>
          </w:tcPr>
          <w:p w14:paraId="2767181D"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3,103</w:t>
            </w:r>
          </w:p>
        </w:tc>
        <w:tc>
          <w:tcPr>
            <w:tcW w:w="932" w:type="pct"/>
            <w:shd w:val="clear" w:color="auto" w:fill="FFFFFF" w:themeFill="background1"/>
            <w:vAlign w:val="center"/>
          </w:tcPr>
          <w:p w14:paraId="3914CB34"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3</w:t>
            </w:r>
          </w:p>
        </w:tc>
        <w:tc>
          <w:tcPr>
            <w:tcW w:w="714" w:type="pct"/>
            <w:shd w:val="clear" w:color="auto" w:fill="FFFFFF" w:themeFill="background1"/>
            <w:vAlign w:val="center"/>
          </w:tcPr>
          <w:p w14:paraId="6DC46C58"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3,021</w:t>
            </w:r>
          </w:p>
        </w:tc>
        <w:tc>
          <w:tcPr>
            <w:tcW w:w="931" w:type="pct"/>
            <w:shd w:val="clear" w:color="auto" w:fill="FFFFFF" w:themeFill="background1"/>
            <w:vAlign w:val="center"/>
          </w:tcPr>
          <w:p w14:paraId="237D5FBC"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3</w:t>
            </w:r>
          </w:p>
        </w:tc>
      </w:tr>
      <w:tr w:rsidR="00B4328B" w:rsidRPr="000E50F1" w14:paraId="688656EF" w14:textId="77777777" w:rsidTr="00FC7210">
        <w:trPr>
          <w:trHeight w:val="222"/>
          <w:jc w:val="center"/>
        </w:trPr>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5B592D71"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Kitchener-Cambridge-Waterloo</w:t>
            </w:r>
          </w:p>
        </w:tc>
        <w:tc>
          <w:tcPr>
            <w:tcW w:w="716" w:type="pct"/>
            <w:shd w:val="clear" w:color="auto" w:fill="EAEDF1" w:themeFill="text2" w:themeFillTint="1A"/>
            <w:vAlign w:val="center"/>
          </w:tcPr>
          <w:p w14:paraId="073120B2"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2,372</w:t>
            </w:r>
          </w:p>
        </w:tc>
        <w:tc>
          <w:tcPr>
            <w:tcW w:w="932" w:type="pct"/>
            <w:shd w:val="clear" w:color="auto" w:fill="EAEDF1" w:themeFill="text2" w:themeFillTint="1A"/>
            <w:vAlign w:val="center"/>
          </w:tcPr>
          <w:p w14:paraId="02BFFB93"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2</w:t>
            </w:r>
          </w:p>
        </w:tc>
        <w:tc>
          <w:tcPr>
            <w:tcW w:w="714" w:type="pct"/>
            <w:shd w:val="clear" w:color="auto" w:fill="EAEDF1" w:themeFill="text2" w:themeFillTint="1A"/>
            <w:vAlign w:val="center"/>
          </w:tcPr>
          <w:p w14:paraId="1A22DEA4"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2,454</w:t>
            </w:r>
          </w:p>
        </w:tc>
        <w:tc>
          <w:tcPr>
            <w:tcW w:w="931" w:type="pct"/>
            <w:shd w:val="clear" w:color="auto" w:fill="EAEDF1" w:themeFill="text2" w:themeFillTint="1A"/>
            <w:vAlign w:val="center"/>
          </w:tcPr>
          <w:p w14:paraId="46C401D0"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2</w:t>
            </w:r>
          </w:p>
        </w:tc>
      </w:tr>
      <w:tr w:rsidR="00B4328B" w:rsidRPr="000E50F1" w14:paraId="35027CAC" w14:textId="77777777" w:rsidTr="00FC7210">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04C20EE1"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London</w:t>
            </w:r>
          </w:p>
        </w:tc>
        <w:tc>
          <w:tcPr>
            <w:tcW w:w="716" w:type="pct"/>
            <w:shd w:val="clear" w:color="auto" w:fill="FFFFFF" w:themeFill="background1"/>
            <w:vAlign w:val="center"/>
          </w:tcPr>
          <w:p w14:paraId="23C1917A"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2,001</w:t>
            </w:r>
          </w:p>
        </w:tc>
        <w:tc>
          <w:tcPr>
            <w:tcW w:w="932" w:type="pct"/>
            <w:shd w:val="clear" w:color="auto" w:fill="FFFFFF" w:themeFill="background1"/>
            <w:vAlign w:val="center"/>
          </w:tcPr>
          <w:p w14:paraId="53F6B096"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2</w:t>
            </w:r>
          </w:p>
        </w:tc>
        <w:tc>
          <w:tcPr>
            <w:tcW w:w="714" w:type="pct"/>
            <w:shd w:val="clear" w:color="auto" w:fill="FFFFFF" w:themeFill="background1"/>
            <w:vAlign w:val="center"/>
          </w:tcPr>
          <w:p w14:paraId="39E15E55"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1,986</w:t>
            </w:r>
          </w:p>
        </w:tc>
        <w:tc>
          <w:tcPr>
            <w:tcW w:w="931" w:type="pct"/>
            <w:shd w:val="clear" w:color="auto" w:fill="FFFFFF" w:themeFill="background1"/>
            <w:vAlign w:val="center"/>
          </w:tcPr>
          <w:p w14:paraId="15ECB5AD"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2</w:t>
            </w:r>
          </w:p>
        </w:tc>
      </w:tr>
      <w:tr w:rsidR="00B4328B" w:rsidRPr="000E50F1" w14:paraId="78D6F1CD" w14:textId="77777777" w:rsidTr="00FC7210">
        <w:tblPrEx>
          <w:jc w:val="left"/>
        </w:tblPrEx>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3B75AF9F"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Windsor</w:t>
            </w:r>
          </w:p>
        </w:tc>
        <w:tc>
          <w:tcPr>
            <w:tcW w:w="716" w:type="pct"/>
            <w:shd w:val="clear" w:color="auto" w:fill="EAEDF1" w:themeFill="text2" w:themeFillTint="1A"/>
            <w:vAlign w:val="center"/>
          </w:tcPr>
          <w:p w14:paraId="2CDF3823"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1,457</w:t>
            </w:r>
          </w:p>
        </w:tc>
        <w:tc>
          <w:tcPr>
            <w:tcW w:w="932" w:type="pct"/>
            <w:shd w:val="clear" w:color="auto" w:fill="EAEDF1" w:themeFill="text2" w:themeFillTint="1A"/>
            <w:vAlign w:val="center"/>
          </w:tcPr>
          <w:p w14:paraId="0A79543C"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2</w:t>
            </w:r>
          </w:p>
        </w:tc>
        <w:tc>
          <w:tcPr>
            <w:tcW w:w="714" w:type="pct"/>
            <w:shd w:val="clear" w:color="auto" w:fill="EAEDF1" w:themeFill="text2" w:themeFillTint="1A"/>
            <w:vAlign w:val="center"/>
          </w:tcPr>
          <w:p w14:paraId="6BA13A24"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1,809</w:t>
            </w:r>
          </w:p>
        </w:tc>
        <w:tc>
          <w:tcPr>
            <w:tcW w:w="931" w:type="pct"/>
            <w:shd w:val="clear" w:color="auto" w:fill="EAEDF1" w:themeFill="text2" w:themeFillTint="1A"/>
            <w:vAlign w:val="center"/>
          </w:tcPr>
          <w:p w14:paraId="234067B3"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2</w:t>
            </w:r>
          </w:p>
        </w:tc>
      </w:tr>
      <w:tr w:rsidR="00B4328B" w:rsidRPr="000E50F1" w14:paraId="5AA31D33" w14:textId="77777777" w:rsidTr="00FC7210">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69073304"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St. Catharines - Niagara</w:t>
            </w:r>
          </w:p>
        </w:tc>
        <w:tc>
          <w:tcPr>
            <w:tcW w:w="716" w:type="pct"/>
            <w:shd w:val="clear" w:color="auto" w:fill="FFFFFF" w:themeFill="background1"/>
            <w:vAlign w:val="center"/>
          </w:tcPr>
          <w:p w14:paraId="543D0FDF"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915</w:t>
            </w:r>
          </w:p>
        </w:tc>
        <w:tc>
          <w:tcPr>
            <w:tcW w:w="932" w:type="pct"/>
            <w:shd w:val="clear" w:color="auto" w:fill="FFFFFF" w:themeFill="background1"/>
            <w:vAlign w:val="center"/>
          </w:tcPr>
          <w:p w14:paraId="4596BBAC"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w:t>
            </w:r>
          </w:p>
        </w:tc>
        <w:tc>
          <w:tcPr>
            <w:tcW w:w="714" w:type="pct"/>
            <w:shd w:val="clear" w:color="auto" w:fill="FFFFFF" w:themeFill="background1"/>
            <w:vAlign w:val="center"/>
          </w:tcPr>
          <w:p w14:paraId="42AA9146"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921</w:t>
            </w:r>
          </w:p>
        </w:tc>
        <w:tc>
          <w:tcPr>
            <w:tcW w:w="931" w:type="pct"/>
            <w:shd w:val="clear" w:color="auto" w:fill="FFFFFF" w:themeFill="background1"/>
            <w:vAlign w:val="center"/>
          </w:tcPr>
          <w:p w14:paraId="2493F177"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w:t>
            </w:r>
          </w:p>
        </w:tc>
      </w:tr>
      <w:tr w:rsidR="00B4328B" w:rsidRPr="000E50F1" w14:paraId="1E87465F" w14:textId="77777777" w:rsidTr="00FC7210">
        <w:tblPrEx>
          <w:jc w:val="left"/>
        </w:tblPrEx>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3EA4057E"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Oshawa</w:t>
            </w:r>
          </w:p>
        </w:tc>
        <w:tc>
          <w:tcPr>
            <w:tcW w:w="716" w:type="pct"/>
            <w:shd w:val="clear" w:color="auto" w:fill="EAEDF1" w:themeFill="text2" w:themeFillTint="1A"/>
            <w:vAlign w:val="center"/>
          </w:tcPr>
          <w:p w14:paraId="3573960E"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796</w:t>
            </w:r>
          </w:p>
        </w:tc>
        <w:tc>
          <w:tcPr>
            <w:tcW w:w="932" w:type="pct"/>
            <w:shd w:val="clear" w:color="auto" w:fill="EAEDF1" w:themeFill="text2" w:themeFillTint="1A"/>
            <w:vAlign w:val="center"/>
          </w:tcPr>
          <w:p w14:paraId="2E50646A"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w:t>
            </w:r>
          </w:p>
        </w:tc>
        <w:tc>
          <w:tcPr>
            <w:tcW w:w="714" w:type="pct"/>
            <w:shd w:val="clear" w:color="auto" w:fill="EAEDF1" w:themeFill="text2" w:themeFillTint="1A"/>
            <w:vAlign w:val="center"/>
          </w:tcPr>
          <w:p w14:paraId="5D28FB5E"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641</w:t>
            </w:r>
          </w:p>
        </w:tc>
        <w:tc>
          <w:tcPr>
            <w:tcW w:w="931" w:type="pct"/>
            <w:shd w:val="clear" w:color="auto" w:fill="EAEDF1" w:themeFill="text2" w:themeFillTint="1A"/>
            <w:vAlign w:val="center"/>
          </w:tcPr>
          <w:p w14:paraId="08401C38"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w:t>
            </w:r>
          </w:p>
        </w:tc>
      </w:tr>
      <w:tr w:rsidR="00B4328B" w:rsidRPr="000E50F1" w14:paraId="7AFECD00" w14:textId="77777777" w:rsidTr="00FC7210">
        <w:tblPrEx>
          <w:jc w:val="left"/>
        </w:tblPrEx>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46A35C90"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Guelph</w:t>
            </w:r>
          </w:p>
        </w:tc>
        <w:tc>
          <w:tcPr>
            <w:tcW w:w="716" w:type="pct"/>
            <w:shd w:val="clear" w:color="auto" w:fill="FFFFFF" w:themeFill="background1"/>
            <w:vAlign w:val="center"/>
          </w:tcPr>
          <w:p w14:paraId="0422E70B"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609</w:t>
            </w:r>
          </w:p>
        </w:tc>
        <w:tc>
          <w:tcPr>
            <w:tcW w:w="932" w:type="pct"/>
            <w:shd w:val="clear" w:color="auto" w:fill="FFFFFF" w:themeFill="background1"/>
            <w:vAlign w:val="center"/>
          </w:tcPr>
          <w:p w14:paraId="4A064598"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w:t>
            </w:r>
          </w:p>
        </w:tc>
        <w:tc>
          <w:tcPr>
            <w:tcW w:w="714" w:type="pct"/>
            <w:shd w:val="clear" w:color="auto" w:fill="FFFFFF" w:themeFill="background1"/>
            <w:vAlign w:val="center"/>
          </w:tcPr>
          <w:p w14:paraId="6DA8C5B0"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685</w:t>
            </w:r>
          </w:p>
        </w:tc>
        <w:tc>
          <w:tcPr>
            <w:tcW w:w="931" w:type="pct"/>
            <w:shd w:val="clear" w:color="auto" w:fill="FFFFFF" w:themeFill="background1"/>
            <w:vAlign w:val="center"/>
          </w:tcPr>
          <w:p w14:paraId="7EB4D93C"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w:t>
            </w:r>
          </w:p>
        </w:tc>
      </w:tr>
      <w:tr w:rsidR="00B4328B" w:rsidRPr="000E50F1" w14:paraId="3369ED47" w14:textId="77777777" w:rsidTr="00FC7210">
        <w:tblPrEx>
          <w:jc w:val="left"/>
        </w:tblPrEx>
        <w:trPr>
          <w:trHeight w:val="250"/>
        </w:trPr>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1C0B8318"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Peterborough</w:t>
            </w:r>
          </w:p>
        </w:tc>
        <w:tc>
          <w:tcPr>
            <w:tcW w:w="716" w:type="pct"/>
            <w:shd w:val="clear" w:color="auto" w:fill="EAEDF1" w:themeFill="text2" w:themeFillTint="1A"/>
            <w:vAlign w:val="center"/>
          </w:tcPr>
          <w:p w14:paraId="00B10092"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143</w:t>
            </w:r>
          </w:p>
        </w:tc>
        <w:tc>
          <w:tcPr>
            <w:tcW w:w="932" w:type="pct"/>
            <w:shd w:val="clear" w:color="auto" w:fill="EAEDF1" w:themeFill="text2" w:themeFillTint="1A"/>
            <w:vAlign w:val="center"/>
          </w:tcPr>
          <w:p w14:paraId="216F9424"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c>
          <w:tcPr>
            <w:tcW w:w="714" w:type="pct"/>
            <w:shd w:val="clear" w:color="auto" w:fill="EAEDF1" w:themeFill="text2" w:themeFillTint="1A"/>
            <w:vAlign w:val="center"/>
          </w:tcPr>
          <w:p w14:paraId="5092FE46"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149</w:t>
            </w:r>
          </w:p>
        </w:tc>
        <w:tc>
          <w:tcPr>
            <w:tcW w:w="931" w:type="pct"/>
            <w:shd w:val="clear" w:color="auto" w:fill="EAEDF1" w:themeFill="text2" w:themeFillTint="1A"/>
            <w:vAlign w:val="center"/>
          </w:tcPr>
          <w:p w14:paraId="32319690"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r>
      <w:tr w:rsidR="00B4328B" w:rsidRPr="000E50F1" w14:paraId="79F606CD" w14:textId="77777777" w:rsidTr="00FC7210">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01C083E7"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Kingston</w:t>
            </w:r>
          </w:p>
        </w:tc>
        <w:tc>
          <w:tcPr>
            <w:tcW w:w="716" w:type="pct"/>
            <w:shd w:val="clear" w:color="auto" w:fill="FFFFFF" w:themeFill="background1"/>
            <w:vAlign w:val="center"/>
          </w:tcPr>
          <w:p w14:paraId="5190F6DB"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333</w:t>
            </w:r>
          </w:p>
        </w:tc>
        <w:tc>
          <w:tcPr>
            <w:tcW w:w="932" w:type="pct"/>
            <w:shd w:val="clear" w:color="auto" w:fill="FFFFFF" w:themeFill="background1"/>
            <w:vAlign w:val="center"/>
          </w:tcPr>
          <w:p w14:paraId="415B0368"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c>
          <w:tcPr>
            <w:tcW w:w="714" w:type="pct"/>
            <w:shd w:val="clear" w:color="auto" w:fill="FFFFFF" w:themeFill="background1"/>
            <w:vAlign w:val="center"/>
          </w:tcPr>
          <w:p w14:paraId="5B9E8113"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389</w:t>
            </w:r>
          </w:p>
        </w:tc>
        <w:tc>
          <w:tcPr>
            <w:tcW w:w="931" w:type="pct"/>
            <w:shd w:val="clear" w:color="auto" w:fill="FFFFFF" w:themeFill="background1"/>
            <w:vAlign w:val="center"/>
          </w:tcPr>
          <w:p w14:paraId="6ACA9D00"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r>
      <w:tr w:rsidR="00B4328B" w:rsidRPr="000E50F1" w14:paraId="241953AD" w14:textId="77777777" w:rsidTr="00FC7210">
        <w:tblPrEx>
          <w:jc w:val="left"/>
        </w:tblPrEx>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6E6FE5C6"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Barrie</w:t>
            </w:r>
          </w:p>
        </w:tc>
        <w:tc>
          <w:tcPr>
            <w:tcW w:w="716" w:type="pct"/>
            <w:shd w:val="clear" w:color="auto" w:fill="EAEDF1" w:themeFill="text2" w:themeFillTint="1A"/>
            <w:vAlign w:val="center"/>
          </w:tcPr>
          <w:p w14:paraId="55CECE25"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350</w:t>
            </w:r>
          </w:p>
        </w:tc>
        <w:tc>
          <w:tcPr>
            <w:tcW w:w="932" w:type="pct"/>
            <w:shd w:val="clear" w:color="auto" w:fill="EAEDF1" w:themeFill="text2" w:themeFillTint="1A"/>
            <w:vAlign w:val="center"/>
          </w:tcPr>
          <w:p w14:paraId="79C74CF6"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c>
          <w:tcPr>
            <w:tcW w:w="714" w:type="pct"/>
            <w:shd w:val="clear" w:color="auto" w:fill="EAEDF1" w:themeFill="text2" w:themeFillTint="1A"/>
            <w:vAlign w:val="center"/>
          </w:tcPr>
          <w:p w14:paraId="6DE06C4E"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412</w:t>
            </w:r>
          </w:p>
        </w:tc>
        <w:tc>
          <w:tcPr>
            <w:tcW w:w="931" w:type="pct"/>
            <w:shd w:val="clear" w:color="auto" w:fill="EAEDF1" w:themeFill="text2" w:themeFillTint="1A"/>
            <w:vAlign w:val="center"/>
          </w:tcPr>
          <w:p w14:paraId="55A7DEC0"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r>
      <w:tr w:rsidR="00B4328B" w:rsidRPr="000E50F1" w14:paraId="1CD1F13C" w14:textId="77777777" w:rsidTr="00FC7210">
        <w:tblPrEx>
          <w:jc w:val="left"/>
        </w:tblPrEx>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7AABEB36"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Leamington</w:t>
            </w:r>
          </w:p>
        </w:tc>
        <w:tc>
          <w:tcPr>
            <w:tcW w:w="716" w:type="pct"/>
            <w:shd w:val="clear" w:color="auto" w:fill="FFFFFF" w:themeFill="background1"/>
            <w:vAlign w:val="center"/>
          </w:tcPr>
          <w:p w14:paraId="306B6EE1"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132</w:t>
            </w:r>
          </w:p>
        </w:tc>
        <w:tc>
          <w:tcPr>
            <w:tcW w:w="932" w:type="pct"/>
            <w:shd w:val="clear" w:color="auto" w:fill="FFFFFF" w:themeFill="background1"/>
            <w:vAlign w:val="center"/>
          </w:tcPr>
          <w:p w14:paraId="248975BF"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c>
          <w:tcPr>
            <w:tcW w:w="714" w:type="pct"/>
            <w:shd w:val="clear" w:color="auto" w:fill="FFFFFF" w:themeFill="background1"/>
            <w:vAlign w:val="center"/>
          </w:tcPr>
          <w:p w14:paraId="4876E938"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135</w:t>
            </w:r>
          </w:p>
        </w:tc>
        <w:tc>
          <w:tcPr>
            <w:tcW w:w="931" w:type="pct"/>
            <w:shd w:val="clear" w:color="auto" w:fill="FFFFFF" w:themeFill="background1"/>
            <w:vAlign w:val="center"/>
          </w:tcPr>
          <w:p w14:paraId="14DDD21A"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r>
      <w:tr w:rsidR="00B4328B" w:rsidRPr="000E50F1" w14:paraId="4DCF0E9C" w14:textId="77777777" w:rsidTr="00FC7210">
        <w:tblPrEx>
          <w:jc w:val="left"/>
        </w:tblPrEx>
        <w:trPr>
          <w:trHeight w:hRule="exact" w:val="208"/>
        </w:trPr>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3D2050B5"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Belleville</w:t>
            </w:r>
          </w:p>
        </w:tc>
        <w:tc>
          <w:tcPr>
            <w:tcW w:w="716" w:type="pct"/>
            <w:shd w:val="clear" w:color="auto" w:fill="EAEDF1" w:themeFill="text2" w:themeFillTint="1A"/>
            <w:vAlign w:val="center"/>
          </w:tcPr>
          <w:p w14:paraId="1BC4F54A"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243</w:t>
            </w:r>
          </w:p>
        </w:tc>
        <w:tc>
          <w:tcPr>
            <w:tcW w:w="932" w:type="pct"/>
            <w:shd w:val="clear" w:color="auto" w:fill="EAEDF1" w:themeFill="text2" w:themeFillTint="1A"/>
            <w:vAlign w:val="center"/>
          </w:tcPr>
          <w:p w14:paraId="6E02E0EF"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c>
          <w:tcPr>
            <w:tcW w:w="714" w:type="pct"/>
            <w:shd w:val="clear" w:color="auto" w:fill="EAEDF1" w:themeFill="text2" w:themeFillTint="1A"/>
            <w:vAlign w:val="center"/>
          </w:tcPr>
          <w:p w14:paraId="7F7C34D8"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230</w:t>
            </w:r>
          </w:p>
        </w:tc>
        <w:tc>
          <w:tcPr>
            <w:tcW w:w="931" w:type="pct"/>
            <w:shd w:val="clear" w:color="auto" w:fill="EAEDF1" w:themeFill="text2" w:themeFillTint="1A"/>
            <w:vAlign w:val="center"/>
          </w:tcPr>
          <w:p w14:paraId="5B0444C5"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r>
      <w:tr w:rsidR="00B4328B" w:rsidRPr="000E50F1" w14:paraId="34A86385" w14:textId="77777777" w:rsidTr="00FC7210">
        <w:tblPrEx>
          <w:jc w:val="left"/>
        </w:tblPrEx>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1B7056BC"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Sault Ste. Marie</w:t>
            </w:r>
          </w:p>
        </w:tc>
        <w:tc>
          <w:tcPr>
            <w:tcW w:w="716" w:type="pct"/>
            <w:shd w:val="clear" w:color="auto" w:fill="FFFFFF" w:themeFill="background1"/>
            <w:vAlign w:val="center"/>
          </w:tcPr>
          <w:p w14:paraId="3FBC1887"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57</w:t>
            </w:r>
          </w:p>
        </w:tc>
        <w:tc>
          <w:tcPr>
            <w:tcW w:w="932" w:type="pct"/>
            <w:shd w:val="clear" w:color="auto" w:fill="FFFFFF" w:themeFill="background1"/>
            <w:vAlign w:val="center"/>
          </w:tcPr>
          <w:p w14:paraId="2E05CFA8"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c>
          <w:tcPr>
            <w:tcW w:w="714" w:type="pct"/>
            <w:shd w:val="clear" w:color="auto" w:fill="FFFFFF" w:themeFill="background1"/>
            <w:vAlign w:val="center"/>
          </w:tcPr>
          <w:p w14:paraId="2FFC26FD"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68</w:t>
            </w:r>
          </w:p>
        </w:tc>
        <w:tc>
          <w:tcPr>
            <w:tcW w:w="931" w:type="pct"/>
            <w:shd w:val="clear" w:color="auto" w:fill="FFFFFF" w:themeFill="background1"/>
            <w:vAlign w:val="center"/>
          </w:tcPr>
          <w:p w14:paraId="77709245"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r>
      <w:tr w:rsidR="00B4328B" w:rsidRPr="000E50F1" w14:paraId="58FA5F86" w14:textId="77777777" w:rsidTr="00FC7210">
        <w:tblPrEx>
          <w:jc w:val="left"/>
        </w:tblPrEx>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3AFEA1EF"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Thunder Bay</w:t>
            </w:r>
          </w:p>
        </w:tc>
        <w:tc>
          <w:tcPr>
            <w:tcW w:w="716" w:type="pct"/>
            <w:shd w:val="clear" w:color="auto" w:fill="EAEDF1" w:themeFill="text2" w:themeFillTint="1A"/>
            <w:vAlign w:val="center"/>
          </w:tcPr>
          <w:p w14:paraId="559725A4"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130</w:t>
            </w:r>
          </w:p>
        </w:tc>
        <w:tc>
          <w:tcPr>
            <w:tcW w:w="932" w:type="pct"/>
            <w:shd w:val="clear" w:color="auto" w:fill="EAEDF1" w:themeFill="text2" w:themeFillTint="1A"/>
            <w:vAlign w:val="center"/>
          </w:tcPr>
          <w:p w14:paraId="228BD9EC"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c>
          <w:tcPr>
            <w:tcW w:w="714" w:type="pct"/>
            <w:shd w:val="clear" w:color="auto" w:fill="EAEDF1" w:themeFill="text2" w:themeFillTint="1A"/>
            <w:vAlign w:val="center"/>
          </w:tcPr>
          <w:p w14:paraId="6A34084D"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149</w:t>
            </w:r>
          </w:p>
        </w:tc>
        <w:tc>
          <w:tcPr>
            <w:tcW w:w="931" w:type="pct"/>
            <w:shd w:val="clear" w:color="auto" w:fill="EAEDF1" w:themeFill="text2" w:themeFillTint="1A"/>
            <w:vAlign w:val="center"/>
          </w:tcPr>
          <w:p w14:paraId="692F5C72"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r>
      <w:tr w:rsidR="00B4328B" w:rsidRPr="000E50F1" w14:paraId="5114F44A" w14:textId="77777777" w:rsidTr="00FC7210">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182F76EB"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Brantford</w:t>
            </w:r>
          </w:p>
        </w:tc>
        <w:tc>
          <w:tcPr>
            <w:tcW w:w="716" w:type="pct"/>
            <w:shd w:val="clear" w:color="auto" w:fill="FFFFFF" w:themeFill="background1"/>
            <w:vAlign w:val="center"/>
          </w:tcPr>
          <w:p w14:paraId="6FF1C3AD"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195</w:t>
            </w:r>
          </w:p>
        </w:tc>
        <w:tc>
          <w:tcPr>
            <w:tcW w:w="932" w:type="pct"/>
            <w:shd w:val="clear" w:color="auto" w:fill="FFFFFF" w:themeFill="background1"/>
            <w:vAlign w:val="center"/>
          </w:tcPr>
          <w:p w14:paraId="28ECA76E"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c>
          <w:tcPr>
            <w:tcW w:w="714" w:type="pct"/>
            <w:shd w:val="clear" w:color="auto" w:fill="FFFFFF" w:themeFill="background1"/>
            <w:vAlign w:val="center"/>
          </w:tcPr>
          <w:p w14:paraId="19DFE9E0"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148</w:t>
            </w:r>
          </w:p>
        </w:tc>
        <w:tc>
          <w:tcPr>
            <w:tcW w:w="931" w:type="pct"/>
            <w:shd w:val="clear" w:color="auto" w:fill="FFFFFF" w:themeFill="background1"/>
            <w:vAlign w:val="center"/>
          </w:tcPr>
          <w:p w14:paraId="3E1BF1B8"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r>
      <w:tr w:rsidR="00B4328B" w:rsidRPr="000E50F1" w14:paraId="2FD28F37" w14:textId="77777777" w:rsidTr="00FC7210">
        <w:tblPrEx>
          <w:jc w:val="left"/>
        </w:tblPrEx>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2BEC898F"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Chatham-Kent</w:t>
            </w:r>
          </w:p>
        </w:tc>
        <w:tc>
          <w:tcPr>
            <w:tcW w:w="716" w:type="pct"/>
            <w:shd w:val="clear" w:color="auto" w:fill="EAEDF1" w:themeFill="text2" w:themeFillTint="1A"/>
            <w:vAlign w:val="center"/>
          </w:tcPr>
          <w:p w14:paraId="2C660226"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90</w:t>
            </w:r>
          </w:p>
        </w:tc>
        <w:tc>
          <w:tcPr>
            <w:tcW w:w="932" w:type="pct"/>
            <w:shd w:val="clear" w:color="auto" w:fill="EAEDF1" w:themeFill="text2" w:themeFillTint="1A"/>
            <w:vAlign w:val="center"/>
          </w:tcPr>
          <w:p w14:paraId="606D456B"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c>
          <w:tcPr>
            <w:tcW w:w="714" w:type="pct"/>
            <w:shd w:val="clear" w:color="auto" w:fill="EAEDF1" w:themeFill="text2" w:themeFillTint="1A"/>
            <w:vAlign w:val="center"/>
          </w:tcPr>
          <w:p w14:paraId="5B0CFD00"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116</w:t>
            </w:r>
          </w:p>
        </w:tc>
        <w:tc>
          <w:tcPr>
            <w:tcW w:w="931" w:type="pct"/>
            <w:shd w:val="clear" w:color="auto" w:fill="EAEDF1" w:themeFill="text2" w:themeFillTint="1A"/>
            <w:vAlign w:val="center"/>
          </w:tcPr>
          <w:p w14:paraId="1C52CEC1"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r>
      <w:tr w:rsidR="00B4328B" w:rsidRPr="000E50F1" w14:paraId="3016E8D1" w14:textId="77777777" w:rsidTr="00FC7210">
        <w:tblPrEx>
          <w:jc w:val="left"/>
        </w:tblPrEx>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3BCD074C"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Greater Sudbury</w:t>
            </w:r>
          </w:p>
        </w:tc>
        <w:tc>
          <w:tcPr>
            <w:tcW w:w="716" w:type="pct"/>
            <w:shd w:val="clear" w:color="auto" w:fill="FFFFFF" w:themeFill="background1"/>
            <w:vAlign w:val="center"/>
          </w:tcPr>
          <w:p w14:paraId="439DD20A"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291</w:t>
            </w:r>
          </w:p>
        </w:tc>
        <w:tc>
          <w:tcPr>
            <w:tcW w:w="932" w:type="pct"/>
            <w:shd w:val="clear" w:color="auto" w:fill="FFFFFF" w:themeFill="background1"/>
            <w:vAlign w:val="center"/>
          </w:tcPr>
          <w:p w14:paraId="188FA4E6"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c>
          <w:tcPr>
            <w:tcW w:w="714" w:type="pct"/>
            <w:shd w:val="clear" w:color="auto" w:fill="FFFFFF" w:themeFill="background1"/>
            <w:vAlign w:val="center"/>
          </w:tcPr>
          <w:p w14:paraId="59B5C82C"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186</w:t>
            </w:r>
          </w:p>
        </w:tc>
        <w:tc>
          <w:tcPr>
            <w:tcW w:w="931" w:type="pct"/>
            <w:shd w:val="clear" w:color="auto" w:fill="FFFFFF" w:themeFill="background1"/>
            <w:vAlign w:val="center"/>
          </w:tcPr>
          <w:p w14:paraId="2DCD17CD"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r>
      <w:tr w:rsidR="00B4328B" w:rsidRPr="000E50F1" w14:paraId="33E07BFF" w14:textId="77777777" w:rsidTr="00FC7210">
        <w:tblPrEx>
          <w:jc w:val="left"/>
        </w:tblPrEx>
        <w:trPr>
          <w:trHeight w:val="236"/>
        </w:trPr>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79EE6F7E"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Norfolk</w:t>
            </w:r>
          </w:p>
        </w:tc>
        <w:tc>
          <w:tcPr>
            <w:tcW w:w="716" w:type="pct"/>
            <w:shd w:val="clear" w:color="auto" w:fill="EAEDF1" w:themeFill="text2" w:themeFillTint="1A"/>
            <w:vAlign w:val="center"/>
          </w:tcPr>
          <w:p w14:paraId="4B381F3F"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58</w:t>
            </w:r>
          </w:p>
        </w:tc>
        <w:tc>
          <w:tcPr>
            <w:tcW w:w="932" w:type="pct"/>
            <w:shd w:val="clear" w:color="auto" w:fill="EAEDF1" w:themeFill="text2" w:themeFillTint="1A"/>
            <w:vAlign w:val="center"/>
          </w:tcPr>
          <w:p w14:paraId="43139212"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c>
          <w:tcPr>
            <w:tcW w:w="714" w:type="pct"/>
            <w:shd w:val="clear" w:color="auto" w:fill="EAEDF1" w:themeFill="text2" w:themeFillTint="1A"/>
            <w:vAlign w:val="center"/>
          </w:tcPr>
          <w:p w14:paraId="60D7A2BD"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54</w:t>
            </w:r>
          </w:p>
        </w:tc>
        <w:tc>
          <w:tcPr>
            <w:tcW w:w="931" w:type="pct"/>
            <w:shd w:val="clear" w:color="auto" w:fill="EAEDF1" w:themeFill="text2" w:themeFillTint="1A"/>
            <w:vAlign w:val="center"/>
          </w:tcPr>
          <w:p w14:paraId="4B8B2392"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r>
      <w:tr w:rsidR="00B4328B" w:rsidRPr="000E50F1" w14:paraId="771B4C11" w14:textId="77777777" w:rsidTr="00FC7210">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4601A4F3"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North Bay</w:t>
            </w:r>
          </w:p>
        </w:tc>
        <w:tc>
          <w:tcPr>
            <w:tcW w:w="716" w:type="pct"/>
            <w:shd w:val="clear" w:color="auto" w:fill="FFFFFF" w:themeFill="background1"/>
            <w:vAlign w:val="center"/>
          </w:tcPr>
          <w:p w14:paraId="4821EAC6"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53</w:t>
            </w:r>
          </w:p>
        </w:tc>
        <w:tc>
          <w:tcPr>
            <w:tcW w:w="932" w:type="pct"/>
            <w:shd w:val="clear" w:color="auto" w:fill="FFFFFF" w:themeFill="background1"/>
            <w:vAlign w:val="center"/>
          </w:tcPr>
          <w:p w14:paraId="5838885E"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c>
          <w:tcPr>
            <w:tcW w:w="714" w:type="pct"/>
            <w:shd w:val="clear" w:color="auto" w:fill="FFFFFF" w:themeFill="background1"/>
            <w:vAlign w:val="center"/>
          </w:tcPr>
          <w:p w14:paraId="0BD46135"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50</w:t>
            </w:r>
          </w:p>
        </w:tc>
        <w:tc>
          <w:tcPr>
            <w:tcW w:w="931" w:type="pct"/>
            <w:shd w:val="clear" w:color="auto" w:fill="FFFFFF" w:themeFill="background1"/>
            <w:vAlign w:val="center"/>
          </w:tcPr>
          <w:p w14:paraId="6DA1E6AC"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r>
      <w:tr w:rsidR="00B4328B" w:rsidRPr="000E50F1" w14:paraId="0158233F" w14:textId="77777777" w:rsidTr="00FC7210">
        <w:tblPrEx>
          <w:jc w:val="left"/>
        </w:tblPrEx>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6D42247B"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Sarnia</w:t>
            </w:r>
          </w:p>
        </w:tc>
        <w:tc>
          <w:tcPr>
            <w:tcW w:w="716" w:type="pct"/>
            <w:shd w:val="clear" w:color="auto" w:fill="EAEDF1" w:themeFill="text2" w:themeFillTint="1A"/>
            <w:vAlign w:val="center"/>
          </w:tcPr>
          <w:p w14:paraId="1D7E69B6"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103</w:t>
            </w:r>
          </w:p>
        </w:tc>
        <w:tc>
          <w:tcPr>
            <w:tcW w:w="932" w:type="pct"/>
            <w:shd w:val="clear" w:color="auto" w:fill="EAEDF1" w:themeFill="text2" w:themeFillTint="1A"/>
            <w:vAlign w:val="center"/>
          </w:tcPr>
          <w:p w14:paraId="15AA3BAB"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c>
          <w:tcPr>
            <w:tcW w:w="714" w:type="pct"/>
            <w:shd w:val="clear" w:color="auto" w:fill="EAEDF1" w:themeFill="text2" w:themeFillTint="1A"/>
            <w:vAlign w:val="center"/>
          </w:tcPr>
          <w:p w14:paraId="3EBFCCB6"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101</w:t>
            </w:r>
          </w:p>
        </w:tc>
        <w:tc>
          <w:tcPr>
            <w:tcW w:w="931" w:type="pct"/>
            <w:shd w:val="clear" w:color="auto" w:fill="EAEDF1" w:themeFill="text2" w:themeFillTint="1A"/>
            <w:vAlign w:val="center"/>
          </w:tcPr>
          <w:p w14:paraId="5F1D47CB"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&lt;1</w:t>
            </w:r>
          </w:p>
        </w:tc>
      </w:tr>
      <w:tr w:rsidR="00B4328B" w:rsidRPr="000E50F1" w14:paraId="17AF2351" w14:textId="77777777" w:rsidTr="00FC7210">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2D4CDBF7"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Timmins</w:t>
            </w:r>
          </w:p>
        </w:tc>
        <w:tc>
          <w:tcPr>
            <w:tcW w:w="716" w:type="pct"/>
            <w:shd w:val="clear" w:color="auto" w:fill="FFFFFF" w:themeFill="background1"/>
            <w:vAlign w:val="center"/>
          </w:tcPr>
          <w:p w14:paraId="789F4F6C"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46</w:t>
            </w:r>
          </w:p>
        </w:tc>
        <w:tc>
          <w:tcPr>
            <w:tcW w:w="932" w:type="pct"/>
            <w:shd w:val="clear" w:color="auto" w:fill="FFFFFF" w:themeFill="background1"/>
            <w:vAlign w:val="center"/>
          </w:tcPr>
          <w:p w14:paraId="12B6CC86"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c>
          <w:tcPr>
            <w:tcW w:w="714" w:type="pct"/>
            <w:shd w:val="clear" w:color="auto" w:fill="FFFFFF" w:themeFill="background1"/>
            <w:vAlign w:val="center"/>
          </w:tcPr>
          <w:p w14:paraId="09D0EA4E"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47</w:t>
            </w:r>
          </w:p>
        </w:tc>
        <w:tc>
          <w:tcPr>
            <w:tcW w:w="931" w:type="pct"/>
            <w:shd w:val="clear" w:color="auto" w:fill="FFFFFF" w:themeFill="background1"/>
            <w:vAlign w:val="center"/>
          </w:tcPr>
          <w:p w14:paraId="2EB9599A"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r>
      <w:tr w:rsidR="00B4328B" w:rsidRPr="000E50F1" w14:paraId="52959D00" w14:textId="77777777" w:rsidTr="00FC7210">
        <w:tblPrEx>
          <w:jc w:val="left"/>
        </w:tblPrEx>
        <w:trPr>
          <w:trHeight w:val="254"/>
        </w:trPr>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34EAA102"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Collingwood</w:t>
            </w:r>
          </w:p>
        </w:tc>
        <w:tc>
          <w:tcPr>
            <w:tcW w:w="716" w:type="pct"/>
            <w:shd w:val="clear" w:color="auto" w:fill="EAEDF1" w:themeFill="text2" w:themeFillTint="1A"/>
            <w:vAlign w:val="center"/>
          </w:tcPr>
          <w:p w14:paraId="282FA79D"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31</w:t>
            </w:r>
          </w:p>
        </w:tc>
        <w:tc>
          <w:tcPr>
            <w:tcW w:w="932" w:type="pct"/>
            <w:shd w:val="clear" w:color="auto" w:fill="EAEDF1" w:themeFill="text2" w:themeFillTint="1A"/>
            <w:vAlign w:val="center"/>
          </w:tcPr>
          <w:p w14:paraId="473DFC5D"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c>
          <w:tcPr>
            <w:tcW w:w="714" w:type="pct"/>
            <w:shd w:val="clear" w:color="auto" w:fill="EAEDF1" w:themeFill="text2" w:themeFillTint="1A"/>
            <w:vAlign w:val="center"/>
          </w:tcPr>
          <w:p w14:paraId="30075CD2"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42</w:t>
            </w:r>
          </w:p>
        </w:tc>
        <w:tc>
          <w:tcPr>
            <w:tcW w:w="931" w:type="pct"/>
            <w:shd w:val="clear" w:color="auto" w:fill="EAEDF1" w:themeFill="text2" w:themeFillTint="1A"/>
            <w:vAlign w:val="center"/>
          </w:tcPr>
          <w:p w14:paraId="2580A062"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r>
      <w:tr w:rsidR="00B4328B" w:rsidRPr="000E50F1" w14:paraId="1A5CCAA5" w14:textId="77777777" w:rsidTr="00FC7210">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shd w:val="clear" w:color="auto" w:fill="FFFFFF" w:themeFill="background1"/>
            <w:vAlign w:val="center"/>
          </w:tcPr>
          <w:p w14:paraId="50B4FB31"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Timmins</w:t>
            </w:r>
          </w:p>
        </w:tc>
        <w:tc>
          <w:tcPr>
            <w:tcW w:w="716" w:type="pct"/>
            <w:shd w:val="clear" w:color="auto" w:fill="FFFFFF" w:themeFill="background1"/>
          </w:tcPr>
          <w:p w14:paraId="4A1559BF"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46</w:t>
            </w:r>
          </w:p>
        </w:tc>
        <w:tc>
          <w:tcPr>
            <w:tcW w:w="932" w:type="pct"/>
            <w:shd w:val="clear" w:color="auto" w:fill="FFFFFF" w:themeFill="background1"/>
            <w:vAlign w:val="center"/>
          </w:tcPr>
          <w:p w14:paraId="3020D126"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c>
          <w:tcPr>
            <w:tcW w:w="714" w:type="pct"/>
            <w:shd w:val="clear" w:color="auto" w:fill="FFFFFF" w:themeFill="background1"/>
            <w:vAlign w:val="center"/>
          </w:tcPr>
          <w:p w14:paraId="760473B2"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47</w:t>
            </w:r>
          </w:p>
        </w:tc>
        <w:tc>
          <w:tcPr>
            <w:tcW w:w="931" w:type="pct"/>
            <w:shd w:val="clear" w:color="auto" w:fill="FFFFFF" w:themeFill="background1"/>
            <w:vAlign w:val="center"/>
          </w:tcPr>
          <w:p w14:paraId="23D76C27"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r>
      <w:tr w:rsidR="00B4328B" w:rsidRPr="000E50F1" w14:paraId="02A257A2" w14:textId="77777777" w:rsidTr="00FC7210">
        <w:tblPrEx>
          <w:jc w:val="left"/>
        </w:tblPrEx>
        <w:trPr>
          <w:trHeight w:val="254"/>
        </w:trPr>
        <w:tc>
          <w:tcPr>
            <w:cnfStyle w:val="001000000000" w:firstRow="0" w:lastRow="0" w:firstColumn="1" w:lastColumn="0" w:oddVBand="0" w:evenVBand="0" w:oddHBand="0" w:evenHBand="0" w:firstRowFirstColumn="0" w:firstRowLastColumn="0" w:lastRowFirstColumn="0" w:lastRowLastColumn="0"/>
            <w:tcW w:w="1707" w:type="pct"/>
            <w:shd w:val="clear" w:color="auto" w:fill="EAEDF1" w:themeFill="text2" w:themeFillTint="1A"/>
            <w:vAlign w:val="center"/>
          </w:tcPr>
          <w:p w14:paraId="74D6D170"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Collingwood</w:t>
            </w:r>
          </w:p>
        </w:tc>
        <w:tc>
          <w:tcPr>
            <w:tcW w:w="716" w:type="pct"/>
            <w:shd w:val="clear" w:color="auto" w:fill="EAEDF1" w:themeFill="text2" w:themeFillTint="1A"/>
            <w:vAlign w:val="center"/>
          </w:tcPr>
          <w:p w14:paraId="702DAA0C"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31</w:t>
            </w:r>
          </w:p>
        </w:tc>
        <w:tc>
          <w:tcPr>
            <w:tcW w:w="932" w:type="pct"/>
            <w:shd w:val="clear" w:color="auto" w:fill="EAEDF1" w:themeFill="text2" w:themeFillTint="1A"/>
            <w:vAlign w:val="center"/>
          </w:tcPr>
          <w:p w14:paraId="22E19203"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c>
          <w:tcPr>
            <w:tcW w:w="714" w:type="pct"/>
            <w:shd w:val="clear" w:color="auto" w:fill="EAEDF1" w:themeFill="text2" w:themeFillTint="1A"/>
            <w:vAlign w:val="center"/>
          </w:tcPr>
          <w:p w14:paraId="42AB361C"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42</w:t>
            </w:r>
          </w:p>
        </w:tc>
        <w:tc>
          <w:tcPr>
            <w:tcW w:w="931" w:type="pct"/>
            <w:shd w:val="clear" w:color="auto" w:fill="EAEDF1" w:themeFill="text2" w:themeFillTint="1A"/>
            <w:vAlign w:val="center"/>
          </w:tcPr>
          <w:p w14:paraId="3D47B2C7"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&lt;1</w:t>
            </w:r>
          </w:p>
        </w:tc>
      </w:tr>
      <w:tr w:rsidR="00B4328B" w:rsidRPr="000E50F1" w14:paraId="3D7642E8" w14:textId="77777777" w:rsidTr="00FC7210">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707" w:type="pct"/>
            <w:tcBorders>
              <w:bottom w:val="single" w:sz="4" w:space="0" w:color="auto"/>
            </w:tcBorders>
            <w:shd w:val="clear" w:color="auto" w:fill="FFFFFF" w:themeFill="background1"/>
            <w:vAlign w:val="center"/>
          </w:tcPr>
          <w:p w14:paraId="2908A570"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val="0"/>
                <w:color w:val="auto"/>
                <w:sz w:val="22"/>
                <w:szCs w:val="22"/>
              </w:rPr>
            </w:pPr>
            <w:r w:rsidRPr="000E50F1">
              <w:rPr>
                <w:rFonts w:asciiTheme="minorHAnsi" w:eastAsia="Times New Roman" w:hAnsiTheme="minorHAnsi" w:cstheme="majorHAnsi"/>
                <w:b w:val="0"/>
                <w:color w:val="auto"/>
                <w:sz w:val="22"/>
                <w:szCs w:val="22"/>
              </w:rPr>
              <w:t>Other - Ontario</w:t>
            </w:r>
          </w:p>
        </w:tc>
        <w:tc>
          <w:tcPr>
            <w:tcW w:w="716" w:type="pct"/>
            <w:tcBorders>
              <w:bottom w:val="single" w:sz="4" w:space="0" w:color="auto"/>
            </w:tcBorders>
            <w:shd w:val="clear" w:color="auto" w:fill="FFFFFF" w:themeFill="background1"/>
            <w:vAlign w:val="center"/>
          </w:tcPr>
          <w:p w14:paraId="4BBF8D62"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1,359</w:t>
            </w:r>
          </w:p>
        </w:tc>
        <w:tc>
          <w:tcPr>
            <w:tcW w:w="932" w:type="pct"/>
            <w:tcBorders>
              <w:bottom w:val="single" w:sz="4" w:space="0" w:color="auto"/>
            </w:tcBorders>
            <w:shd w:val="clear" w:color="auto" w:fill="FFFFFF" w:themeFill="background1"/>
            <w:vAlign w:val="center"/>
          </w:tcPr>
          <w:p w14:paraId="0E9FD553"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w:t>
            </w:r>
          </w:p>
        </w:tc>
        <w:tc>
          <w:tcPr>
            <w:tcW w:w="714" w:type="pct"/>
            <w:tcBorders>
              <w:bottom w:val="single" w:sz="4" w:space="0" w:color="auto"/>
            </w:tcBorders>
            <w:shd w:val="clear" w:color="auto" w:fill="FFFFFF" w:themeFill="background1"/>
            <w:vAlign w:val="center"/>
          </w:tcPr>
          <w:p w14:paraId="24C79A22" w14:textId="77777777" w:rsidR="009575BD" w:rsidRPr="000E50F1" w:rsidRDefault="009575BD" w:rsidP="00B16565">
            <w:pPr>
              <w:ind w:right="4"/>
              <w:cnfStyle w:val="000000100000" w:firstRow="0" w:lastRow="0" w:firstColumn="0" w:lastColumn="0" w:oddVBand="0" w:evenVBand="0" w:oddHBand="1" w:evenHBand="0" w:firstRowFirstColumn="0" w:firstRowLastColumn="0" w:lastRowFirstColumn="0" w:lastRowLastColumn="0"/>
              <w:rPr>
                <w:rFonts w:asciiTheme="minorHAnsi" w:hAnsiTheme="minorHAnsi" w:cstheme="majorHAnsi"/>
                <w:bCs/>
                <w:color w:val="auto"/>
                <w:sz w:val="22"/>
                <w:szCs w:val="22"/>
              </w:rPr>
            </w:pPr>
            <w:r w:rsidRPr="000E50F1">
              <w:rPr>
                <w:rFonts w:asciiTheme="minorHAnsi" w:hAnsiTheme="minorHAnsi" w:cstheme="majorHAnsi"/>
                <w:bCs/>
                <w:color w:val="auto"/>
                <w:sz w:val="22"/>
                <w:szCs w:val="22"/>
              </w:rPr>
              <w:t>1,462</w:t>
            </w:r>
          </w:p>
        </w:tc>
        <w:tc>
          <w:tcPr>
            <w:tcW w:w="931" w:type="pct"/>
            <w:tcBorders>
              <w:bottom w:val="single" w:sz="4" w:space="0" w:color="auto"/>
            </w:tcBorders>
            <w:shd w:val="clear" w:color="auto" w:fill="FFFFFF" w:themeFill="background1"/>
            <w:vAlign w:val="center"/>
          </w:tcPr>
          <w:p w14:paraId="1870E10C" w14:textId="77777777" w:rsidR="009575BD" w:rsidRPr="000E50F1" w:rsidRDefault="009575BD" w:rsidP="00B16565">
            <w:pPr>
              <w:pStyle w:val="NormalWeb"/>
              <w:spacing w:before="0" w:beforeAutospacing="0" w:after="0" w:afterAutospacing="0"/>
              <w:ind w:right="4"/>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ajorHAnsi"/>
                <w:bCs/>
                <w:color w:val="auto"/>
                <w:sz w:val="22"/>
                <w:szCs w:val="22"/>
              </w:rPr>
            </w:pPr>
            <w:r w:rsidRPr="000E50F1">
              <w:rPr>
                <w:rFonts w:asciiTheme="minorHAnsi" w:eastAsia="Times New Roman" w:hAnsiTheme="minorHAnsi" w:cstheme="majorHAnsi"/>
                <w:bCs/>
                <w:color w:val="auto"/>
                <w:sz w:val="22"/>
                <w:szCs w:val="22"/>
              </w:rPr>
              <w:t>1</w:t>
            </w:r>
          </w:p>
        </w:tc>
      </w:tr>
      <w:tr w:rsidR="00B4328B" w:rsidRPr="000E50F1" w14:paraId="5924460F" w14:textId="77777777" w:rsidTr="00FC7210">
        <w:trPr>
          <w:trHeight w:val="236"/>
          <w:jc w:val="center"/>
        </w:trPr>
        <w:tc>
          <w:tcPr>
            <w:cnfStyle w:val="001000000000" w:firstRow="0" w:lastRow="0" w:firstColumn="1" w:lastColumn="0" w:oddVBand="0" w:evenVBand="0" w:oddHBand="0" w:evenHBand="0" w:firstRowFirstColumn="0" w:firstRowLastColumn="0" w:lastRowFirstColumn="0" w:lastRowLastColumn="0"/>
            <w:tcW w:w="1707" w:type="pct"/>
            <w:tcBorders>
              <w:top w:val="single" w:sz="4" w:space="0" w:color="auto"/>
            </w:tcBorders>
            <w:shd w:val="clear" w:color="auto" w:fill="EAEDF1" w:themeFill="text2" w:themeFillTint="1A"/>
            <w:vAlign w:val="center"/>
          </w:tcPr>
          <w:p w14:paraId="7CF184EF"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val="0"/>
                <w:color w:val="auto"/>
                <w:sz w:val="22"/>
                <w:szCs w:val="22"/>
              </w:rPr>
            </w:pPr>
            <w:r w:rsidRPr="000E50F1">
              <w:rPr>
                <w:rFonts w:asciiTheme="minorHAnsi" w:eastAsia="Times New Roman" w:hAnsiTheme="minorHAnsi" w:cstheme="majorHAnsi"/>
                <w:bCs w:val="0"/>
                <w:color w:val="auto"/>
                <w:sz w:val="22"/>
                <w:szCs w:val="22"/>
              </w:rPr>
              <w:t>Total Ontario</w:t>
            </w:r>
          </w:p>
        </w:tc>
        <w:tc>
          <w:tcPr>
            <w:tcW w:w="716" w:type="pct"/>
            <w:tcBorders>
              <w:top w:val="single" w:sz="4" w:space="0" w:color="auto"/>
            </w:tcBorders>
            <w:shd w:val="clear" w:color="auto" w:fill="EAEDF1" w:themeFill="text2" w:themeFillTint="1A"/>
            <w:vAlign w:val="center"/>
          </w:tcPr>
          <w:p w14:paraId="5885D00A"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
                <w:color w:val="auto"/>
                <w:sz w:val="22"/>
                <w:szCs w:val="22"/>
              </w:rPr>
            </w:pPr>
            <w:r w:rsidRPr="000E50F1">
              <w:rPr>
                <w:rFonts w:asciiTheme="minorHAnsi" w:eastAsia="Times New Roman" w:hAnsiTheme="minorHAnsi" w:cstheme="majorHAnsi"/>
                <w:b/>
                <w:color w:val="auto"/>
                <w:sz w:val="22"/>
                <w:szCs w:val="22"/>
              </w:rPr>
              <w:t>95,778</w:t>
            </w:r>
          </w:p>
        </w:tc>
        <w:tc>
          <w:tcPr>
            <w:tcW w:w="932" w:type="pct"/>
            <w:tcBorders>
              <w:top w:val="single" w:sz="4" w:space="0" w:color="auto"/>
            </w:tcBorders>
            <w:shd w:val="clear" w:color="auto" w:fill="EAEDF1" w:themeFill="text2" w:themeFillTint="1A"/>
            <w:vAlign w:val="center"/>
          </w:tcPr>
          <w:p w14:paraId="208AFC5B"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
                <w:color w:val="auto"/>
                <w:sz w:val="22"/>
                <w:szCs w:val="22"/>
              </w:rPr>
            </w:pPr>
            <w:r w:rsidRPr="000E50F1">
              <w:rPr>
                <w:rFonts w:asciiTheme="minorHAnsi" w:eastAsia="Times New Roman" w:hAnsiTheme="minorHAnsi" w:cstheme="majorHAnsi"/>
                <w:b/>
                <w:color w:val="auto"/>
                <w:sz w:val="22"/>
                <w:szCs w:val="22"/>
              </w:rPr>
              <w:t>100</w:t>
            </w:r>
          </w:p>
        </w:tc>
        <w:tc>
          <w:tcPr>
            <w:tcW w:w="714" w:type="pct"/>
            <w:tcBorders>
              <w:top w:val="single" w:sz="4" w:space="0" w:color="auto"/>
            </w:tcBorders>
            <w:shd w:val="clear" w:color="auto" w:fill="EAEDF1" w:themeFill="text2" w:themeFillTint="1A"/>
            <w:vAlign w:val="center"/>
          </w:tcPr>
          <w:p w14:paraId="0EFFF80B" w14:textId="77777777" w:rsidR="009575BD" w:rsidRPr="000E50F1" w:rsidRDefault="009575BD" w:rsidP="00B16565">
            <w:pPr>
              <w:ind w:right="4"/>
              <w:cnfStyle w:val="000000000000" w:firstRow="0" w:lastRow="0" w:firstColumn="0" w:lastColumn="0" w:oddVBand="0" w:evenVBand="0" w:oddHBand="0" w:evenHBand="0" w:firstRowFirstColumn="0" w:firstRowLastColumn="0" w:lastRowFirstColumn="0" w:lastRowLastColumn="0"/>
              <w:rPr>
                <w:rFonts w:asciiTheme="minorHAnsi" w:hAnsiTheme="minorHAnsi" w:cstheme="majorHAnsi"/>
                <w:b/>
                <w:color w:val="auto"/>
                <w:sz w:val="22"/>
                <w:szCs w:val="22"/>
              </w:rPr>
            </w:pPr>
            <w:r w:rsidRPr="000E50F1">
              <w:rPr>
                <w:rFonts w:asciiTheme="minorHAnsi" w:hAnsiTheme="minorHAnsi" w:cstheme="majorHAnsi"/>
                <w:b/>
                <w:color w:val="auto"/>
                <w:sz w:val="22"/>
                <w:szCs w:val="22"/>
              </w:rPr>
              <w:t>103,598</w:t>
            </w:r>
          </w:p>
        </w:tc>
        <w:tc>
          <w:tcPr>
            <w:tcW w:w="931" w:type="pct"/>
            <w:tcBorders>
              <w:top w:val="single" w:sz="4" w:space="0" w:color="auto"/>
            </w:tcBorders>
            <w:shd w:val="clear" w:color="auto" w:fill="EAEDF1" w:themeFill="text2" w:themeFillTint="1A"/>
            <w:vAlign w:val="center"/>
          </w:tcPr>
          <w:p w14:paraId="0CDB6E54" w14:textId="77777777" w:rsidR="009575BD" w:rsidRPr="000E50F1" w:rsidRDefault="009575BD" w:rsidP="00B16565">
            <w:pPr>
              <w:pStyle w:val="NormalWeb"/>
              <w:spacing w:before="0" w:beforeAutospacing="0" w:after="0" w:afterAutospacing="0"/>
              <w:ind w:right="4"/>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ajorHAnsi"/>
                <w:b/>
                <w:color w:val="auto"/>
                <w:sz w:val="22"/>
                <w:szCs w:val="22"/>
              </w:rPr>
            </w:pPr>
            <w:r w:rsidRPr="000E50F1">
              <w:rPr>
                <w:rFonts w:asciiTheme="minorHAnsi" w:eastAsia="Times New Roman" w:hAnsiTheme="minorHAnsi" w:cstheme="majorHAnsi"/>
                <w:b/>
                <w:color w:val="auto"/>
                <w:sz w:val="22"/>
                <w:szCs w:val="22"/>
              </w:rPr>
              <w:t>100</w:t>
            </w:r>
          </w:p>
        </w:tc>
      </w:tr>
    </w:tbl>
    <w:p w14:paraId="4D5232D6" w14:textId="77777777" w:rsidR="0049719E" w:rsidRPr="000E50F1" w:rsidRDefault="0049719E" w:rsidP="0049719E">
      <w:pPr>
        <w:pStyle w:val="Caption"/>
        <w:rPr>
          <w:rFonts w:ascii="Times" w:hAnsi="Times"/>
          <w:i/>
          <w:iCs w:val="0"/>
        </w:rPr>
      </w:pPr>
    </w:p>
    <w:p w14:paraId="094ADBB4" w14:textId="547F45C1" w:rsidR="00B62BFA" w:rsidRPr="000E50F1" w:rsidRDefault="0049719E" w:rsidP="0049719E">
      <w:pPr>
        <w:pStyle w:val="Caption"/>
        <w:ind w:left="567" w:hanging="567"/>
        <w:rPr>
          <w:rFonts w:ascii="Times" w:hAnsi="Times"/>
          <w:i/>
          <w:iCs w:val="0"/>
          <w:sz w:val="24"/>
          <w:szCs w:val="20"/>
        </w:rPr>
      </w:pPr>
      <w:bookmarkStart w:id="23" w:name="_Toc54510706"/>
      <w:r w:rsidRPr="000E50F1">
        <w:rPr>
          <w:rFonts w:ascii="Times" w:hAnsi="Times"/>
          <w:i/>
          <w:iCs w:val="0"/>
          <w:sz w:val="24"/>
          <w:szCs w:val="20"/>
        </w:rPr>
        <w:t xml:space="preserve">Table </w:t>
      </w:r>
      <w:r w:rsidRPr="000E50F1">
        <w:rPr>
          <w:rFonts w:ascii="Times" w:hAnsi="Times"/>
          <w:i/>
          <w:iCs w:val="0"/>
          <w:sz w:val="24"/>
          <w:szCs w:val="20"/>
        </w:rPr>
        <w:fldChar w:fldCharType="begin"/>
      </w:r>
      <w:r w:rsidRPr="000E50F1">
        <w:rPr>
          <w:rFonts w:ascii="Times" w:hAnsi="Times"/>
          <w:i/>
          <w:iCs w:val="0"/>
          <w:sz w:val="24"/>
          <w:szCs w:val="20"/>
        </w:rPr>
        <w:instrText xml:space="preserve"> SEQ Table \* ARABIC </w:instrText>
      </w:r>
      <w:r w:rsidRPr="000E50F1">
        <w:rPr>
          <w:rFonts w:ascii="Times" w:hAnsi="Times"/>
          <w:i/>
          <w:iCs w:val="0"/>
          <w:sz w:val="24"/>
          <w:szCs w:val="20"/>
        </w:rPr>
        <w:fldChar w:fldCharType="separate"/>
      </w:r>
      <w:r w:rsidR="003B1B28" w:rsidRPr="000E50F1">
        <w:rPr>
          <w:rFonts w:ascii="Times" w:hAnsi="Times"/>
          <w:i/>
          <w:iCs w:val="0"/>
          <w:noProof/>
          <w:sz w:val="24"/>
          <w:szCs w:val="20"/>
        </w:rPr>
        <w:t>5</w:t>
      </w:r>
      <w:r w:rsidRPr="000E50F1">
        <w:rPr>
          <w:rFonts w:ascii="Times" w:hAnsi="Times"/>
          <w:i/>
          <w:iCs w:val="0"/>
          <w:sz w:val="24"/>
          <w:szCs w:val="20"/>
        </w:rPr>
        <w:fldChar w:fldCharType="end"/>
      </w:r>
      <w:r w:rsidR="009575BD" w:rsidRPr="000E50F1">
        <w:rPr>
          <w:rFonts w:ascii="Times" w:hAnsi="Times"/>
          <w:i/>
          <w:sz w:val="24"/>
          <w:szCs w:val="20"/>
        </w:rPr>
        <w:t xml:space="preserve">. </w:t>
      </w:r>
      <w:r w:rsidR="00B62BFA" w:rsidRPr="000E50F1">
        <w:rPr>
          <w:rFonts w:ascii="Times" w:hAnsi="Times"/>
          <w:iCs w:val="0"/>
          <w:sz w:val="24"/>
          <w:szCs w:val="20"/>
        </w:rPr>
        <w:t>All permanent resident admissions by urban areas in Ontario. Data for 2014 and 2015 total from IRCC (2016k)</w:t>
      </w:r>
      <w:bookmarkEnd w:id="23"/>
      <w:r w:rsidR="00B62BFA" w:rsidRPr="000E50F1">
        <w:rPr>
          <w:rFonts w:ascii="Times" w:hAnsi="Times"/>
          <w:i/>
          <w:sz w:val="24"/>
          <w:szCs w:val="20"/>
        </w:rPr>
        <w:t xml:space="preserve"> </w:t>
      </w:r>
    </w:p>
    <w:p w14:paraId="704F19EE" w14:textId="17DB2C95" w:rsidR="009575BD" w:rsidRPr="000E50F1" w:rsidRDefault="009575BD" w:rsidP="00D57740">
      <w:pPr>
        <w:pStyle w:val="Caption"/>
        <w:ind w:left="567" w:hanging="567"/>
        <w:rPr>
          <w:rFonts w:ascii="Times" w:eastAsia="Calibri" w:hAnsi="Times"/>
          <w:bCs/>
          <w:sz w:val="24"/>
          <w:szCs w:val="24"/>
          <w:lang w:val="en-US"/>
        </w:rPr>
      </w:pPr>
      <w:r w:rsidRPr="000E50F1">
        <w:rPr>
          <w:rFonts w:ascii="Times" w:eastAsia="Calibri" w:hAnsi="Times"/>
          <w:bCs/>
          <w:sz w:val="24"/>
          <w:szCs w:val="24"/>
          <w:lang w:val="en-US"/>
        </w:rPr>
        <w:br w:type="page"/>
      </w:r>
    </w:p>
    <w:p w14:paraId="41ADB518" w14:textId="3B8A6C71" w:rsidR="00FC7210" w:rsidRPr="000E50F1" w:rsidRDefault="00FC7210" w:rsidP="00FC7210">
      <w:pPr>
        <w:rPr>
          <w:rFonts w:ascii="Times" w:eastAsia="Calibri" w:hAnsi="Times"/>
          <w:b/>
        </w:rPr>
      </w:pPr>
      <w:r w:rsidRPr="000E50F1">
        <w:rPr>
          <w:rFonts w:ascii="Times" w:eastAsia="Calibri" w:hAnsi="Times"/>
          <w:b/>
        </w:rPr>
        <w:lastRenderedPageBreak/>
        <w:t>Appendix 2</w:t>
      </w:r>
    </w:p>
    <w:p w14:paraId="6FD92BEA" w14:textId="77777777" w:rsidR="009575BD" w:rsidRPr="000E50F1" w:rsidRDefault="009575BD" w:rsidP="009575BD">
      <w:pPr>
        <w:rPr>
          <w:rFonts w:ascii="Times" w:eastAsia="Calibri" w:hAnsi="Times"/>
          <w:b/>
          <w:bCs/>
          <w:lang w:val="en-US"/>
        </w:rPr>
      </w:pPr>
    </w:p>
    <w:tbl>
      <w:tblPr>
        <w:tblStyle w:val="TableGrid"/>
        <w:tblW w:w="5000" w:type="pct"/>
        <w:tblBorders>
          <w:left w:val="none" w:sz="0" w:space="0" w:color="auto"/>
          <w:right w:val="none" w:sz="0" w:space="0" w:color="auto"/>
        </w:tblBorders>
        <w:tblLook w:val="04A0" w:firstRow="1" w:lastRow="0" w:firstColumn="1" w:lastColumn="0" w:noHBand="0" w:noVBand="1"/>
      </w:tblPr>
      <w:tblGrid>
        <w:gridCol w:w="1618"/>
        <w:gridCol w:w="6312"/>
      </w:tblGrid>
      <w:tr w:rsidR="00B4328B" w:rsidRPr="000E50F1" w14:paraId="25632321" w14:textId="77777777" w:rsidTr="00FC7210">
        <w:trPr>
          <w:trHeight w:val="311"/>
        </w:trPr>
        <w:tc>
          <w:tcPr>
            <w:tcW w:w="1020" w:type="pct"/>
            <w:tcBorders>
              <w:top w:val="nil"/>
            </w:tcBorders>
            <w:shd w:val="clear" w:color="auto" w:fill="EAEDF1" w:themeFill="text2" w:themeFillTint="1A"/>
            <w:vAlign w:val="center"/>
          </w:tcPr>
          <w:p w14:paraId="3D4A5DC4"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bCs/>
                <w:sz w:val="22"/>
                <w:szCs w:val="22"/>
              </w:rPr>
            </w:pPr>
            <w:r w:rsidRPr="000E50F1">
              <w:rPr>
                <w:rFonts w:asciiTheme="minorHAnsi" w:eastAsia="Times New Roman" w:hAnsiTheme="minorHAnsi" w:cstheme="majorHAnsi"/>
                <w:b/>
                <w:bCs/>
                <w:sz w:val="22"/>
                <w:szCs w:val="22"/>
              </w:rPr>
              <w:t>Term</w:t>
            </w:r>
          </w:p>
        </w:tc>
        <w:tc>
          <w:tcPr>
            <w:tcW w:w="3980" w:type="pct"/>
            <w:tcBorders>
              <w:top w:val="nil"/>
            </w:tcBorders>
            <w:shd w:val="clear" w:color="auto" w:fill="EAEDF1" w:themeFill="text2" w:themeFillTint="1A"/>
            <w:vAlign w:val="center"/>
          </w:tcPr>
          <w:p w14:paraId="68FBF7ED"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
                <w:bCs/>
                <w:sz w:val="22"/>
                <w:szCs w:val="22"/>
              </w:rPr>
            </w:pPr>
            <w:r w:rsidRPr="000E50F1">
              <w:rPr>
                <w:rFonts w:asciiTheme="minorHAnsi" w:eastAsia="Times New Roman" w:hAnsiTheme="minorHAnsi" w:cstheme="majorHAnsi"/>
                <w:b/>
                <w:bCs/>
                <w:sz w:val="22"/>
                <w:szCs w:val="22"/>
              </w:rPr>
              <w:t>Definition</w:t>
            </w:r>
          </w:p>
        </w:tc>
      </w:tr>
      <w:tr w:rsidR="00B4328B" w:rsidRPr="000E50F1" w14:paraId="20B6A4D2" w14:textId="77777777" w:rsidTr="00FC7210">
        <w:tc>
          <w:tcPr>
            <w:tcW w:w="1020" w:type="pct"/>
          </w:tcPr>
          <w:p w14:paraId="67476F45"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Applicant</w:t>
            </w:r>
          </w:p>
        </w:tc>
        <w:tc>
          <w:tcPr>
            <w:tcW w:w="3980" w:type="pct"/>
          </w:tcPr>
          <w:p w14:paraId="3A849271"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A person who has filled out and submitted a complete application for permanent residence.</w:t>
            </w:r>
          </w:p>
          <w:p w14:paraId="0AF2D3DE"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p>
        </w:tc>
      </w:tr>
      <w:tr w:rsidR="00B4328B" w:rsidRPr="000E50F1" w14:paraId="3B3207DE" w14:textId="77777777" w:rsidTr="00FC7210">
        <w:tc>
          <w:tcPr>
            <w:tcW w:w="1020" w:type="pct"/>
          </w:tcPr>
          <w:p w14:paraId="19DDD679"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Canadian Educational Credential</w:t>
            </w:r>
          </w:p>
        </w:tc>
        <w:tc>
          <w:tcPr>
            <w:tcW w:w="3980" w:type="pct"/>
          </w:tcPr>
          <w:p w14:paraId="6E798CB0"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"Canadian educational credential" means any diploma, certificate or credential, issued on the completion of a Canadian program of study or training at an educational or training institution that is recognized by the provincial authorities responsible for registering, accrediting, supervising and regulating such institutions.</w:t>
            </w:r>
          </w:p>
          <w:p w14:paraId="481726A3"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p>
        </w:tc>
      </w:tr>
      <w:tr w:rsidR="00B4328B" w:rsidRPr="000E50F1" w14:paraId="0965BB70" w14:textId="77777777" w:rsidTr="00FC7210">
        <w:tc>
          <w:tcPr>
            <w:tcW w:w="1020" w:type="pct"/>
          </w:tcPr>
          <w:p w14:paraId="0964A286"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Candidate</w:t>
            </w:r>
          </w:p>
          <w:p w14:paraId="74BB9E1B"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p>
        </w:tc>
        <w:tc>
          <w:tcPr>
            <w:tcW w:w="3980" w:type="pct"/>
          </w:tcPr>
          <w:p w14:paraId="5CAD712F"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 xml:space="preserve">This term should be used in relation to Express Entry / profile / submission. It refers to a person in the Express Entry pool. Candidates in the pool are ranked against others in the pool. </w:t>
            </w:r>
          </w:p>
          <w:p w14:paraId="04DC1030"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p>
        </w:tc>
      </w:tr>
      <w:tr w:rsidR="00B4328B" w:rsidRPr="000E50F1" w14:paraId="7B1058D6" w14:textId="77777777" w:rsidTr="00FC7210">
        <w:tc>
          <w:tcPr>
            <w:tcW w:w="1020" w:type="pct"/>
          </w:tcPr>
          <w:p w14:paraId="1ED45B6E"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Canadian Experience Class (CEC)</w:t>
            </w:r>
          </w:p>
        </w:tc>
        <w:tc>
          <w:tcPr>
            <w:tcW w:w="3980" w:type="pct"/>
          </w:tcPr>
          <w:p w14:paraId="53C45716"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The Canadian Experience Class is a permanent resident category for individuals with skilled work experience in Canada. It was developed for temporary foreign workers and foreign graduates with qualifying Canadian work experience.</w:t>
            </w:r>
          </w:p>
          <w:p w14:paraId="2E4DD5D0"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p>
        </w:tc>
      </w:tr>
      <w:tr w:rsidR="00B4328B" w:rsidRPr="000E50F1" w14:paraId="18D97DE5" w14:textId="77777777" w:rsidTr="00FC7210">
        <w:tc>
          <w:tcPr>
            <w:tcW w:w="1020" w:type="pct"/>
          </w:tcPr>
          <w:p w14:paraId="3D2D0680"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Comprehensive Ranking System (CRS)</w:t>
            </w:r>
          </w:p>
        </w:tc>
        <w:tc>
          <w:tcPr>
            <w:tcW w:w="3980" w:type="pct"/>
          </w:tcPr>
          <w:p w14:paraId="035F209D"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The Comprehensive Ranking System, or CRS, determines a candidate’s position in the Express Entry pool. It ranks prospective skilled immigrants by looking at their skills, work experience, language ability, education and other factors that we know lead to success in Canada.</w:t>
            </w:r>
          </w:p>
          <w:p w14:paraId="7372DEC7"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p>
        </w:tc>
      </w:tr>
      <w:tr w:rsidR="00B4328B" w:rsidRPr="000E50F1" w14:paraId="1BE36F37" w14:textId="77777777" w:rsidTr="00FC7210">
        <w:tc>
          <w:tcPr>
            <w:tcW w:w="1020" w:type="pct"/>
          </w:tcPr>
          <w:p w14:paraId="6ABF6892"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Express Entry Pool (the pool)</w:t>
            </w:r>
          </w:p>
          <w:p w14:paraId="4C1B9396" w14:textId="77777777" w:rsidR="009575BD" w:rsidRPr="000E50F1" w:rsidRDefault="009575BD" w:rsidP="00B16565">
            <w:pPr>
              <w:ind w:right="4"/>
              <w:outlineLvl w:val="0"/>
              <w:rPr>
                <w:rFonts w:asciiTheme="minorHAnsi" w:hAnsiTheme="minorHAnsi" w:cstheme="majorHAnsi"/>
                <w:bCs/>
                <w:sz w:val="22"/>
                <w:szCs w:val="22"/>
              </w:rPr>
            </w:pPr>
          </w:p>
        </w:tc>
        <w:tc>
          <w:tcPr>
            <w:tcW w:w="3980" w:type="pct"/>
          </w:tcPr>
          <w:p w14:paraId="58F9C692"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Potential candidates who have submitted an Express Entry profile may be placed in the Express Entry pool if they meet the minimum entry criteria. Initially referred to as the Express Entry pool and thereafter as the pool.</w:t>
            </w:r>
          </w:p>
          <w:p w14:paraId="0143AA28" w14:textId="77777777" w:rsidR="009575BD" w:rsidRPr="000E50F1" w:rsidRDefault="009575BD" w:rsidP="00B16565">
            <w:pPr>
              <w:ind w:right="4"/>
              <w:outlineLvl w:val="0"/>
              <w:rPr>
                <w:rFonts w:asciiTheme="minorHAnsi" w:hAnsiTheme="minorHAnsi" w:cstheme="majorHAnsi"/>
                <w:bCs/>
                <w:sz w:val="22"/>
                <w:szCs w:val="22"/>
              </w:rPr>
            </w:pPr>
          </w:p>
        </w:tc>
      </w:tr>
      <w:tr w:rsidR="00B4328B" w:rsidRPr="000E50F1" w14:paraId="5996CECE" w14:textId="77777777" w:rsidTr="00FC7210">
        <w:tc>
          <w:tcPr>
            <w:tcW w:w="1020" w:type="pct"/>
          </w:tcPr>
          <w:p w14:paraId="7F2E4AAC"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Express Entry Profile</w:t>
            </w:r>
          </w:p>
          <w:p w14:paraId="2DF3AEF2" w14:textId="77777777" w:rsidR="009575BD" w:rsidRPr="000E50F1" w:rsidRDefault="009575BD" w:rsidP="00B16565">
            <w:pPr>
              <w:ind w:right="4"/>
              <w:outlineLvl w:val="0"/>
              <w:rPr>
                <w:rFonts w:asciiTheme="minorHAnsi" w:hAnsiTheme="minorHAnsi" w:cstheme="majorHAnsi"/>
                <w:bCs/>
                <w:sz w:val="22"/>
                <w:szCs w:val="22"/>
              </w:rPr>
            </w:pPr>
          </w:p>
        </w:tc>
        <w:tc>
          <w:tcPr>
            <w:tcW w:w="3980" w:type="pct"/>
          </w:tcPr>
          <w:p w14:paraId="788B3EEB"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A potential candidate fills out an Express Entry profile to express their interest in coming to Canada. The Express Entry profile is filled out after the potential candidate has completed the Come to Canada wizard and created a MyCIC account. Potential candidates can access their profile by logging into their MyCIC account.</w:t>
            </w:r>
          </w:p>
          <w:p w14:paraId="10F9C8BE" w14:textId="77777777" w:rsidR="009575BD" w:rsidRPr="000E50F1" w:rsidRDefault="009575BD" w:rsidP="00B16565">
            <w:pPr>
              <w:ind w:right="4"/>
              <w:outlineLvl w:val="0"/>
              <w:rPr>
                <w:rFonts w:asciiTheme="minorHAnsi" w:hAnsiTheme="minorHAnsi" w:cstheme="majorHAnsi"/>
                <w:bCs/>
                <w:sz w:val="22"/>
                <w:szCs w:val="22"/>
              </w:rPr>
            </w:pPr>
          </w:p>
        </w:tc>
      </w:tr>
      <w:tr w:rsidR="00B4328B" w:rsidRPr="000E50F1" w14:paraId="02B0D29F" w14:textId="77777777" w:rsidTr="00FC7210">
        <w:tc>
          <w:tcPr>
            <w:tcW w:w="1020" w:type="pct"/>
          </w:tcPr>
          <w:p w14:paraId="09888E01"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Express Entry (EE)</w:t>
            </w:r>
          </w:p>
          <w:p w14:paraId="56BC75AF" w14:textId="77777777" w:rsidR="009575BD" w:rsidRPr="000E50F1" w:rsidRDefault="009575BD" w:rsidP="00B16565">
            <w:pPr>
              <w:ind w:right="4"/>
              <w:rPr>
                <w:rFonts w:asciiTheme="minorHAnsi" w:hAnsiTheme="minorHAnsi" w:cstheme="majorHAnsi"/>
                <w:bCs/>
                <w:sz w:val="22"/>
                <w:szCs w:val="22"/>
              </w:rPr>
            </w:pPr>
          </w:p>
        </w:tc>
        <w:tc>
          <w:tcPr>
            <w:tcW w:w="3980" w:type="pct"/>
          </w:tcPr>
          <w:p w14:paraId="16FB92B1"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This Express Entry is a system that is used to manage the intake of economic immigration applications under the Federal Skilled Worker Program, Federal Skilled Trades Program, Canadian Experience Class and a portion of the Provincial Nominee Program.</w:t>
            </w:r>
          </w:p>
          <w:p w14:paraId="6CC489D5" w14:textId="77777777" w:rsidR="00FC7210" w:rsidRPr="000E50F1" w:rsidRDefault="00FC7210" w:rsidP="00B16565">
            <w:pPr>
              <w:pStyle w:val="NormalWeb"/>
              <w:spacing w:before="0" w:beforeAutospacing="0" w:after="0" w:afterAutospacing="0"/>
              <w:ind w:right="4"/>
              <w:rPr>
                <w:rFonts w:asciiTheme="minorHAnsi" w:eastAsia="Times New Roman" w:hAnsiTheme="minorHAnsi" w:cstheme="majorHAnsi"/>
                <w:bCs/>
                <w:sz w:val="22"/>
                <w:szCs w:val="22"/>
              </w:rPr>
            </w:pPr>
          </w:p>
          <w:p w14:paraId="4C375B27" w14:textId="61AE0A0D" w:rsidR="009618D5" w:rsidRPr="000E50F1" w:rsidRDefault="009618D5" w:rsidP="00B16565">
            <w:pPr>
              <w:pStyle w:val="NormalWeb"/>
              <w:spacing w:before="0" w:beforeAutospacing="0" w:after="0" w:afterAutospacing="0"/>
              <w:ind w:right="4"/>
              <w:rPr>
                <w:rFonts w:asciiTheme="minorHAnsi" w:eastAsia="Times New Roman" w:hAnsiTheme="minorHAnsi" w:cstheme="majorHAnsi"/>
                <w:bCs/>
                <w:sz w:val="22"/>
                <w:szCs w:val="22"/>
              </w:rPr>
            </w:pPr>
          </w:p>
        </w:tc>
      </w:tr>
      <w:tr w:rsidR="00B4328B" w:rsidRPr="000E50F1" w14:paraId="5AA1DB57" w14:textId="77777777" w:rsidTr="00FC7210">
        <w:tc>
          <w:tcPr>
            <w:tcW w:w="1020" w:type="pct"/>
          </w:tcPr>
          <w:p w14:paraId="548CBD02"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lastRenderedPageBreak/>
              <w:t>Federal Skill Trades (FST)</w:t>
            </w:r>
          </w:p>
        </w:tc>
        <w:tc>
          <w:tcPr>
            <w:tcW w:w="3980" w:type="pct"/>
          </w:tcPr>
          <w:p w14:paraId="363BC5C1"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The Federal Skilled Trades is prescribed as a class of persons who may become permanent residents on the basis of their ability to become economically established in Canada as workers in a </w:t>
            </w:r>
            <w:hyperlink r:id="rId31" w:history="1">
              <w:r w:rsidRPr="000E50F1">
                <w:rPr>
                  <w:rFonts w:asciiTheme="minorHAnsi" w:eastAsia="Times New Roman" w:hAnsiTheme="minorHAnsi" w:cstheme="majorHAnsi"/>
                  <w:bCs/>
                  <w:sz w:val="22"/>
                  <w:szCs w:val="22"/>
                </w:rPr>
                <w:t>skilled trade occupation</w:t>
              </w:r>
            </w:hyperlink>
            <w:r w:rsidRPr="000E50F1">
              <w:rPr>
                <w:rFonts w:asciiTheme="minorHAnsi" w:eastAsia="Times New Roman" w:hAnsiTheme="minorHAnsi" w:cstheme="majorHAnsi"/>
                <w:bCs/>
                <w:sz w:val="22"/>
                <w:szCs w:val="22"/>
              </w:rPr>
              <w:t xml:space="preserve"> in addition to meeting other requirements. </w:t>
            </w:r>
          </w:p>
          <w:p w14:paraId="2E1E474B"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p>
        </w:tc>
      </w:tr>
      <w:tr w:rsidR="00B4328B" w:rsidRPr="000E50F1" w14:paraId="49A90573" w14:textId="77777777" w:rsidTr="00FC7210">
        <w:tc>
          <w:tcPr>
            <w:tcW w:w="1020" w:type="pct"/>
          </w:tcPr>
          <w:p w14:paraId="0E68834F"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Federal Skill Workers (FSW)</w:t>
            </w:r>
          </w:p>
        </w:tc>
        <w:tc>
          <w:tcPr>
            <w:tcW w:w="3980" w:type="pct"/>
          </w:tcPr>
          <w:p w14:paraId="5A8213FC"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The Federal Skill Workers is prescribed as a class of persons who are skilled workers, who may become permanent residents on the basis of their ability to become economically established in Canada, and who intend to reside in a province other than Quebec.</w:t>
            </w:r>
          </w:p>
          <w:p w14:paraId="4B45A3C8"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p>
        </w:tc>
      </w:tr>
      <w:tr w:rsidR="00B4328B" w:rsidRPr="000E50F1" w14:paraId="64F8AD40" w14:textId="77777777" w:rsidTr="00FC7210">
        <w:tc>
          <w:tcPr>
            <w:tcW w:w="1020" w:type="pct"/>
          </w:tcPr>
          <w:p w14:paraId="7442E5CA"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Invitation to Apply (ITA)</w:t>
            </w:r>
          </w:p>
          <w:p w14:paraId="45766E7E" w14:textId="77777777" w:rsidR="009575BD" w:rsidRPr="000E50F1" w:rsidRDefault="009575BD" w:rsidP="00B16565">
            <w:pPr>
              <w:ind w:right="4"/>
              <w:rPr>
                <w:rFonts w:asciiTheme="minorHAnsi" w:hAnsiTheme="minorHAnsi" w:cstheme="majorHAnsi"/>
                <w:bCs/>
                <w:sz w:val="22"/>
                <w:szCs w:val="22"/>
              </w:rPr>
            </w:pPr>
          </w:p>
        </w:tc>
        <w:tc>
          <w:tcPr>
            <w:tcW w:w="3980" w:type="pct"/>
          </w:tcPr>
          <w:p w14:paraId="6B79B834"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An Invitation to Apply, or ITA, is given to Express Entry candidates who have the highest Comprehensive Ranking System (CRS) scores at the time of an Express Entry round of invitations.</w:t>
            </w:r>
          </w:p>
          <w:p w14:paraId="379C9A54"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Candidates who are issued an ITA have three options: they can respond to the ITA; they can ignore it (in which case they are removed from the Express Entry pool); they can decline it, in which case they return to the pool for consideration in future rounds of invitations.</w:t>
            </w:r>
          </w:p>
          <w:p w14:paraId="0DD950AD"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p>
        </w:tc>
      </w:tr>
      <w:tr w:rsidR="00B4328B" w:rsidRPr="000E50F1" w14:paraId="4C1D6EAE" w14:textId="77777777" w:rsidTr="00FC7210">
        <w:tc>
          <w:tcPr>
            <w:tcW w:w="1020" w:type="pct"/>
          </w:tcPr>
          <w:p w14:paraId="331B5721"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Labour Market Impact Assessment (LMIA)</w:t>
            </w:r>
          </w:p>
          <w:p w14:paraId="3AEA4F86" w14:textId="77777777" w:rsidR="009575BD" w:rsidRPr="000E50F1" w:rsidRDefault="009575BD" w:rsidP="00B16565">
            <w:pPr>
              <w:ind w:right="4"/>
              <w:rPr>
                <w:rFonts w:asciiTheme="minorHAnsi" w:hAnsiTheme="minorHAnsi" w:cstheme="majorHAnsi"/>
                <w:bCs/>
                <w:sz w:val="22"/>
                <w:szCs w:val="22"/>
              </w:rPr>
            </w:pPr>
          </w:p>
        </w:tc>
        <w:tc>
          <w:tcPr>
            <w:tcW w:w="3980" w:type="pct"/>
          </w:tcPr>
          <w:p w14:paraId="49F9ACE8"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An </w:t>
            </w:r>
            <w:hyperlink r:id="rId32" w:history="1">
              <w:r w:rsidRPr="000E50F1">
                <w:rPr>
                  <w:rFonts w:asciiTheme="minorHAnsi" w:eastAsia="Times New Roman" w:hAnsiTheme="minorHAnsi" w:cstheme="majorHAnsi"/>
                  <w:bCs/>
                  <w:sz w:val="22"/>
                  <w:szCs w:val="22"/>
                </w:rPr>
                <w:t>LMIA</w:t>
              </w:r>
            </w:hyperlink>
            <w:r w:rsidRPr="000E50F1">
              <w:rPr>
                <w:rFonts w:asciiTheme="minorHAnsi" w:eastAsia="Times New Roman" w:hAnsiTheme="minorHAnsi" w:cstheme="majorHAnsi"/>
                <w:bCs/>
                <w:sz w:val="22"/>
                <w:szCs w:val="22"/>
              </w:rPr>
              <w:t> (formerly known as a Labour Market Opinion) is an assessment an employer in Canada must apply for before hiring a foreign worker. A positive LMIA will show that there is a need for a foreign worker to fill the job and that no Canadian or permanent resident is available to do the job. A positive LMIA is sometimes called a confirmation letter. Employers must contact </w:t>
            </w:r>
            <w:hyperlink r:id="rId33" w:history="1">
              <w:r w:rsidRPr="000E50F1">
                <w:rPr>
                  <w:rFonts w:asciiTheme="minorHAnsi" w:eastAsia="Times New Roman" w:hAnsiTheme="minorHAnsi" w:cstheme="majorHAnsi"/>
                  <w:bCs/>
                  <w:sz w:val="22"/>
                  <w:szCs w:val="22"/>
                </w:rPr>
                <w:t>Employment and Social Development Canada</w:t>
              </w:r>
            </w:hyperlink>
            <w:r w:rsidRPr="000E50F1">
              <w:rPr>
                <w:rFonts w:asciiTheme="minorHAnsi" w:eastAsia="Times New Roman" w:hAnsiTheme="minorHAnsi" w:cstheme="majorHAnsi"/>
                <w:bCs/>
                <w:sz w:val="22"/>
                <w:szCs w:val="22"/>
              </w:rPr>
              <w:t> to apply for an LMIA.</w:t>
            </w:r>
          </w:p>
          <w:p w14:paraId="0A6B2956"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p>
        </w:tc>
      </w:tr>
      <w:tr w:rsidR="00B4328B" w:rsidRPr="000E50F1" w14:paraId="32DAF5B6" w14:textId="77777777" w:rsidTr="00FC7210">
        <w:tc>
          <w:tcPr>
            <w:tcW w:w="1020" w:type="pct"/>
          </w:tcPr>
          <w:p w14:paraId="202BEA05"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Permanent Residence (PR)</w:t>
            </w:r>
          </w:p>
        </w:tc>
        <w:tc>
          <w:tcPr>
            <w:tcW w:w="3980" w:type="pct"/>
          </w:tcPr>
          <w:p w14:paraId="4FBD8F5E" w14:textId="77777777" w:rsidR="009575BD" w:rsidRPr="000E50F1" w:rsidRDefault="009575BD" w:rsidP="00B16565">
            <w:pPr>
              <w:ind w:right="4"/>
              <w:rPr>
                <w:rFonts w:asciiTheme="minorHAnsi" w:hAnsiTheme="minorHAnsi" w:cstheme="majorHAnsi"/>
                <w:bCs/>
                <w:sz w:val="22"/>
                <w:szCs w:val="22"/>
              </w:rPr>
            </w:pPr>
            <w:r w:rsidRPr="000E50F1">
              <w:rPr>
                <w:rFonts w:asciiTheme="minorHAnsi" w:hAnsiTheme="minorHAnsi" w:cstheme="majorHAnsi"/>
                <w:bCs/>
                <w:sz w:val="22"/>
                <w:szCs w:val="22"/>
              </w:rPr>
              <w:t>Permanent residence of Canada is a status of a person who is not a </w:t>
            </w:r>
            <w:hyperlink r:id="rId34" w:tooltip="Canadians" w:history="1">
              <w:r w:rsidRPr="000E50F1">
                <w:rPr>
                  <w:rFonts w:asciiTheme="minorHAnsi" w:hAnsiTheme="minorHAnsi" w:cstheme="majorHAnsi"/>
                  <w:bCs/>
                  <w:sz w:val="22"/>
                  <w:szCs w:val="22"/>
                </w:rPr>
                <w:t>Canadian</w:t>
              </w:r>
            </w:hyperlink>
            <w:r w:rsidRPr="000E50F1">
              <w:rPr>
                <w:rFonts w:asciiTheme="minorHAnsi" w:hAnsiTheme="minorHAnsi" w:cstheme="majorHAnsi"/>
                <w:bCs/>
                <w:sz w:val="22"/>
                <w:szCs w:val="22"/>
              </w:rPr>
              <w:t> </w:t>
            </w:r>
            <w:hyperlink r:id="rId35" w:tooltip="Canadian nationality law" w:history="1">
              <w:r w:rsidRPr="000E50F1">
                <w:rPr>
                  <w:rFonts w:asciiTheme="minorHAnsi" w:hAnsiTheme="minorHAnsi" w:cstheme="majorHAnsi"/>
                  <w:bCs/>
                  <w:sz w:val="22"/>
                  <w:szCs w:val="22"/>
                </w:rPr>
                <w:t>citizen</w:t>
              </w:r>
            </w:hyperlink>
            <w:r w:rsidRPr="000E50F1">
              <w:rPr>
                <w:rFonts w:asciiTheme="minorHAnsi" w:hAnsiTheme="minorHAnsi" w:cstheme="majorHAnsi"/>
                <w:bCs/>
                <w:sz w:val="22"/>
                <w:szCs w:val="22"/>
              </w:rPr>
              <w:t> but who has been granted permission to live and work in </w:t>
            </w:r>
            <w:hyperlink r:id="rId36" w:tooltip="Canada" w:history="1">
              <w:r w:rsidRPr="000E50F1">
                <w:rPr>
                  <w:rFonts w:asciiTheme="minorHAnsi" w:hAnsiTheme="minorHAnsi" w:cstheme="majorHAnsi"/>
                  <w:bCs/>
                  <w:sz w:val="22"/>
                  <w:szCs w:val="22"/>
                </w:rPr>
                <w:t>Canada</w:t>
              </w:r>
            </w:hyperlink>
            <w:r w:rsidRPr="000E50F1">
              <w:rPr>
                <w:rFonts w:asciiTheme="minorHAnsi" w:hAnsiTheme="minorHAnsi" w:cstheme="majorHAnsi"/>
                <w:bCs/>
                <w:sz w:val="22"/>
                <w:szCs w:val="22"/>
              </w:rPr>
              <w:t xml:space="preserve"> without any time limit on their stay. </w:t>
            </w:r>
          </w:p>
          <w:p w14:paraId="3631E2EA" w14:textId="77777777" w:rsidR="009575BD" w:rsidRPr="000E50F1" w:rsidRDefault="009575BD" w:rsidP="00B16565">
            <w:pPr>
              <w:pStyle w:val="NormalWeb"/>
              <w:spacing w:before="0" w:beforeAutospacing="0" w:after="0" w:afterAutospacing="0"/>
              <w:ind w:right="4"/>
              <w:rPr>
                <w:rFonts w:asciiTheme="minorHAnsi" w:eastAsia="Times New Roman" w:hAnsiTheme="minorHAnsi" w:cstheme="majorHAnsi"/>
                <w:bCs/>
                <w:sz w:val="22"/>
                <w:szCs w:val="22"/>
              </w:rPr>
            </w:pPr>
          </w:p>
        </w:tc>
      </w:tr>
      <w:tr w:rsidR="00B4328B" w:rsidRPr="000E50F1" w14:paraId="0D7C02CD" w14:textId="77777777" w:rsidTr="00FC7210">
        <w:tc>
          <w:tcPr>
            <w:tcW w:w="1020" w:type="pct"/>
          </w:tcPr>
          <w:p w14:paraId="151124A1" w14:textId="77777777" w:rsidR="009575BD" w:rsidRPr="000E50F1" w:rsidRDefault="009575BD" w:rsidP="00EC393D">
            <w:pPr>
              <w:ind w:right="6"/>
              <w:rPr>
                <w:rFonts w:asciiTheme="minorHAnsi" w:hAnsiTheme="minorHAnsi" w:cstheme="majorHAnsi"/>
                <w:bCs/>
                <w:sz w:val="22"/>
                <w:szCs w:val="22"/>
              </w:rPr>
            </w:pPr>
            <w:r w:rsidRPr="000E50F1">
              <w:rPr>
                <w:rFonts w:asciiTheme="minorHAnsi" w:hAnsiTheme="minorHAnsi" w:cstheme="majorHAnsi"/>
                <w:bCs/>
                <w:sz w:val="22"/>
                <w:szCs w:val="22"/>
              </w:rPr>
              <w:t>Round of Invitations</w:t>
            </w:r>
          </w:p>
          <w:p w14:paraId="4DB70257" w14:textId="77777777" w:rsidR="009575BD" w:rsidRPr="000E50F1" w:rsidRDefault="009575BD" w:rsidP="00EC393D">
            <w:pPr>
              <w:ind w:right="6"/>
              <w:rPr>
                <w:rFonts w:asciiTheme="minorHAnsi" w:hAnsiTheme="minorHAnsi" w:cstheme="majorHAnsi"/>
                <w:bCs/>
                <w:sz w:val="22"/>
                <w:szCs w:val="22"/>
              </w:rPr>
            </w:pPr>
          </w:p>
        </w:tc>
        <w:tc>
          <w:tcPr>
            <w:tcW w:w="3980" w:type="pct"/>
          </w:tcPr>
          <w:p w14:paraId="00E192E2" w14:textId="77777777" w:rsidR="009575BD" w:rsidRPr="000E50F1" w:rsidRDefault="009575BD" w:rsidP="00EC393D">
            <w:pPr>
              <w:pStyle w:val="NormalWeb"/>
              <w:spacing w:before="0" w:beforeAutospacing="0" w:after="0" w:afterAutospacing="0"/>
              <w:ind w:right="6"/>
              <w:rPr>
                <w:rFonts w:asciiTheme="minorHAnsi" w:eastAsia="Times New Roman" w:hAnsiTheme="minorHAnsi" w:cstheme="majorHAnsi"/>
                <w:bCs/>
                <w:sz w:val="22"/>
                <w:szCs w:val="22"/>
              </w:rPr>
            </w:pPr>
            <w:r w:rsidRPr="000E50F1">
              <w:rPr>
                <w:rFonts w:asciiTheme="minorHAnsi" w:eastAsia="Times New Roman" w:hAnsiTheme="minorHAnsi" w:cstheme="majorHAnsi"/>
                <w:bCs/>
                <w:sz w:val="22"/>
                <w:szCs w:val="22"/>
              </w:rPr>
              <w:t xml:space="preserve">A round of invitations occurs on a specific time and day when IRCC issues Invitations to Apply to the top-ranking candidates in the Express Entry pool. A round of invitations can be performed for the pool as a whole (Comprehensive Ranking System (CRS) rank only) or specific to a program (CRS rank for federal skilled worker only). Every round of invitations has a set of instructions that the electronic system uses to invite candidates from the pool. </w:t>
            </w:r>
          </w:p>
          <w:p w14:paraId="68CCA252" w14:textId="77777777" w:rsidR="009575BD" w:rsidRPr="000E50F1" w:rsidRDefault="009575BD" w:rsidP="00EC393D">
            <w:pPr>
              <w:pStyle w:val="NormalWeb"/>
              <w:spacing w:before="0" w:beforeAutospacing="0" w:after="0" w:afterAutospacing="0"/>
              <w:ind w:right="6"/>
              <w:rPr>
                <w:rFonts w:asciiTheme="minorHAnsi" w:eastAsia="Times New Roman" w:hAnsiTheme="minorHAnsi" w:cstheme="majorHAnsi"/>
                <w:bCs/>
                <w:sz w:val="22"/>
                <w:szCs w:val="22"/>
              </w:rPr>
            </w:pPr>
          </w:p>
        </w:tc>
      </w:tr>
    </w:tbl>
    <w:p w14:paraId="7871E6CF" w14:textId="77777777" w:rsidR="0049719E" w:rsidRPr="000E50F1" w:rsidRDefault="0049719E" w:rsidP="00293FCE">
      <w:pPr>
        <w:pStyle w:val="Caption"/>
        <w:ind w:left="567" w:hanging="567"/>
        <w:rPr>
          <w:rFonts w:ascii="Times" w:hAnsi="Times"/>
          <w:i/>
          <w:iCs w:val="0"/>
          <w:sz w:val="24"/>
          <w:szCs w:val="20"/>
        </w:rPr>
      </w:pPr>
    </w:p>
    <w:p w14:paraId="0C5A300E" w14:textId="65281500" w:rsidR="00FC7210" w:rsidRPr="000E50F1" w:rsidRDefault="0049719E" w:rsidP="00293FCE">
      <w:pPr>
        <w:pStyle w:val="Caption"/>
        <w:ind w:left="567" w:hanging="567"/>
        <w:rPr>
          <w:rFonts w:ascii="Times" w:hAnsi="Times"/>
          <w:i/>
          <w:iCs w:val="0"/>
          <w:sz w:val="24"/>
          <w:szCs w:val="20"/>
        </w:rPr>
      </w:pPr>
      <w:bookmarkStart w:id="24" w:name="_Toc54510707"/>
      <w:r w:rsidRPr="000E50F1">
        <w:rPr>
          <w:rFonts w:ascii="Times" w:hAnsi="Times"/>
          <w:i/>
          <w:iCs w:val="0"/>
          <w:sz w:val="24"/>
          <w:szCs w:val="20"/>
        </w:rPr>
        <w:t xml:space="preserve">Table </w:t>
      </w:r>
      <w:r w:rsidRPr="000E50F1">
        <w:rPr>
          <w:rFonts w:ascii="Times" w:hAnsi="Times"/>
          <w:i/>
          <w:iCs w:val="0"/>
          <w:sz w:val="24"/>
          <w:szCs w:val="20"/>
        </w:rPr>
        <w:fldChar w:fldCharType="begin"/>
      </w:r>
      <w:r w:rsidRPr="000E50F1">
        <w:rPr>
          <w:rFonts w:ascii="Times" w:hAnsi="Times"/>
          <w:i/>
          <w:iCs w:val="0"/>
          <w:sz w:val="24"/>
          <w:szCs w:val="20"/>
        </w:rPr>
        <w:instrText xml:space="preserve"> SEQ Table \* ARABIC </w:instrText>
      </w:r>
      <w:r w:rsidRPr="000E50F1">
        <w:rPr>
          <w:rFonts w:ascii="Times" w:hAnsi="Times"/>
          <w:i/>
          <w:iCs w:val="0"/>
          <w:sz w:val="24"/>
          <w:szCs w:val="20"/>
        </w:rPr>
        <w:fldChar w:fldCharType="separate"/>
      </w:r>
      <w:r w:rsidR="003B1B28" w:rsidRPr="000E50F1">
        <w:rPr>
          <w:rFonts w:ascii="Times" w:hAnsi="Times"/>
          <w:i/>
          <w:iCs w:val="0"/>
          <w:noProof/>
          <w:sz w:val="24"/>
          <w:szCs w:val="20"/>
        </w:rPr>
        <w:t>6</w:t>
      </w:r>
      <w:r w:rsidRPr="000E50F1">
        <w:rPr>
          <w:rFonts w:ascii="Times" w:hAnsi="Times"/>
          <w:i/>
          <w:iCs w:val="0"/>
          <w:sz w:val="24"/>
          <w:szCs w:val="20"/>
        </w:rPr>
        <w:fldChar w:fldCharType="end"/>
      </w:r>
      <w:r w:rsidR="009575BD" w:rsidRPr="000E50F1">
        <w:rPr>
          <w:rFonts w:ascii="Times" w:eastAsia="Calibri" w:hAnsi="Times"/>
          <w:bCs/>
          <w:i/>
          <w:sz w:val="24"/>
          <w:szCs w:val="20"/>
        </w:rPr>
        <w:t xml:space="preserve">. </w:t>
      </w:r>
      <w:r w:rsidR="00FC7210" w:rsidRPr="000E50F1">
        <w:rPr>
          <w:rFonts w:ascii="Times" w:hAnsi="Times"/>
          <w:iCs w:val="0"/>
          <w:sz w:val="24"/>
          <w:szCs w:val="20"/>
        </w:rPr>
        <w:t>Terms and definitions related to permanent residence. From IRCC (2016l)</w:t>
      </w:r>
      <w:bookmarkEnd w:id="24"/>
      <w:r w:rsidR="00FC7210" w:rsidRPr="000E50F1">
        <w:rPr>
          <w:rFonts w:ascii="Times" w:hAnsi="Times"/>
          <w:i/>
          <w:sz w:val="24"/>
          <w:szCs w:val="20"/>
        </w:rPr>
        <w:t xml:space="preserve"> </w:t>
      </w:r>
    </w:p>
    <w:p w14:paraId="6430219F" w14:textId="77777777" w:rsidR="009575BD" w:rsidRPr="000E50F1" w:rsidRDefault="009575BD">
      <w:pPr>
        <w:rPr>
          <w:rFonts w:ascii="Times" w:eastAsia="Calibri" w:hAnsi="Times"/>
          <w:bCs/>
          <w:lang w:val="en-US"/>
        </w:rPr>
      </w:pPr>
      <w:r w:rsidRPr="000E50F1">
        <w:rPr>
          <w:rFonts w:ascii="Times" w:eastAsia="Calibri" w:hAnsi="Times"/>
          <w:bCs/>
          <w:lang w:val="en-US"/>
        </w:rPr>
        <w:br w:type="page"/>
      </w:r>
    </w:p>
    <w:p w14:paraId="1BB9841D" w14:textId="2586BF0F" w:rsidR="009575BD" w:rsidRPr="000E50F1" w:rsidRDefault="009575BD" w:rsidP="009575BD">
      <w:pPr>
        <w:rPr>
          <w:rFonts w:ascii="Times" w:eastAsia="Calibri" w:hAnsi="Times"/>
          <w:b/>
          <w:lang w:val="en-US"/>
        </w:rPr>
      </w:pPr>
      <w:r w:rsidRPr="000E50F1">
        <w:rPr>
          <w:rFonts w:ascii="Times" w:eastAsia="Calibri" w:hAnsi="Times"/>
          <w:b/>
          <w:lang w:val="en-US"/>
        </w:rPr>
        <w:lastRenderedPageBreak/>
        <w:t xml:space="preserve">References </w:t>
      </w:r>
    </w:p>
    <w:p w14:paraId="3D5C6450" w14:textId="77777777" w:rsidR="009575BD" w:rsidRPr="000E50F1" w:rsidRDefault="009575BD" w:rsidP="00FC7210">
      <w:pPr>
        <w:ind w:left="567" w:hanging="567"/>
        <w:rPr>
          <w:rFonts w:ascii="Times" w:eastAsia="Calibri" w:hAnsi="Times"/>
          <w:bCs/>
          <w:lang w:val="en-US"/>
        </w:rPr>
      </w:pPr>
    </w:p>
    <w:p w14:paraId="53C65F8A" w14:textId="77777777" w:rsidR="00FC7210" w:rsidRPr="000E50F1" w:rsidRDefault="00FC7210" w:rsidP="00FC7210">
      <w:pPr>
        <w:ind w:left="567" w:hanging="567"/>
        <w:rPr>
          <w:rFonts w:ascii="Times" w:hAnsi="Times"/>
        </w:rPr>
      </w:pPr>
      <w:r w:rsidRPr="000E50F1">
        <w:rPr>
          <w:rFonts w:ascii="Times" w:hAnsi="Times"/>
        </w:rPr>
        <w:t xml:space="preserve">Canadian Bureau for International Education (2016). Facts and figures: Canada’s performance and potential in international education. Retrieved February 11, 2017, from http://cbie.ca/media/facts-and-figures/. </w:t>
      </w:r>
    </w:p>
    <w:p w14:paraId="128E6540" w14:textId="77777777" w:rsidR="00FC7210" w:rsidRPr="000E50F1" w:rsidRDefault="00FC7210" w:rsidP="00FC7210">
      <w:pPr>
        <w:ind w:left="567" w:hanging="567"/>
        <w:rPr>
          <w:rFonts w:ascii="Times" w:hAnsi="Times"/>
        </w:rPr>
      </w:pPr>
    </w:p>
    <w:p w14:paraId="7C4C1994" w14:textId="0A985F58" w:rsidR="00FC7210" w:rsidRPr="000E50F1" w:rsidRDefault="00FC7210" w:rsidP="00FC7210">
      <w:pPr>
        <w:ind w:left="567" w:hanging="567"/>
        <w:rPr>
          <w:rFonts w:ascii="Times" w:hAnsi="Times"/>
        </w:rPr>
      </w:pPr>
      <w:r w:rsidRPr="000E50F1">
        <w:rPr>
          <w:rFonts w:ascii="Times" w:hAnsi="Times"/>
        </w:rPr>
        <w:t xml:space="preserve">Global Affairs Canada (2016). ARCHIVED—Economic impact of international education in Canada. Retrieved February 11, 2017, from http://www.international.gc.ca/education/report-rapport/economic- impact-economique/index.aspx?lang=eng. </w:t>
      </w:r>
    </w:p>
    <w:p w14:paraId="4DEC8821" w14:textId="77777777" w:rsidR="00FC7210" w:rsidRPr="000E50F1" w:rsidRDefault="00FC7210" w:rsidP="00FC7210">
      <w:pPr>
        <w:ind w:left="567" w:hanging="567"/>
        <w:rPr>
          <w:rFonts w:ascii="Times" w:hAnsi="Times"/>
        </w:rPr>
      </w:pPr>
    </w:p>
    <w:p w14:paraId="0E7E4AEA" w14:textId="7BCEF727" w:rsidR="00FC7210" w:rsidRPr="000E50F1" w:rsidRDefault="00FC7210" w:rsidP="00FC7210">
      <w:pPr>
        <w:ind w:left="567" w:hanging="567"/>
        <w:rPr>
          <w:rFonts w:ascii="Times" w:hAnsi="Times"/>
        </w:rPr>
      </w:pPr>
      <w:r w:rsidRPr="000E50F1">
        <w:rPr>
          <w:rFonts w:ascii="Times" w:hAnsi="Times"/>
        </w:rPr>
        <w:t xml:space="preserve">Immigration, Refugees and Citizenship Canada (2014). Restoration of temporary resident status. Retrieved February 11, 2017, from http://www.cic.gc.ca/english/resources/tools/temp/visa/validity/restoration.asp. </w:t>
      </w:r>
    </w:p>
    <w:p w14:paraId="5F0339BC" w14:textId="77777777" w:rsidR="00FC7210" w:rsidRPr="000E50F1" w:rsidRDefault="00FC7210" w:rsidP="00FC7210">
      <w:pPr>
        <w:ind w:left="567" w:hanging="567"/>
        <w:rPr>
          <w:rFonts w:ascii="Times" w:hAnsi="Times"/>
        </w:rPr>
      </w:pPr>
    </w:p>
    <w:p w14:paraId="1E0CA822" w14:textId="587DE702"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(2016a). How express entry works. Retrieved February 11, 2017, from http://www.cic.gc.ca/english/express-entry/. </w:t>
      </w:r>
    </w:p>
    <w:p w14:paraId="1231F71D" w14:textId="77777777" w:rsidR="00FC7210" w:rsidRPr="000E50F1" w:rsidRDefault="00FC7210" w:rsidP="00FC7210">
      <w:pPr>
        <w:ind w:left="567" w:hanging="567"/>
        <w:rPr>
          <w:rFonts w:ascii="Times" w:hAnsi="Times"/>
        </w:rPr>
      </w:pPr>
    </w:p>
    <w:p w14:paraId="669AF1DF" w14:textId="5A76E7F9"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(2016b). Express entry improvements: fall 2016—Canada news centre. Retrieved February 11, 2017, from http://news.gc.ca/web/article-en.do?nid=1153419. </w:t>
      </w:r>
    </w:p>
    <w:p w14:paraId="6E434842" w14:textId="77777777" w:rsidR="00FC7210" w:rsidRPr="000E50F1" w:rsidRDefault="00FC7210" w:rsidP="00FC7210">
      <w:pPr>
        <w:ind w:left="567" w:hanging="567"/>
        <w:rPr>
          <w:rFonts w:ascii="Times" w:hAnsi="Times"/>
        </w:rPr>
      </w:pPr>
    </w:p>
    <w:p w14:paraId="613DE9D3" w14:textId="1C142100"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(2016c). Express entry year-end report 2015. Retrieved February 11, 2017, from http://www.cic.gc.ca/english/resources/reports/ee-year-end-2015.asp. </w:t>
      </w:r>
    </w:p>
    <w:p w14:paraId="515FE1C5" w14:textId="77777777" w:rsidR="007B3106" w:rsidRPr="000E50F1" w:rsidRDefault="007B3106" w:rsidP="00FC7210">
      <w:pPr>
        <w:ind w:left="567" w:hanging="567"/>
        <w:rPr>
          <w:rFonts w:ascii="Times" w:hAnsi="Times"/>
        </w:rPr>
      </w:pPr>
    </w:p>
    <w:p w14:paraId="1F40407C" w14:textId="52021C4E"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(2016d). Permanent resident admissions by category. [Dataset, XLS]. Retrieved February 11, 2017, from http://open.canada.ca/data/en/dataset/ad975a26-df23-456a- 8ada-756191a23695. </w:t>
      </w:r>
    </w:p>
    <w:p w14:paraId="6602F93F" w14:textId="77777777" w:rsidR="00FC7210" w:rsidRPr="000E50F1" w:rsidRDefault="00FC7210" w:rsidP="00FC7210">
      <w:pPr>
        <w:ind w:left="567" w:hanging="567"/>
        <w:rPr>
          <w:rFonts w:ascii="Times" w:hAnsi="Times"/>
        </w:rPr>
      </w:pPr>
    </w:p>
    <w:p w14:paraId="7EF6A00C" w14:textId="6C6C1DED"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(2016e). Key highlights—2016 immigration levels plan - Canada news centre. Retrieved February 11, 2017, from http://news.gc.ca/web/article-en.do?mthd= tp&amp;crtr.page=1&amp;nid=1038709&amp;crtr.tp1D=930. </w:t>
      </w:r>
    </w:p>
    <w:p w14:paraId="528D728F" w14:textId="77777777" w:rsidR="00FC7210" w:rsidRPr="000E50F1" w:rsidRDefault="00FC7210" w:rsidP="00FC7210">
      <w:pPr>
        <w:ind w:left="567" w:hanging="567"/>
        <w:rPr>
          <w:rFonts w:ascii="Times" w:hAnsi="Times"/>
        </w:rPr>
      </w:pPr>
    </w:p>
    <w:p w14:paraId="5666E5BE" w14:textId="400469B0"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(2016f). Key highlights 2017 immigration levels plan— Canada news centre. Retrieved February 11, 2017, from http://news.gc.ca/web/article-en. do?nid=1145319. </w:t>
      </w:r>
    </w:p>
    <w:p w14:paraId="5CC85CDE" w14:textId="77777777" w:rsidR="00FC7210" w:rsidRPr="000E50F1" w:rsidRDefault="00FC7210" w:rsidP="00FC7210">
      <w:pPr>
        <w:ind w:left="567" w:hanging="567"/>
        <w:rPr>
          <w:rFonts w:ascii="Times" w:hAnsi="Times"/>
        </w:rPr>
      </w:pPr>
    </w:p>
    <w:p w14:paraId="44888DC1" w14:textId="288256F5"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(2016g) Express entry: by province/territory of destination, by immigration category [Dataset, XLS]. Retrieved February 11, 2017, from </w:t>
      </w:r>
      <w:hyperlink r:id="rId37" w:history="1">
        <w:r w:rsidR="00FC7210" w:rsidRPr="000E50F1">
          <w:rPr>
            <w:rStyle w:val="Hyperlink"/>
            <w:rFonts w:ascii="Times" w:hAnsi="Times"/>
            <w:color w:val="auto"/>
            <w:u w:val="none"/>
          </w:rPr>
          <w:t>http://open</w:t>
        </w:r>
      </w:hyperlink>
      <w:r w:rsidR="00FC7210" w:rsidRPr="000E50F1">
        <w:rPr>
          <w:rFonts w:ascii="Times" w:hAnsi="Times"/>
        </w:rPr>
        <w:t xml:space="preserve">.canada. ca/data/en/dataset/593e9165-c6ce-4f9b-b519-03d315f92cd4. </w:t>
      </w:r>
    </w:p>
    <w:p w14:paraId="3F1771FC" w14:textId="77777777" w:rsidR="00FC7210" w:rsidRPr="000E50F1" w:rsidRDefault="00FC7210" w:rsidP="00FC7210">
      <w:pPr>
        <w:ind w:left="567" w:hanging="567"/>
        <w:rPr>
          <w:rFonts w:ascii="Times" w:hAnsi="Times"/>
        </w:rPr>
      </w:pPr>
    </w:p>
    <w:p w14:paraId="45B2F5E3" w14:textId="04C49B4C" w:rsidR="00FC7210" w:rsidRPr="000E50F1" w:rsidRDefault="007B3106" w:rsidP="00FC7210">
      <w:pPr>
        <w:ind w:left="567" w:hanging="567"/>
        <w:rPr>
          <w:rFonts w:ascii="Times" w:hAnsi="Times"/>
        </w:rPr>
      </w:pPr>
      <w:r w:rsidRPr="000E50F1">
        <w:rPr>
          <w:rFonts w:ascii="Times" w:hAnsi="Times"/>
        </w:rPr>
        <w:lastRenderedPageBreak/>
        <w:t xml:space="preserve">—. </w:t>
      </w:r>
      <w:r w:rsidR="00FC7210" w:rsidRPr="000E50F1">
        <w:rPr>
          <w:rFonts w:ascii="Times" w:hAnsi="Times"/>
        </w:rPr>
        <w:t xml:space="preserve">(2016h). Entry criteria and the comprehensive ranking system. Retrieved February 11, 2017, from http://www.cic.gc.ca/english/express-entry/criteria-crs.asp. </w:t>
      </w:r>
    </w:p>
    <w:p w14:paraId="39376EE1" w14:textId="77777777" w:rsidR="00FC7210" w:rsidRPr="000E50F1" w:rsidRDefault="00FC7210" w:rsidP="00FC7210">
      <w:pPr>
        <w:ind w:left="567" w:hanging="567"/>
        <w:rPr>
          <w:rFonts w:ascii="Times" w:hAnsi="Times"/>
        </w:rPr>
      </w:pPr>
    </w:p>
    <w:p w14:paraId="125CD1AF" w14:textId="10D3427C"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(2016i). Comprehensive ranking system (CRS) criteria— express entry. Retrieved February 11, 2017, from http://www.cic.gc.ca/english/express-entry/grid-crs.asp. Immigration, Refugees and Citizenship Canada (2016j). Extend your work permit—bridging open work permit. Retrieved February 11, 2017, from http://www.cic.gc.ca/english/work/permit/extend/permanent.asp. </w:t>
      </w:r>
    </w:p>
    <w:p w14:paraId="4E6ED486" w14:textId="77777777" w:rsidR="00FC7210" w:rsidRPr="000E50F1" w:rsidRDefault="00FC7210" w:rsidP="00FC7210">
      <w:pPr>
        <w:ind w:left="567" w:hanging="567"/>
        <w:rPr>
          <w:rFonts w:ascii="Times" w:hAnsi="Times"/>
        </w:rPr>
      </w:pPr>
    </w:p>
    <w:p w14:paraId="5570581B" w14:textId="07DAA86E"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(2016k). Permanent resident admissions by province or territory and urban area. [Dataset, XLS]. Retrieved February 11, 2017, from http://open.canada. ca/data/en/dataset/ad975a26-df23-456a-8ada-756191a23695. </w:t>
      </w:r>
    </w:p>
    <w:p w14:paraId="6F1011AC" w14:textId="77777777" w:rsidR="00FC7210" w:rsidRPr="000E50F1" w:rsidRDefault="00FC7210" w:rsidP="00FC7210">
      <w:pPr>
        <w:ind w:left="567" w:hanging="567"/>
        <w:rPr>
          <w:rFonts w:ascii="Times" w:hAnsi="Times"/>
        </w:rPr>
      </w:pPr>
    </w:p>
    <w:p w14:paraId="51F0F9D2" w14:textId="3B112DBB"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(2016l). Terms and definitions related to permanent residence. Retrieved October 10, 2017, from http://www.cic.gc.ca/english/resources/tools/perm/definitions.asp#f. </w:t>
      </w:r>
    </w:p>
    <w:p w14:paraId="779AC664" w14:textId="77777777" w:rsidR="00FC7210" w:rsidRPr="000E50F1" w:rsidRDefault="00FC7210" w:rsidP="00FC7210">
      <w:pPr>
        <w:ind w:left="567" w:hanging="567"/>
        <w:rPr>
          <w:rFonts w:ascii="Times" w:hAnsi="Times"/>
        </w:rPr>
      </w:pPr>
    </w:p>
    <w:p w14:paraId="24ACCA5A" w14:textId="29D04CC1"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(2017a). Speaking notes for Ahmed Hussen, Minister of Immigration, Refugees and Citizenship at a Luncheon at the Canadian Club of Toronto, Toronto, Ontario. Retrieved June 15, 2017, from, https://www.canada.ca/en/immigration-refugees citizenship/news/2017/04/speaking_notes_forahmedhussenministerofimmigrationrefugeesandcit0.html. </w:t>
      </w:r>
    </w:p>
    <w:p w14:paraId="7FDAB26E" w14:textId="77777777" w:rsidR="00FC7210" w:rsidRPr="000E50F1" w:rsidRDefault="00FC7210" w:rsidP="00FC7210">
      <w:pPr>
        <w:ind w:left="567" w:hanging="567"/>
        <w:rPr>
          <w:rFonts w:ascii="Times" w:hAnsi="Times"/>
        </w:rPr>
      </w:pPr>
    </w:p>
    <w:p w14:paraId="13DBA91A" w14:textId="78C2F32B"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(2017b). Express entry year-end report 2016. Retrieved June 19, 2017, from http://www.cic.gc.ca/english/resources/reports/ee-year-end-2016.asp. </w:t>
      </w:r>
    </w:p>
    <w:p w14:paraId="7D75F260" w14:textId="77777777" w:rsidR="00FC7210" w:rsidRPr="000E50F1" w:rsidRDefault="00FC7210" w:rsidP="00FC7210">
      <w:pPr>
        <w:ind w:left="567" w:hanging="567"/>
        <w:rPr>
          <w:rFonts w:ascii="Times" w:hAnsi="Times"/>
        </w:rPr>
      </w:pPr>
    </w:p>
    <w:p w14:paraId="6CF30C15" w14:textId="5FD9240E"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(2017c). Express entry rounds of invitations. Retrieved February 11, 2017, from http://www.cic.gc.ca/english/express-entry/rounds.asp. </w:t>
      </w:r>
    </w:p>
    <w:p w14:paraId="27057515" w14:textId="77777777" w:rsidR="00FC7210" w:rsidRPr="000E50F1" w:rsidRDefault="00FC7210" w:rsidP="00FC7210">
      <w:pPr>
        <w:ind w:left="567" w:hanging="567"/>
        <w:rPr>
          <w:rFonts w:ascii="Times" w:hAnsi="Times"/>
        </w:rPr>
      </w:pPr>
    </w:p>
    <w:p w14:paraId="43235FF7" w14:textId="1728066A"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(2017d). Express entry results: previous rounds of invitations. Retrieved February 11, 2017, from http://www.cic.gc.ca/english/express-entry/past-rounds.asp. </w:t>
      </w:r>
    </w:p>
    <w:p w14:paraId="42788F8A" w14:textId="77777777" w:rsidR="00FC7210" w:rsidRPr="000E50F1" w:rsidRDefault="00FC7210" w:rsidP="00FC7210">
      <w:pPr>
        <w:ind w:left="567" w:hanging="567"/>
        <w:rPr>
          <w:rFonts w:ascii="Times" w:hAnsi="Times"/>
        </w:rPr>
      </w:pPr>
    </w:p>
    <w:p w14:paraId="3F255495" w14:textId="6B05A441"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(2017e). Canada – Admissions of permanent residents with prior study permit holder status by province/territory of intended destination and immigration category, 2007 – Q1 2017. [Dataset, XLS]. Retrieved May 10, 2017, from http://open.canada.ca. </w:t>
      </w:r>
    </w:p>
    <w:p w14:paraId="50837836" w14:textId="77777777" w:rsidR="00FC7210" w:rsidRPr="000E50F1" w:rsidRDefault="00FC7210" w:rsidP="00FC7210">
      <w:pPr>
        <w:ind w:left="567" w:hanging="567"/>
        <w:rPr>
          <w:rFonts w:ascii="Times" w:hAnsi="Times"/>
        </w:rPr>
      </w:pPr>
    </w:p>
    <w:p w14:paraId="162AA768" w14:textId="5ED39E1F"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(2017f). Canada—Permanent and temporary residents, Q1 2012 - Q1 2017. [Dataset, XLS]. Retrieved May 10, 2017, from http://open.canada.ca. </w:t>
      </w:r>
    </w:p>
    <w:p w14:paraId="5C14C1E4" w14:textId="77777777" w:rsidR="00FC7210" w:rsidRPr="000E50F1" w:rsidRDefault="00FC7210" w:rsidP="00FC7210">
      <w:pPr>
        <w:ind w:left="567" w:hanging="567"/>
        <w:rPr>
          <w:rFonts w:ascii="Times" w:hAnsi="Times"/>
        </w:rPr>
      </w:pPr>
    </w:p>
    <w:p w14:paraId="7D64FAFF" w14:textId="1D09F17D" w:rsidR="00FC7210" w:rsidRPr="000E50F1" w:rsidRDefault="007B3106" w:rsidP="00FC7210">
      <w:pPr>
        <w:ind w:left="567" w:hanging="567"/>
        <w:rPr>
          <w:rFonts w:ascii="Times" w:hAnsi="Times"/>
        </w:rPr>
      </w:pPr>
      <w:r w:rsidRPr="000E50F1">
        <w:rPr>
          <w:rFonts w:ascii="Times" w:hAnsi="Times"/>
        </w:rPr>
        <w:lastRenderedPageBreak/>
        <w:t xml:space="preserve">—. </w:t>
      </w:r>
      <w:r w:rsidR="00FC7210" w:rsidRPr="000E50F1">
        <w:rPr>
          <w:rFonts w:ascii="Times" w:hAnsi="Times"/>
        </w:rPr>
        <w:t xml:space="preserve">(2017g). An Overview of changes to Express Entry [Power Point slides]. Retrieved March 31, 2017, from https://c.ymcdn.com/sites/www.cerc.ca/resource/resmgr/central _region/IRCC_Update_on_Express_Entry.pdf. </w:t>
      </w:r>
    </w:p>
    <w:p w14:paraId="302B7264" w14:textId="77777777" w:rsidR="007B3106" w:rsidRPr="000E50F1" w:rsidRDefault="007B3106" w:rsidP="00FC7210">
      <w:pPr>
        <w:ind w:left="567" w:hanging="567"/>
        <w:rPr>
          <w:rFonts w:ascii="Times" w:hAnsi="Times"/>
        </w:rPr>
      </w:pPr>
    </w:p>
    <w:p w14:paraId="25FE0E03" w14:textId="073DBA30" w:rsidR="00FC7210" w:rsidRPr="000E50F1" w:rsidRDefault="007B3106" w:rsidP="00FC7210">
      <w:pPr>
        <w:ind w:left="567" w:hanging="567"/>
        <w:rPr>
          <w:rFonts w:ascii="Times" w:hAnsi="Times"/>
        </w:rPr>
      </w:pPr>
      <w:r w:rsidRPr="000E50F1">
        <w:rPr>
          <w:rFonts w:ascii="Times" w:hAnsi="Times"/>
        </w:rPr>
        <w:t xml:space="preserve">—. </w:t>
      </w:r>
      <w:r w:rsidR="00FC7210" w:rsidRPr="000E50F1">
        <w:rPr>
          <w:rFonts w:ascii="Times" w:hAnsi="Times"/>
        </w:rPr>
        <w:t xml:space="preserve">(2017h). Proof of funds—skilled immigrants (Express Entry). Retrieved April 7, 2017, from http://www.cic.gc.ca/english/immigrate/skilled/funds.asp . </w:t>
      </w:r>
    </w:p>
    <w:p w14:paraId="398AA549" w14:textId="77777777" w:rsidR="00FC7210" w:rsidRPr="000E50F1" w:rsidRDefault="00FC7210" w:rsidP="00FC7210">
      <w:pPr>
        <w:ind w:left="567" w:hanging="567"/>
        <w:rPr>
          <w:rFonts w:ascii="Times" w:hAnsi="Times"/>
        </w:rPr>
      </w:pPr>
    </w:p>
    <w:p w14:paraId="1E6C48DB" w14:textId="2557EF78" w:rsidR="00FC7210" w:rsidRPr="000E50F1" w:rsidRDefault="00FC7210" w:rsidP="00FC7210">
      <w:pPr>
        <w:ind w:left="567" w:hanging="567"/>
        <w:rPr>
          <w:rFonts w:ascii="Times" w:hAnsi="Times"/>
        </w:rPr>
      </w:pPr>
      <w:r w:rsidRPr="000E50F1">
        <w:rPr>
          <w:rFonts w:ascii="Times" w:hAnsi="Times"/>
        </w:rPr>
        <w:t xml:space="preserve">Mangalji, A. &amp; Long, E. (2017). News. Retrieved February 11, 2017, from http://www.lmlawgroup. com/news/. </w:t>
      </w:r>
    </w:p>
    <w:p w14:paraId="20505F9F" w14:textId="77777777" w:rsidR="00FC7210" w:rsidRPr="000E50F1" w:rsidRDefault="00FC7210" w:rsidP="00FC7210">
      <w:pPr>
        <w:ind w:left="567" w:hanging="567"/>
        <w:rPr>
          <w:rFonts w:ascii="Times" w:hAnsi="Times"/>
        </w:rPr>
      </w:pPr>
    </w:p>
    <w:p w14:paraId="3B33C324" w14:textId="635BCC50" w:rsidR="00FC7210" w:rsidRPr="000E50F1" w:rsidRDefault="00FC7210" w:rsidP="00FC7210">
      <w:pPr>
        <w:ind w:left="567" w:hanging="567"/>
        <w:rPr>
          <w:rFonts w:ascii="Times" w:hAnsi="Times"/>
        </w:rPr>
      </w:pPr>
      <w:r w:rsidRPr="000E50F1">
        <w:rPr>
          <w:rFonts w:ascii="Times" w:hAnsi="Times"/>
        </w:rPr>
        <w:t xml:space="preserve">Mas, S. (2014). Express entry immigration points system revealed before Jan. 1 launch. Retrieved February 11, 2017, from </w:t>
      </w:r>
      <w:r w:rsidR="005549D7" w:rsidRPr="000E50F1">
        <w:rPr>
          <w:rFonts w:ascii="Times" w:hAnsi="Times"/>
        </w:rPr>
        <w:t xml:space="preserve">CBC </w:t>
      </w:r>
      <w:r w:rsidRPr="000E50F1">
        <w:rPr>
          <w:rFonts w:ascii="Times" w:hAnsi="Times"/>
        </w:rPr>
        <w:t xml:space="preserve">News, http://www.cbc.ca/news/politics/express-entry-immigration-points-system- revealed-before-jan-1-launch-1.2852922. </w:t>
      </w:r>
    </w:p>
    <w:p w14:paraId="7B4924D1" w14:textId="77777777" w:rsidR="00FC7210" w:rsidRPr="000E50F1" w:rsidRDefault="00FC7210" w:rsidP="00FC7210">
      <w:pPr>
        <w:ind w:left="567" w:hanging="567"/>
        <w:rPr>
          <w:rFonts w:ascii="Times" w:hAnsi="Times"/>
        </w:rPr>
      </w:pPr>
    </w:p>
    <w:p w14:paraId="4BD1FDCA" w14:textId="46711540" w:rsidR="00FC7210" w:rsidRPr="000E50F1" w:rsidRDefault="00FC7210" w:rsidP="00FC7210">
      <w:pPr>
        <w:ind w:left="567" w:hanging="567"/>
        <w:rPr>
          <w:rFonts w:ascii="Times" w:hAnsi="Times"/>
        </w:rPr>
      </w:pPr>
      <w:r w:rsidRPr="000E50F1">
        <w:rPr>
          <w:rFonts w:ascii="Times" w:hAnsi="Times"/>
        </w:rPr>
        <w:t xml:space="preserve">Sullivan, C. (2016). Ontario immigrant nominee program suspended for international master’s and PhD students. Retrieved February 11, 2017, from https://thevarsity.ca/2016/07/30/ontario-immigrant- nominee-program-suspended-for-international-masters-and-phd/. </w:t>
      </w:r>
    </w:p>
    <w:p w14:paraId="377B2499" w14:textId="77777777" w:rsidR="00FC7210" w:rsidRPr="000E50F1" w:rsidRDefault="00FC7210" w:rsidP="00FC7210">
      <w:pPr>
        <w:ind w:left="567" w:hanging="567"/>
        <w:rPr>
          <w:rFonts w:ascii="Times" w:hAnsi="Times"/>
        </w:rPr>
      </w:pPr>
    </w:p>
    <w:p w14:paraId="520213AF" w14:textId="40166DB2" w:rsidR="00FC7210" w:rsidRPr="000E50F1" w:rsidRDefault="00FC7210" w:rsidP="00FC7210">
      <w:pPr>
        <w:ind w:left="567" w:hanging="567"/>
        <w:rPr>
          <w:rFonts w:ascii="Times" w:hAnsi="Times"/>
        </w:rPr>
      </w:pPr>
      <w:r w:rsidRPr="000E50F1">
        <w:rPr>
          <w:rFonts w:ascii="Times" w:hAnsi="Times"/>
        </w:rPr>
        <w:t xml:space="preserve">Zilio, M. (2016). Canada on track to welcome more than 300, 000 immigrants in 2016. Retrieved February 11, 2017, from http://www.theglobeandmail.com/news/politics/ottawa-seeks-to-bring-more-than-300000- newcomers-this-year/article29069851/. </w:t>
      </w:r>
    </w:p>
    <w:p w14:paraId="75A65E56" w14:textId="77777777" w:rsidR="00FC7210" w:rsidRPr="000E50F1" w:rsidRDefault="00FC7210" w:rsidP="00FC7210">
      <w:pPr>
        <w:ind w:left="567" w:hanging="567"/>
        <w:rPr>
          <w:rFonts w:ascii="Times" w:hAnsi="Times"/>
        </w:rPr>
      </w:pPr>
    </w:p>
    <w:p w14:paraId="162C0EFF" w14:textId="7FC9EEE7" w:rsidR="009575BD" w:rsidRPr="000E50F1" w:rsidRDefault="009575BD">
      <w:pPr>
        <w:rPr>
          <w:rFonts w:ascii="Times" w:eastAsia="Calibri" w:hAnsi="Times"/>
          <w:bCs/>
          <w:lang w:val="en-US"/>
        </w:rPr>
      </w:pPr>
      <w:r w:rsidRPr="000E50F1">
        <w:rPr>
          <w:rFonts w:ascii="Times" w:eastAsia="Calibri" w:hAnsi="Times"/>
        </w:rPr>
        <w:br w:type="page"/>
      </w:r>
    </w:p>
    <w:p w14:paraId="058C0A09" w14:textId="1C59E658" w:rsidR="00567803" w:rsidRPr="000E50F1" w:rsidRDefault="008A74B6" w:rsidP="00327711">
      <w:pPr>
        <w:pStyle w:val="Heading1"/>
        <w:spacing w:before="0" w:line="240" w:lineRule="auto"/>
        <w:jc w:val="center"/>
        <w:rPr>
          <w:rFonts w:ascii="Times" w:eastAsia="Calibri" w:hAnsi="Times"/>
          <w:color w:val="auto"/>
          <w:sz w:val="24"/>
          <w:szCs w:val="24"/>
        </w:rPr>
      </w:pPr>
      <w:bookmarkStart w:id="25" w:name="_Toc60231898"/>
      <w:r w:rsidRPr="000E50F1">
        <w:rPr>
          <w:rFonts w:ascii="Times" w:eastAsia="Calibri" w:hAnsi="Times"/>
          <w:color w:val="auto"/>
          <w:sz w:val="24"/>
          <w:szCs w:val="24"/>
        </w:rPr>
        <w:lastRenderedPageBreak/>
        <w:t>CHAPTER T</w:t>
      </w:r>
      <w:r w:rsidR="008B606F" w:rsidRPr="000E50F1">
        <w:rPr>
          <w:rFonts w:ascii="Times" w:eastAsia="Calibri" w:hAnsi="Times"/>
          <w:color w:val="auto"/>
          <w:sz w:val="24"/>
          <w:szCs w:val="24"/>
        </w:rPr>
        <w:t>HREE</w:t>
      </w:r>
      <w:r w:rsidR="00827683" w:rsidRPr="000E50F1">
        <w:rPr>
          <w:rFonts w:ascii="Times" w:eastAsia="Calibri" w:hAnsi="Times"/>
          <w:color w:val="auto"/>
          <w:sz w:val="24"/>
          <w:szCs w:val="24"/>
        </w:rPr>
        <w:t xml:space="preserve">: </w:t>
      </w:r>
      <w:r w:rsidR="00827683" w:rsidRPr="000E50F1">
        <w:rPr>
          <w:rFonts w:ascii="Times" w:eastAsia="Calibri" w:hAnsi="Times"/>
          <w:b w:val="0"/>
          <w:bCs/>
          <w:color w:val="auto"/>
          <w:sz w:val="24"/>
          <w:szCs w:val="24"/>
        </w:rPr>
        <w:t>SYRIAN REFUGEE RESETTELMENT</w:t>
      </w:r>
      <w:bookmarkEnd w:id="25"/>
    </w:p>
    <w:p w14:paraId="329E2EFC" w14:textId="56ABADDE" w:rsidR="00E7578B" w:rsidRPr="000E50F1" w:rsidRDefault="00E7578B" w:rsidP="00E7578B">
      <w:pPr>
        <w:rPr>
          <w:rFonts w:ascii="Times" w:eastAsia="Calibri" w:hAnsi="Times"/>
          <w:lang w:val="en-US"/>
        </w:rPr>
      </w:pPr>
    </w:p>
    <w:p w14:paraId="1339F1A5" w14:textId="77777777" w:rsidR="007E2534" w:rsidRPr="000E50F1" w:rsidRDefault="007E2534" w:rsidP="00E7578B">
      <w:pPr>
        <w:rPr>
          <w:rFonts w:ascii="Times" w:eastAsia="Calibri" w:hAnsi="Times"/>
          <w:lang w:val="en-US"/>
        </w:rPr>
      </w:pPr>
    </w:p>
    <w:p w14:paraId="10D5F643" w14:textId="222AFDD4" w:rsidR="00E7578B" w:rsidRPr="000E50F1" w:rsidRDefault="00E7578B" w:rsidP="00F24672">
      <w:pPr>
        <w:ind w:left="567" w:hanging="567"/>
        <w:rPr>
          <w:rFonts w:ascii="Times" w:eastAsia="Times" w:hAnsi="Times" w:cs="Times"/>
          <w:b/>
        </w:rPr>
      </w:pPr>
      <w:r w:rsidRPr="000E50F1">
        <w:rPr>
          <w:rFonts w:ascii="Times" w:eastAsia="Times" w:hAnsi="Times" w:cs="Times"/>
          <w:b/>
        </w:rPr>
        <w:t xml:space="preserve">Syrian </w:t>
      </w:r>
      <w:r w:rsidR="00EC7441" w:rsidRPr="000E50F1">
        <w:rPr>
          <w:rFonts w:ascii="Times" w:eastAsia="Times" w:hAnsi="Times" w:cs="Times"/>
          <w:b/>
        </w:rPr>
        <w:t>R</w:t>
      </w:r>
      <w:r w:rsidRPr="000E50F1">
        <w:rPr>
          <w:rFonts w:ascii="Times" w:eastAsia="Times" w:hAnsi="Times" w:cs="Times"/>
          <w:b/>
        </w:rPr>
        <w:t xml:space="preserve">efugee </w:t>
      </w:r>
      <w:r w:rsidR="00EC7441" w:rsidRPr="000E50F1">
        <w:rPr>
          <w:rFonts w:ascii="Times" w:eastAsia="Times" w:hAnsi="Times" w:cs="Times"/>
          <w:b/>
        </w:rPr>
        <w:t>R</w:t>
      </w:r>
      <w:r w:rsidRPr="000E50F1">
        <w:rPr>
          <w:rFonts w:ascii="Times" w:eastAsia="Times" w:hAnsi="Times" w:cs="Times"/>
          <w:b/>
        </w:rPr>
        <w:t xml:space="preserve">esettlement: A </w:t>
      </w:r>
      <w:r w:rsidR="00EC7441" w:rsidRPr="000E50F1">
        <w:rPr>
          <w:rFonts w:ascii="Times" w:eastAsia="Times" w:hAnsi="Times" w:cs="Times"/>
          <w:b/>
        </w:rPr>
        <w:t>C</w:t>
      </w:r>
      <w:r w:rsidRPr="000E50F1">
        <w:rPr>
          <w:rFonts w:ascii="Times" w:eastAsia="Times" w:hAnsi="Times" w:cs="Times"/>
          <w:b/>
        </w:rPr>
        <w:t xml:space="preserve">ase </w:t>
      </w:r>
      <w:r w:rsidR="00EC7441" w:rsidRPr="000E50F1">
        <w:rPr>
          <w:rFonts w:ascii="Times" w:eastAsia="Times" w:hAnsi="Times" w:cs="Times"/>
          <w:b/>
        </w:rPr>
        <w:t>S</w:t>
      </w:r>
      <w:r w:rsidRPr="000E50F1">
        <w:rPr>
          <w:rFonts w:ascii="Times" w:eastAsia="Times" w:hAnsi="Times" w:cs="Times"/>
          <w:b/>
        </w:rPr>
        <w:t xml:space="preserve">tudy of </w:t>
      </w:r>
      <w:r w:rsidR="00EC7441" w:rsidRPr="000E50F1">
        <w:rPr>
          <w:rFonts w:ascii="Times" w:eastAsia="Times" w:hAnsi="Times" w:cs="Times"/>
          <w:b/>
        </w:rPr>
        <w:t>L</w:t>
      </w:r>
      <w:r w:rsidRPr="000E50F1">
        <w:rPr>
          <w:rFonts w:ascii="Times" w:eastAsia="Times" w:hAnsi="Times" w:cs="Times"/>
          <w:b/>
        </w:rPr>
        <w:t xml:space="preserve">ocal </w:t>
      </w:r>
      <w:r w:rsidR="00EC7441" w:rsidRPr="000E50F1">
        <w:rPr>
          <w:rFonts w:ascii="Times" w:eastAsia="Times" w:hAnsi="Times" w:cs="Times"/>
          <w:b/>
        </w:rPr>
        <w:t>R</w:t>
      </w:r>
      <w:r w:rsidRPr="000E50F1">
        <w:rPr>
          <w:rFonts w:ascii="Times" w:eastAsia="Times" w:hAnsi="Times" w:cs="Times"/>
          <w:b/>
        </w:rPr>
        <w:t>esponse in Hamilton, Ontario</w:t>
      </w:r>
    </w:p>
    <w:p w14:paraId="37DDE38C" w14:textId="77777777" w:rsidR="007E2534" w:rsidRPr="000E50F1" w:rsidRDefault="007E2534" w:rsidP="00E7578B">
      <w:pPr>
        <w:rPr>
          <w:rFonts w:ascii="Times" w:eastAsia="Calibri" w:hAnsi="Times"/>
          <w:lang w:val="en-US"/>
        </w:rPr>
      </w:pPr>
    </w:p>
    <w:p w14:paraId="2D94A7B4" w14:textId="1AB23B04" w:rsidR="00CF50B2" w:rsidRPr="000E50F1" w:rsidRDefault="00CF50B2" w:rsidP="00E7578B">
      <w:pPr>
        <w:rPr>
          <w:rFonts w:ascii="Times" w:eastAsia="Calibri" w:hAnsi="Times"/>
          <w:b/>
          <w:bCs/>
          <w:lang w:val="en-US"/>
        </w:rPr>
      </w:pPr>
      <w:r w:rsidRPr="000E50F1">
        <w:rPr>
          <w:rFonts w:ascii="Times" w:eastAsia="Calibri" w:hAnsi="Times"/>
          <w:b/>
          <w:bCs/>
          <w:lang w:val="en-US"/>
        </w:rPr>
        <w:t xml:space="preserve">Abstract </w:t>
      </w:r>
    </w:p>
    <w:p w14:paraId="0AADC7DC" w14:textId="77777777" w:rsidR="00442ACA" w:rsidRPr="000E50F1" w:rsidRDefault="00442ACA" w:rsidP="00442ACA">
      <w:pPr>
        <w:rPr>
          <w:rFonts w:ascii="Times" w:hAnsi="Times"/>
        </w:rPr>
      </w:pPr>
      <w:r w:rsidRPr="000E50F1">
        <w:rPr>
          <w:rFonts w:ascii="Times" w:hAnsi="Times"/>
        </w:rPr>
        <w:t>This paper examines the response by local government and stakeholders to the arrival and resettlement of Syrian newcomers in Hamilton, Ontario in 2015 and 2016—the first major wave of refugee arrivals since two significant changes in Hamilton’s settlement organizational landscape. The creation of a local immigration partnership called the Hamilton Immigration Partnership Council (HIPC) is an example of place</w:t>
      </w:r>
      <w:r w:rsidRPr="000E50F1">
        <w:rPr>
          <w:rFonts w:ascii="Cambria Math" w:hAnsi="Cambria Math" w:cs="Cambria Math"/>
        </w:rPr>
        <w:t>‐</w:t>
      </w:r>
      <w:r w:rsidRPr="000E50F1">
        <w:rPr>
          <w:rFonts w:ascii="Times" w:hAnsi="Times"/>
        </w:rPr>
        <w:t>based policymaking within local immigration and settlement in Canada. Place</w:t>
      </w:r>
      <w:r w:rsidRPr="000E50F1">
        <w:rPr>
          <w:rFonts w:ascii="Cambria Math" w:hAnsi="Cambria Math" w:cs="Cambria Math"/>
        </w:rPr>
        <w:t>‐</w:t>
      </w:r>
      <w:r w:rsidRPr="000E50F1">
        <w:rPr>
          <w:rFonts w:ascii="Times" w:hAnsi="Times"/>
        </w:rPr>
        <w:t>based approaches emerged to bypass top</w:t>
      </w:r>
      <w:r w:rsidRPr="000E50F1">
        <w:rPr>
          <w:rFonts w:ascii="Cambria Math" w:hAnsi="Cambria Math" w:cs="Cambria Math"/>
        </w:rPr>
        <w:t>‐</w:t>
      </w:r>
      <w:r w:rsidRPr="000E50F1">
        <w:rPr>
          <w:rFonts w:ascii="Times" w:hAnsi="Times"/>
        </w:rPr>
        <w:t>down policy ineffectiveness, and the shift to empower civic participation in the local decision</w:t>
      </w:r>
      <w:r w:rsidRPr="000E50F1">
        <w:rPr>
          <w:rFonts w:ascii="Cambria Math" w:hAnsi="Cambria Math" w:cs="Cambria Math"/>
        </w:rPr>
        <w:t>‐</w:t>
      </w:r>
      <w:r w:rsidRPr="000E50F1">
        <w:rPr>
          <w:rFonts w:ascii="Times" w:hAnsi="Times"/>
        </w:rPr>
        <w:t>making process is seen as one solution to public policy innovations. Examination of HIPC’s role in this context is thus critical to understand the challenges and learnings encountered in one place</w:t>
      </w:r>
      <w:r w:rsidRPr="000E50F1">
        <w:rPr>
          <w:rFonts w:ascii="Cambria Math" w:hAnsi="Cambria Math" w:cs="Cambria Math"/>
        </w:rPr>
        <w:t>‐</w:t>
      </w:r>
      <w:r w:rsidRPr="000E50F1">
        <w:rPr>
          <w:rFonts w:ascii="Times" w:hAnsi="Times"/>
        </w:rPr>
        <w:t>based setting. Our findings suggest that the lack of power (in terms of information, communication, resources, and funding) led to a missed opportunity for HIPC to lead a significant resettlement initiative. HIPC’s inability to bring together key partners across the sector prior to and during the event is symptomatic of systemic barriers the Council had faced, including competing interpretations of HIPC and its role by its members. This study suggests the effectiveness of place</w:t>
      </w:r>
      <w:r w:rsidRPr="000E50F1">
        <w:rPr>
          <w:rFonts w:ascii="Cambria Math" w:hAnsi="Cambria Math" w:cs="Cambria Math"/>
        </w:rPr>
        <w:t>‐</w:t>
      </w:r>
      <w:r w:rsidRPr="000E50F1">
        <w:rPr>
          <w:rFonts w:ascii="Times" w:hAnsi="Times"/>
        </w:rPr>
        <w:t xml:space="preserve">based policy is not without its nuances, and iterative challenges and learnings. </w:t>
      </w:r>
    </w:p>
    <w:p w14:paraId="428ECD3D" w14:textId="77777777" w:rsidR="00CF50B2" w:rsidRPr="000E50F1" w:rsidRDefault="00CF50B2" w:rsidP="00E7578B">
      <w:pPr>
        <w:rPr>
          <w:rFonts w:ascii="Times" w:eastAsia="Calibri" w:hAnsi="Times"/>
          <w:lang w:val="en-US"/>
        </w:rPr>
      </w:pPr>
    </w:p>
    <w:p w14:paraId="6683C283" w14:textId="47451F8E" w:rsidR="002E2B8A" w:rsidRPr="000E50F1" w:rsidRDefault="00CF50B2" w:rsidP="00CF50B2">
      <w:pPr>
        <w:rPr>
          <w:rFonts w:ascii="Times" w:eastAsia="Times" w:hAnsi="Times" w:cs="Times"/>
        </w:rPr>
      </w:pPr>
      <w:r w:rsidRPr="000E50F1">
        <w:rPr>
          <w:rFonts w:ascii="Times" w:eastAsia="Times" w:hAnsi="Times" w:cs="Times"/>
          <w:b/>
          <w:bCs/>
        </w:rPr>
        <w:t>Keywords</w:t>
      </w:r>
      <w:r w:rsidRPr="000E50F1">
        <w:rPr>
          <w:rFonts w:ascii="Times" w:eastAsia="Times" w:hAnsi="Times" w:cs="Times"/>
        </w:rPr>
        <w:t>:</w:t>
      </w:r>
      <w:r w:rsidRPr="000E50F1">
        <w:rPr>
          <w:rFonts w:ascii="Times" w:eastAsia="Times" w:hAnsi="Times" w:cs="Times"/>
          <w:b/>
        </w:rPr>
        <w:t xml:space="preserve"> </w:t>
      </w:r>
      <w:r w:rsidRPr="000E50F1">
        <w:rPr>
          <w:rFonts w:ascii="Times" w:eastAsia="Times" w:hAnsi="Times" w:cs="Times"/>
        </w:rPr>
        <w:t>Syrian refugees, local immigration partnership,</w:t>
      </w:r>
      <w:r w:rsidRPr="000E50F1">
        <w:rPr>
          <w:rFonts w:ascii="Times" w:eastAsia="Times" w:hAnsi="Times" w:cs="Times"/>
          <w:b/>
        </w:rPr>
        <w:t xml:space="preserve"> </w:t>
      </w:r>
      <w:r w:rsidRPr="000E50F1">
        <w:rPr>
          <w:rFonts w:ascii="Times" w:eastAsia="Times" w:hAnsi="Times" w:cs="Times"/>
        </w:rPr>
        <w:t>voluntary sector, federal government</w:t>
      </w:r>
      <w:r w:rsidRPr="000E50F1">
        <w:rPr>
          <w:rFonts w:ascii="Times" w:eastAsia="Times" w:hAnsi="Times" w:cs="Times"/>
          <w:b/>
        </w:rPr>
        <w:t xml:space="preserve">, </w:t>
      </w:r>
      <w:r w:rsidRPr="000E50F1">
        <w:rPr>
          <w:rFonts w:ascii="Times" w:eastAsia="Times" w:hAnsi="Times" w:cs="Times"/>
        </w:rPr>
        <w:t>place-based policy</w:t>
      </w:r>
    </w:p>
    <w:p w14:paraId="7A08A19B" w14:textId="77777777" w:rsidR="00D57740" w:rsidRPr="000E50F1" w:rsidRDefault="00D57740">
      <w:pPr>
        <w:rPr>
          <w:rFonts w:ascii="Times" w:eastAsia="Times" w:hAnsi="Times" w:cs="Times"/>
        </w:rPr>
      </w:pPr>
    </w:p>
    <w:p w14:paraId="274F4557" w14:textId="77777777" w:rsidR="00D57740" w:rsidRPr="000E50F1" w:rsidRDefault="00D57740">
      <w:pPr>
        <w:rPr>
          <w:rFonts w:ascii="Times" w:eastAsia="Times" w:hAnsi="Times" w:cs="Times"/>
        </w:rPr>
      </w:pPr>
    </w:p>
    <w:p w14:paraId="42706C57" w14:textId="77777777" w:rsidR="00D57740" w:rsidRPr="000E50F1" w:rsidRDefault="00D57740" w:rsidP="00D57740">
      <w:pPr>
        <w:rPr>
          <w:rFonts w:ascii="Times" w:hAnsi="Times"/>
          <w:b/>
          <w:bCs/>
        </w:rPr>
      </w:pPr>
    </w:p>
    <w:p w14:paraId="09662805" w14:textId="77777777" w:rsidR="00D57740" w:rsidRPr="000E50F1" w:rsidRDefault="00D57740" w:rsidP="00D57740">
      <w:pPr>
        <w:rPr>
          <w:rFonts w:ascii="Times" w:hAnsi="Times"/>
          <w:b/>
          <w:bCs/>
        </w:rPr>
      </w:pPr>
    </w:p>
    <w:p w14:paraId="145CABD1" w14:textId="77777777" w:rsidR="00D57740" w:rsidRPr="000E50F1" w:rsidRDefault="00D57740" w:rsidP="00D57740">
      <w:pPr>
        <w:rPr>
          <w:rFonts w:ascii="Times" w:hAnsi="Times"/>
          <w:b/>
          <w:bCs/>
        </w:rPr>
      </w:pPr>
    </w:p>
    <w:p w14:paraId="7E8E9873" w14:textId="77777777" w:rsidR="00D57740" w:rsidRPr="000E50F1" w:rsidRDefault="00D57740" w:rsidP="00D57740">
      <w:pPr>
        <w:rPr>
          <w:rFonts w:ascii="Times" w:hAnsi="Times"/>
          <w:b/>
          <w:bCs/>
        </w:rPr>
      </w:pPr>
    </w:p>
    <w:p w14:paraId="11DD2503" w14:textId="77777777" w:rsidR="00D57740" w:rsidRPr="000E50F1" w:rsidRDefault="00D57740" w:rsidP="00D57740">
      <w:pPr>
        <w:rPr>
          <w:rFonts w:ascii="Times" w:hAnsi="Times"/>
          <w:b/>
          <w:bCs/>
        </w:rPr>
      </w:pPr>
    </w:p>
    <w:p w14:paraId="4846E9EF" w14:textId="3B5E47B2" w:rsidR="00D57740" w:rsidRPr="000E50F1" w:rsidRDefault="00D57740" w:rsidP="00D57740">
      <w:pPr>
        <w:rPr>
          <w:rFonts w:ascii="Times" w:hAnsi="Times"/>
          <w:b/>
          <w:bCs/>
        </w:rPr>
      </w:pPr>
    </w:p>
    <w:p w14:paraId="2AF13F4C" w14:textId="041612F7" w:rsidR="00EE34FD" w:rsidRPr="000E50F1" w:rsidRDefault="00EE34FD" w:rsidP="00D57740">
      <w:pPr>
        <w:rPr>
          <w:rFonts w:ascii="Times" w:hAnsi="Times"/>
          <w:b/>
          <w:bCs/>
        </w:rPr>
      </w:pPr>
    </w:p>
    <w:p w14:paraId="0516515A" w14:textId="77777777" w:rsidR="00EE34FD" w:rsidRPr="000E50F1" w:rsidRDefault="00EE34FD" w:rsidP="00D57740">
      <w:pPr>
        <w:rPr>
          <w:rFonts w:ascii="Times" w:hAnsi="Times"/>
          <w:b/>
          <w:bCs/>
        </w:rPr>
      </w:pPr>
    </w:p>
    <w:p w14:paraId="5BE99731" w14:textId="604B147F" w:rsidR="003676F4" w:rsidRPr="000E50F1" w:rsidRDefault="00EE34FD" w:rsidP="003676F4">
      <w:pPr>
        <w:rPr>
          <w:rFonts w:ascii="Times" w:hAnsi="Times"/>
          <w:b/>
          <w:bCs/>
        </w:rPr>
      </w:pPr>
      <w:r w:rsidRPr="000E50F1">
        <w:rPr>
          <w:rFonts w:ascii="Times" w:hAnsi="Times"/>
        </w:rPr>
        <w:t>*Permission to be reprinted granted.</w:t>
      </w:r>
    </w:p>
    <w:p w14:paraId="396CF833" w14:textId="77777777" w:rsidR="003676F4" w:rsidRPr="000E50F1" w:rsidRDefault="003676F4" w:rsidP="003676F4">
      <w:pPr>
        <w:rPr>
          <w:rFonts w:ascii="Times" w:hAnsi="Times"/>
          <w:b/>
          <w:bCs/>
        </w:rPr>
      </w:pPr>
    </w:p>
    <w:p w14:paraId="26F5C727" w14:textId="247A81FD" w:rsidR="00D57740" w:rsidRPr="000E50F1" w:rsidRDefault="00D57740" w:rsidP="003676F4">
      <w:pPr>
        <w:rPr>
          <w:rFonts w:ascii="Times" w:hAnsi="Times"/>
        </w:rPr>
      </w:pPr>
      <w:r w:rsidRPr="000E50F1">
        <w:rPr>
          <w:rFonts w:ascii="Times" w:hAnsi="Times"/>
          <w:b/>
          <w:bCs/>
        </w:rPr>
        <w:t>Published version:</w:t>
      </w:r>
      <w:r w:rsidRPr="000E50F1">
        <w:rPr>
          <w:rFonts w:ascii="Times" w:hAnsi="Times"/>
        </w:rPr>
        <w:t xml:space="preserve"> </w:t>
      </w:r>
    </w:p>
    <w:p w14:paraId="613EBDAE" w14:textId="7259EC51" w:rsidR="00EE34FD" w:rsidRPr="000E50F1" w:rsidRDefault="00D57740" w:rsidP="00EE34FD">
      <w:pPr>
        <w:ind w:left="567" w:hanging="567"/>
        <w:rPr>
          <w:rFonts w:ascii="Times" w:hAnsi="Times"/>
        </w:rPr>
      </w:pPr>
      <w:r w:rsidRPr="000E50F1">
        <w:rPr>
          <w:rFonts w:ascii="Times" w:hAnsi="Times" w:cs="Arial"/>
          <w:shd w:val="clear" w:color="auto" w:fill="FFFFFF"/>
        </w:rPr>
        <w:t>Dam, H., &amp; Wayland, S. V. (2019). Syrian refugee resettlement: A case study of local response in Hamilton, Ontario.</w:t>
      </w:r>
      <w:r w:rsidRPr="000E50F1">
        <w:rPr>
          <w:rStyle w:val="apple-converted-space"/>
          <w:rFonts w:ascii="Times" w:hAnsi="Times" w:cs="Arial"/>
          <w:shd w:val="clear" w:color="auto" w:fill="FFFFFF"/>
        </w:rPr>
        <w:t> </w:t>
      </w:r>
      <w:r w:rsidRPr="000E50F1">
        <w:rPr>
          <w:rFonts w:ascii="Times" w:hAnsi="Times" w:cs="Arial"/>
          <w:i/>
          <w:iCs/>
        </w:rPr>
        <w:t>The Canadian Geographer/Le Géographe canadien</w:t>
      </w:r>
      <w:r w:rsidR="004C63BA" w:rsidRPr="000E50F1">
        <w:rPr>
          <w:rFonts w:ascii="Times" w:hAnsi="Times" w:cs="Arial"/>
          <w:i/>
          <w:iCs/>
          <w:shd w:val="clear" w:color="auto" w:fill="FFFFFF"/>
        </w:rPr>
        <w:t>, 63</w:t>
      </w:r>
      <w:r w:rsidR="004C63BA" w:rsidRPr="000E50F1">
        <w:rPr>
          <w:rFonts w:ascii="Times" w:hAnsi="Times" w:cs="Arial"/>
          <w:shd w:val="clear" w:color="auto" w:fill="FFFFFF"/>
        </w:rPr>
        <w:t>(3), 360-373</w:t>
      </w:r>
      <w:r w:rsidR="00300BDA" w:rsidRPr="000E50F1">
        <w:rPr>
          <w:rFonts w:ascii="Times" w:hAnsi="Times" w:cs="Arial"/>
          <w:shd w:val="clear" w:color="auto" w:fill="FFFFFF"/>
        </w:rPr>
        <w:t>.</w:t>
      </w:r>
    </w:p>
    <w:p w14:paraId="1EE3E099" w14:textId="0B44EA83" w:rsidR="006D2E8C" w:rsidRPr="000E50F1" w:rsidRDefault="002E2B8A" w:rsidP="00E012E2">
      <w:pPr>
        <w:ind w:left="567" w:hanging="567"/>
        <w:rPr>
          <w:rFonts w:ascii="Times" w:hAnsi="Times"/>
        </w:rPr>
      </w:pPr>
      <w:r w:rsidRPr="000E50F1">
        <w:rPr>
          <w:rFonts w:ascii="Times" w:eastAsia="Times" w:hAnsi="Times" w:cs="Times"/>
          <w:b/>
        </w:rPr>
        <w:lastRenderedPageBreak/>
        <w:t>Introduction</w:t>
      </w:r>
    </w:p>
    <w:p w14:paraId="64339380" w14:textId="0A5C3390" w:rsidR="00442ACA" w:rsidRPr="000E50F1" w:rsidRDefault="00442ACA" w:rsidP="00442ACA">
      <w:pPr>
        <w:rPr>
          <w:rFonts w:ascii="Times" w:hAnsi="Times"/>
        </w:rPr>
      </w:pPr>
      <w:r w:rsidRPr="000E50F1">
        <w:rPr>
          <w:rFonts w:ascii="Times" w:hAnsi="Times"/>
        </w:rPr>
        <w:t>In late 2015 and early 2016, the newly elected federal government resettled more than 25,000 Syrian refugees across Canada (Government of Canada 2017) where they were welcomed by immigrant</w:t>
      </w:r>
      <w:r w:rsidRPr="000E50F1">
        <w:rPr>
          <w:rFonts w:ascii="Cambria Math" w:hAnsi="Cambria Math" w:cs="Cambria Math"/>
        </w:rPr>
        <w:t>‐</w:t>
      </w:r>
      <w:r w:rsidRPr="000E50F1">
        <w:rPr>
          <w:rFonts w:ascii="Times" w:hAnsi="Times"/>
        </w:rPr>
        <w:t xml:space="preserve">serving agencies, sponsoring groups, and individuals. Despite Canada’s immigration intake of between 245,000 and 300,000 persons each year over the past decade (IRCC Immigration, Refugees and Citizenship Canada 2016b), the arrival of so many refugees within a few short months challenged local settlement services and supports. </w:t>
      </w:r>
    </w:p>
    <w:p w14:paraId="29AE8106" w14:textId="77777777" w:rsidR="00442ACA" w:rsidRPr="000E50F1" w:rsidRDefault="00442ACA" w:rsidP="00442ACA">
      <w:pPr>
        <w:rPr>
          <w:rFonts w:ascii="Times" w:hAnsi="Times"/>
        </w:rPr>
      </w:pPr>
    </w:p>
    <w:p w14:paraId="26988FC2" w14:textId="4E2B4D71" w:rsidR="00442ACA" w:rsidRPr="000E50F1" w:rsidRDefault="00442ACA" w:rsidP="00442ACA">
      <w:pPr>
        <w:rPr>
          <w:rFonts w:ascii="Times" w:hAnsi="Times"/>
        </w:rPr>
      </w:pPr>
      <w:r w:rsidRPr="000E50F1">
        <w:rPr>
          <w:rFonts w:ascii="Times" w:hAnsi="Times"/>
        </w:rPr>
        <w:t>This Syrian Refugee Resettlement Initiative (SRRI) provides an opportunity to examine the local experience of the “community turn” in settlement and integration within a place</w:t>
      </w:r>
      <w:r w:rsidRPr="000E50F1">
        <w:rPr>
          <w:rFonts w:ascii="Cambria Math" w:hAnsi="Cambria Math" w:cs="Cambria Math"/>
        </w:rPr>
        <w:t>‐</w:t>
      </w:r>
      <w:r w:rsidRPr="000E50F1">
        <w:rPr>
          <w:rFonts w:ascii="Times" w:hAnsi="Times"/>
        </w:rPr>
        <w:t>based context. This paper investigates the role of the local immigration partnership (LIP) in Hamilton, Ontario, called the Hamilton Immigration Partnership Council (HIPC), as part of a larger comparative case analysis between three mid</w:t>
      </w:r>
      <w:r w:rsidRPr="000E50F1">
        <w:rPr>
          <w:rFonts w:ascii="Cambria Math" w:hAnsi="Cambria Math" w:cs="Cambria Math"/>
        </w:rPr>
        <w:t>‐</w:t>
      </w:r>
      <w:r w:rsidRPr="000E50F1">
        <w:rPr>
          <w:rFonts w:ascii="Times" w:hAnsi="Times"/>
        </w:rPr>
        <w:t>sized Canadian cities (Cullen and Walton</w:t>
      </w:r>
      <w:r w:rsidRPr="000E50F1">
        <w:rPr>
          <w:rFonts w:ascii="Cambria Math" w:hAnsi="Cambria Math" w:cs="Cambria Math"/>
        </w:rPr>
        <w:t>‐</w:t>
      </w:r>
      <w:r w:rsidRPr="000E50F1">
        <w:rPr>
          <w:rFonts w:ascii="Times" w:hAnsi="Times"/>
        </w:rPr>
        <w:t>Roberts 2019; Veronis 2019; Walton</w:t>
      </w:r>
      <w:r w:rsidRPr="000E50F1">
        <w:rPr>
          <w:rFonts w:ascii="Cambria Math" w:hAnsi="Cambria Math" w:cs="Cambria Math"/>
        </w:rPr>
        <w:t>‐</w:t>
      </w:r>
      <w:r w:rsidRPr="000E50F1">
        <w:rPr>
          <w:rFonts w:ascii="Times" w:hAnsi="Times"/>
        </w:rPr>
        <w:t xml:space="preserve">Roberts et al. 2019). The focus of this case study is on key events that started in September 2015, when anticipation of Syrian arrival began to mount, until September 2016. </w:t>
      </w:r>
    </w:p>
    <w:p w14:paraId="69EE11F5" w14:textId="77777777" w:rsidR="002E2B8A" w:rsidRPr="000E50F1" w:rsidRDefault="002E2B8A" w:rsidP="002E2B8A">
      <w:pPr>
        <w:rPr>
          <w:rFonts w:ascii="Times" w:eastAsia="Times" w:hAnsi="Times" w:cs="Times"/>
        </w:rPr>
      </w:pPr>
    </w:p>
    <w:p w14:paraId="5A2A552B" w14:textId="77777777" w:rsidR="00B4328B" w:rsidRPr="000E50F1" w:rsidRDefault="00B4328B" w:rsidP="00B4328B">
      <w:pPr>
        <w:rPr>
          <w:rFonts w:ascii="Times" w:hAnsi="Times"/>
          <w:b/>
          <w:bCs/>
        </w:rPr>
      </w:pPr>
      <w:r w:rsidRPr="000E50F1">
        <w:rPr>
          <w:rFonts w:ascii="Times" w:hAnsi="Times"/>
          <w:b/>
          <w:bCs/>
        </w:rPr>
        <w:t xml:space="preserve">The “Community Turn” in Immigration and Settlement </w:t>
      </w:r>
    </w:p>
    <w:p w14:paraId="25122F76" w14:textId="1FB8F669" w:rsidR="00B4328B" w:rsidRPr="000E50F1" w:rsidRDefault="00B4328B" w:rsidP="00B4328B">
      <w:pPr>
        <w:rPr>
          <w:rFonts w:ascii="Times" w:hAnsi="Times"/>
        </w:rPr>
      </w:pPr>
      <w:r w:rsidRPr="000E50F1">
        <w:rPr>
          <w:rFonts w:ascii="Times" w:hAnsi="Times"/>
        </w:rPr>
        <w:t>Similar to other social service sectors, Canada’s settlement sector has experienced the “roll</w:t>
      </w:r>
      <w:r w:rsidRPr="000E50F1">
        <w:rPr>
          <w:rFonts w:ascii="Cambria Math" w:hAnsi="Cambria Math" w:cs="Cambria Math"/>
        </w:rPr>
        <w:t>‐</w:t>
      </w:r>
      <w:r w:rsidRPr="000E50F1">
        <w:rPr>
          <w:rFonts w:ascii="Times" w:hAnsi="Times"/>
        </w:rPr>
        <w:t>back” effect of neoliberal policy reform in which market</w:t>
      </w:r>
      <w:r w:rsidRPr="000E50F1">
        <w:rPr>
          <w:rFonts w:ascii="Cambria Math" w:hAnsi="Cambria Math" w:cs="Cambria Math"/>
        </w:rPr>
        <w:t>‐</w:t>
      </w:r>
      <w:r w:rsidRPr="000E50F1">
        <w:rPr>
          <w:rFonts w:ascii="Times" w:hAnsi="Times"/>
        </w:rPr>
        <w:t>based approaches are applied to complex social needs. Early reform was manifest in the 1995 Settlement Renewal initiatives that entailed reduced federal services and funding, including the devolution of government responsibilities to non</w:t>
      </w:r>
      <w:r w:rsidRPr="000E50F1">
        <w:rPr>
          <w:rFonts w:ascii="Cambria Math" w:hAnsi="Cambria Math" w:cs="Cambria Math"/>
        </w:rPr>
        <w:t>‐</w:t>
      </w:r>
      <w:r w:rsidRPr="000E50F1">
        <w:rPr>
          <w:rFonts w:ascii="Times" w:hAnsi="Times"/>
        </w:rPr>
        <w:t>govern- mental organizations and an increase in project</w:t>
      </w:r>
      <w:r w:rsidR="00DC720C" w:rsidRPr="000E50F1">
        <w:rPr>
          <w:rFonts w:ascii="Times" w:hAnsi="Times"/>
        </w:rPr>
        <w:t>-</w:t>
      </w:r>
      <w:r w:rsidRPr="000E50F1">
        <w:rPr>
          <w:rFonts w:ascii="Times" w:hAnsi="Times"/>
        </w:rPr>
        <w:t>based funding as opposed to core funding (Mukhtar et al. 2016). The addition of new competitive contract</w:t>
      </w:r>
      <w:r w:rsidRPr="000E50F1">
        <w:rPr>
          <w:rFonts w:ascii="Cambria Math" w:hAnsi="Cambria Math" w:cs="Cambria Math"/>
        </w:rPr>
        <w:t>‐</w:t>
      </w:r>
      <w:r w:rsidRPr="000E50F1">
        <w:rPr>
          <w:rFonts w:ascii="Times" w:hAnsi="Times"/>
        </w:rPr>
        <w:t>funding mechanisms designed to reduce federal spending and eliminate service duplication also led to shifts in governance, civil society, and local relations which have altered the sector into the present day (Evans and Shields 2000; Richmond and Shields 2005; Mukhtar et al.</w:t>
      </w:r>
      <w:r w:rsidR="00DC720C" w:rsidRPr="000E50F1">
        <w:rPr>
          <w:rFonts w:ascii="Times" w:hAnsi="Times"/>
        </w:rPr>
        <w:t xml:space="preserve"> </w:t>
      </w:r>
      <w:r w:rsidRPr="000E50F1">
        <w:rPr>
          <w:rFonts w:ascii="Times" w:hAnsi="Times"/>
        </w:rPr>
        <w:t xml:space="preserve">2016). </w:t>
      </w:r>
    </w:p>
    <w:p w14:paraId="7372D203" w14:textId="3EEF0DC2" w:rsidR="00B4328B" w:rsidRPr="000E50F1" w:rsidRDefault="00B4328B" w:rsidP="00B4328B">
      <w:pPr>
        <w:rPr>
          <w:rFonts w:ascii="Times" w:hAnsi="Times"/>
        </w:rPr>
      </w:pPr>
    </w:p>
    <w:p w14:paraId="4CC5592A" w14:textId="77777777" w:rsidR="00E80092" w:rsidRPr="000E50F1" w:rsidRDefault="00E80092" w:rsidP="00E80092">
      <w:pPr>
        <w:rPr>
          <w:rFonts w:ascii="Times" w:hAnsi="Times"/>
        </w:rPr>
      </w:pPr>
      <w:r w:rsidRPr="000E50F1">
        <w:rPr>
          <w:rFonts w:ascii="Times" w:hAnsi="Times"/>
        </w:rPr>
        <w:t>Scholars suggest that the neoliberal paradigm shifts towards the mixed economy and the Keynesian welfare national state, and the new forms of governance, are better suited for a market</w:t>
      </w:r>
      <w:r w:rsidRPr="000E50F1">
        <w:rPr>
          <w:rFonts w:ascii="Cambria Math" w:hAnsi="Cambria Math" w:cs="Cambria Math"/>
        </w:rPr>
        <w:t>‐</w:t>
      </w:r>
      <w:r w:rsidRPr="000E50F1">
        <w:rPr>
          <w:rFonts w:ascii="Times" w:hAnsi="Times"/>
        </w:rPr>
        <w:t xml:space="preserve">driven globalizing economy (Jessop 2002). As a result, these paradigm shifts propelled the voluntary and community sector into the fore as central players in welfare state governance (Wolch 1990; Peck and Tickell 2002; Veronis 2006). Described as the way of tackling different forms of exclusion in society, particularly in the United Kingdom, the “community turn” embraced the vision of the voluntary and community sector in public policy and within local level governance (Macmillan and Townsend 2006). </w:t>
      </w:r>
    </w:p>
    <w:p w14:paraId="73EFACCE" w14:textId="77777777" w:rsidR="00E80092" w:rsidRPr="000E50F1" w:rsidRDefault="00E80092" w:rsidP="00B4328B">
      <w:pPr>
        <w:rPr>
          <w:rFonts w:ascii="Times" w:hAnsi="Times"/>
        </w:rPr>
      </w:pPr>
    </w:p>
    <w:p w14:paraId="16EFBBCC" w14:textId="0DBD2802" w:rsidR="00B4328B" w:rsidRPr="000E50F1" w:rsidRDefault="00B4328B" w:rsidP="00B4328B">
      <w:pPr>
        <w:rPr>
          <w:rFonts w:ascii="Times" w:hAnsi="Times"/>
        </w:rPr>
      </w:pPr>
      <w:r w:rsidRPr="000E50F1">
        <w:rPr>
          <w:rFonts w:ascii="Times" w:hAnsi="Times"/>
        </w:rPr>
        <w:lastRenderedPageBreak/>
        <w:t>The creation of the LIPs can be seen as the adoption of the “community turn” in immigration and settlement in Canada. Introduced by Citize</w:t>
      </w:r>
      <w:r w:rsidR="006C2D3C" w:rsidRPr="000E50F1">
        <w:rPr>
          <w:rFonts w:ascii="Times" w:hAnsi="Times"/>
        </w:rPr>
        <w:t>n</w:t>
      </w:r>
      <w:r w:rsidRPr="000E50F1">
        <w:rPr>
          <w:rFonts w:ascii="Times" w:hAnsi="Times"/>
        </w:rPr>
        <w:t>ship and Immigration Canada (CIC) in 2008 as part of the Canada</w:t>
      </w:r>
      <w:r w:rsidRPr="000E50F1">
        <w:rPr>
          <w:rFonts w:ascii="Cambria Math" w:hAnsi="Cambria Math" w:cs="Cambria Math"/>
        </w:rPr>
        <w:t>‐</w:t>
      </w:r>
      <w:r w:rsidRPr="000E50F1">
        <w:rPr>
          <w:rFonts w:ascii="Times" w:hAnsi="Times"/>
        </w:rPr>
        <w:t>Ontario Immigration Agreement, LIPs were designed as a new form of local governance to address a number of long</w:t>
      </w:r>
      <w:r w:rsidRPr="000E50F1">
        <w:rPr>
          <w:rFonts w:ascii="Cambria Math" w:hAnsi="Cambria Math" w:cs="Cambria Math"/>
        </w:rPr>
        <w:t>‐</w:t>
      </w:r>
      <w:r w:rsidRPr="000E50F1">
        <w:rPr>
          <w:rFonts w:ascii="Times" w:hAnsi="Times"/>
        </w:rPr>
        <w:t>standing issues with local settlement policy, including the de facto role of municipalities (Walton</w:t>
      </w:r>
      <w:r w:rsidRPr="000E50F1">
        <w:rPr>
          <w:rFonts w:ascii="Cambria Math" w:hAnsi="Cambria Math" w:cs="Cambria Math"/>
        </w:rPr>
        <w:t>‐</w:t>
      </w:r>
      <w:r w:rsidRPr="000E50F1">
        <w:rPr>
          <w:rFonts w:ascii="Times" w:hAnsi="Times"/>
        </w:rPr>
        <w:t xml:space="preserve">Roberts et al. 2019). Beyond municipalities, LIPs were created to engage a wider range of local players around settlement planning, including school boards, healthcare providers, and the private sector. According to Bradford et al. (2011, 2) LIPs have been described as a “living experiment in the new public governance model of embracing collaboration, responding to community rhythms, and forging relationships across levels of government and public, private, and voluntary sectors.” Engaging citizens in the development of responsible communities is not only part of a moral obligation to society, it is also more effective given their ability to bridge the gap between the state and market due to their proximity and connection to the local (Milligan and Conradson 2006). This model of governance demonstrated by LIPs recognizes that the local is the vital space and place in which political, economic, and social changes transpire. </w:t>
      </w:r>
    </w:p>
    <w:p w14:paraId="06043A95" w14:textId="77777777" w:rsidR="00B4328B" w:rsidRPr="000E50F1" w:rsidRDefault="00B4328B" w:rsidP="00B4328B">
      <w:pPr>
        <w:rPr>
          <w:rFonts w:ascii="Times" w:hAnsi="Times"/>
        </w:rPr>
      </w:pPr>
    </w:p>
    <w:p w14:paraId="6B4825D1" w14:textId="77777777" w:rsidR="00B4328B" w:rsidRPr="000E50F1" w:rsidRDefault="00B4328B" w:rsidP="00B4328B">
      <w:pPr>
        <w:rPr>
          <w:rFonts w:ascii="Times" w:hAnsi="Times"/>
          <w:b/>
          <w:bCs/>
        </w:rPr>
      </w:pPr>
      <w:r w:rsidRPr="000E50F1">
        <w:rPr>
          <w:rFonts w:ascii="Times" w:hAnsi="Times"/>
          <w:b/>
          <w:bCs/>
        </w:rPr>
        <w:t>Place</w:t>
      </w:r>
      <w:r w:rsidRPr="000E50F1">
        <w:rPr>
          <w:rFonts w:ascii="Cambria Math" w:hAnsi="Cambria Math" w:cs="Cambria Math"/>
          <w:b/>
          <w:bCs/>
        </w:rPr>
        <w:t>‐</w:t>
      </w:r>
      <w:r w:rsidRPr="000E50F1">
        <w:rPr>
          <w:rFonts w:ascii="Times" w:hAnsi="Times"/>
          <w:b/>
          <w:bCs/>
        </w:rPr>
        <w:t xml:space="preserve">Based Policies and their Limits </w:t>
      </w:r>
    </w:p>
    <w:p w14:paraId="49DFABE6" w14:textId="77777777" w:rsidR="00B4328B" w:rsidRPr="000E50F1" w:rsidRDefault="00B4328B" w:rsidP="00B4328B">
      <w:pPr>
        <w:rPr>
          <w:rFonts w:ascii="Times" w:hAnsi="Times"/>
        </w:rPr>
      </w:pPr>
      <w:r w:rsidRPr="000E50F1">
        <w:rPr>
          <w:rFonts w:ascii="Times" w:hAnsi="Times"/>
        </w:rPr>
        <w:t>In Canada, municipalities have no jurisdiction with regard to immigration, yet more than 90% of recent immigrants live in metropolitan areas (Edmonton 2016) where there is access to settlement services, transit, co</w:t>
      </w:r>
      <w:r w:rsidRPr="000E50F1">
        <w:rPr>
          <w:rFonts w:ascii="Cambria Math" w:hAnsi="Cambria Math" w:cs="Cambria Math"/>
        </w:rPr>
        <w:t>‐</w:t>
      </w:r>
      <w:r w:rsidRPr="000E50F1">
        <w:rPr>
          <w:rFonts w:ascii="Times" w:hAnsi="Times"/>
        </w:rPr>
        <w:t>ethnic communities, and other re- sources essential to resettlement. Immigration is one example of a larger panoply of public policy issues, such as population health, that is predominantly managed by higher orders of government but largely manifests on a local level. It is within this context that interest in place</w:t>
      </w:r>
      <w:r w:rsidRPr="000E50F1">
        <w:rPr>
          <w:rFonts w:ascii="Cambria Math" w:hAnsi="Cambria Math" w:cs="Cambria Math"/>
        </w:rPr>
        <w:t>‐</w:t>
      </w:r>
      <w:r w:rsidRPr="000E50F1">
        <w:rPr>
          <w:rFonts w:ascii="Times" w:hAnsi="Times"/>
        </w:rPr>
        <w:t xml:space="preserve">based policy- making has grown, recognizing key elements of effective policy such as tapping into local knowledge and recognizing local governments (Bradford 2005). In this model, collaboration among civil society actors is essential, with policy “informed by the experience and knowledge of a variety of actors” (Evans and Wellstead 2013, 64). </w:t>
      </w:r>
    </w:p>
    <w:p w14:paraId="24D282D4" w14:textId="77777777" w:rsidR="00B4328B" w:rsidRPr="000E50F1" w:rsidRDefault="00B4328B" w:rsidP="00B4328B">
      <w:pPr>
        <w:rPr>
          <w:rFonts w:ascii="Times" w:hAnsi="Times"/>
        </w:rPr>
      </w:pPr>
    </w:p>
    <w:p w14:paraId="3AF1C48D" w14:textId="44525146" w:rsidR="00B4328B" w:rsidRPr="000E50F1" w:rsidRDefault="00B4328B" w:rsidP="00B4328B">
      <w:pPr>
        <w:rPr>
          <w:rFonts w:ascii="Times" w:hAnsi="Times"/>
        </w:rPr>
      </w:pPr>
      <w:r w:rsidRPr="000E50F1">
        <w:rPr>
          <w:rFonts w:ascii="Times" w:hAnsi="Times"/>
        </w:rPr>
        <w:t>Canada has lagged behind comparator countries in terms of creating intergovernmental agreements and adopting an urban policy lens (Bradford 2005), but recent innovations such as the creation of LIPs have been heralded as promising. LIPs were described by Bradford and Andrew (2010, 3) as “the foundation for a new round of policy innovation that will provide better outcomes for newcomers and receiving communities while also positioning Canadian governments for continued international leadership in approaches to diversity.” Created to encourage a community</w:t>
      </w:r>
      <w:r w:rsidRPr="000E50F1">
        <w:rPr>
          <w:rFonts w:ascii="Cambria Math" w:hAnsi="Cambria Math" w:cs="Cambria Math"/>
        </w:rPr>
        <w:t>‐</w:t>
      </w:r>
      <w:r w:rsidRPr="000E50F1">
        <w:rPr>
          <w:rFonts w:ascii="Times" w:hAnsi="Times"/>
        </w:rPr>
        <w:t xml:space="preserve">driven strategic planning process, LIPs have been viewed as offering a flexible response to settlement needs (Bradford and Andrew 2010; Burr 2011). This shared decision making is manifested in the LIPs’ contribution agreement funding model where the funder sets general objectives </w:t>
      </w:r>
      <w:r w:rsidRPr="000E50F1">
        <w:rPr>
          <w:rFonts w:ascii="Times" w:hAnsi="Times"/>
        </w:rPr>
        <w:lastRenderedPageBreak/>
        <w:t xml:space="preserve">and performance expectations, and the local settlement stakeholders prioritize and allocate funding within parameters (Bradford 2017). </w:t>
      </w:r>
    </w:p>
    <w:p w14:paraId="680E1E47" w14:textId="77777777" w:rsidR="00B4328B" w:rsidRPr="000E50F1" w:rsidRDefault="00B4328B" w:rsidP="00B4328B">
      <w:pPr>
        <w:rPr>
          <w:rFonts w:ascii="Times" w:hAnsi="Times"/>
        </w:rPr>
      </w:pPr>
    </w:p>
    <w:p w14:paraId="00AC6775" w14:textId="77777777" w:rsidR="00B4328B" w:rsidRPr="000E50F1" w:rsidRDefault="00B4328B" w:rsidP="00B4328B">
      <w:pPr>
        <w:rPr>
          <w:rFonts w:ascii="Times" w:hAnsi="Times"/>
        </w:rPr>
      </w:pPr>
      <w:r w:rsidRPr="000E50F1">
        <w:rPr>
          <w:rFonts w:ascii="Times" w:hAnsi="Times"/>
        </w:rPr>
        <w:t>Within the literature on meta</w:t>
      </w:r>
      <w:r w:rsidRPr="000E50F1">
        <w:rPr>
          <w:rFonts w:ascii="Cambria Math" w:hAnsi="Cambria Math" w:cs="Cambria Math"/>
        </w:rPr>
        <w:t>‐</w:t>
      </w:r>
      <w:r w:rsidRPr="000E50F1">
        <w:rPr>
          <w:rFonts w:ascii="Times" w:hAnsi="Times"/>
        </w:rPr>
        <w:t>governance of urban government networks, LIPs are viewed as an example of priority setting and funding allocation at the local level, under the supervision of a meta</w:t>
      </w:r>
      <w:r w:rsidRPr="000E50F1">
        <w:rPr>
          <w:rFonts w:ascii="Cambria Math" w:hAnsi="Cambria Math" w:cs="Cambria Math"/>
        </w:rPr>
        <w:t>‐</w:t>
      </w:r>
      <w:r w:rsidRPr="000E50F1">
        <w:rPr>
          <w:rFonts w:ascii="Times" w:hAnsi="Times"/>
        </w:rPr>
        <w:t xml:space="preserve">governor (in this case, the funder) that sets limits on and may even veto some local policy choices (Doberstein 2011). In this model, active vibrant local networks form and act within identified constraints. </w:t>
      </w:r>
    </w:p>
    <w:p w14:paraId="7109A8ED" w14:textId="77777777" w:rsidR="00B4328B" w:rsidRPr="000E50F1" w:rsidRDefault="00B4328B" w:rsidP="00B4328B">
      <w:pPr>
        <w:rPr>
          <w:rFonts w:ascii="Times" w:hAnsi="Times"/>
        </w:rPr>
      </w:pPr>
    </w:p>
    <w:p w14:paraId="1AA2797F" w14:textId="77777777" w:rsidR="00B4328B" w:rsidRPr="000E50F1" w:rsidRDefault="00B4328B" w:rsidP="00B4328B">
      <w:pPr>
        <w:rPr>
          <w:rFonts w:ascii="Times" w:hAnsi="Times"/>
        </w:rPr>
      </w:pPr>
      <w:r w:rsidRPr="000E50F1">
        <w:rPr>
          <w:rFonts w:ascii="Times" w:hAnsi="Times"/>
        </w:rPr>
        <w:t>Research on place</w:t>
      </w:r>
      <w:r w:rsidRPr="000E50F1">
        <w:rPr>
          <w:rFonts w:ascii="Cambria Math" w:hAnsi="Cambria Math" w:cs="Cambria Math"/>
        </w:rPr>
        <w:t>‐</w:t>
      </w:r>
      <w:r w:rsidRPr="000E50F1">
        <w:rPr>
          <w:rFonts w:ascii="Times" w:hAnsi="Times"/>
        </w:rPr>
        <w:t>based policymaking paints a positive picture of bottom</w:t>
      </w:r>
      <w:r w:rsidRPr="000E50F1">
        <w:rPr>
          <w:rFonts w:ascii="Cambria Math" w:hAnsi="Cambria Math" w:cs="Cambria Math"/>
        </w:rPr>
        <w:t>‐</w:t>
      </w:r>
      <w:r w:rsidRPr="000E50F1">
        <w:rPr>
          <w:rFonts w:ascii="Times" w:hAnsi="Times"/>
        </w:rPr>
        <w:t>up planning and calls for more implementation (Bradford and Andrew 2010; Burr 2011). Almost a decade into LIPs’ creation, the Canadian government has found value in this model, evidenced by a very positive recent evaluation (IRCC Immigration, Refugees and Citizenship Canada 2017) and the expansion of the network to 76 funded partnerships across the country. In addition, the move towards a five</w:t>
      </w:r>
      <w:r w:rsidRPr="000E50F1">
        <w:rPr>
          <w:rFonts w:ascii="Cambria Math" w:hAnsi="Cambria Math" w:cs="Cambria Math"/>
        </w:rPr>
        <w:t>‐</w:t>
      </w:r>
      <w:r w:rsidRPr="000E50F1">
        <w:rPr>
          <w:rFonts w:ascii="Times" w:hAnsi="Times"/>
        </w:rPr>
        <w:t>year contribution agreement in 2019 and discussions around the creation of a National LIP Secretariat suggest a reinvigorated investment towards local and partnership</w:t>
      </w:r>
      <w:r w:rsidRPr="000E50F1">
        <w:rPr>
          <w:rFonts w:ascii="Cambria Math" w:hAnsi="Cambria Math" w:cs="Cambria Math"/>
        </w:rPr>
        <w:t>‐</w:t>
      </w:r>
      <w:r w:rsidRPr="000E50F1">
        <w:rPr>
          <w:rFonts w:ascii="Times" w:hAnsi="Times"/>
        </w:rPr>
        <w:t xml:space="preserve">based governance. </w:t>
      </w:r>
    </w:p>
    <w:p w14:paraId="661BC3A4" w14:textId="77777777" w:rsidR="00B4328B" w:rsidRPr="000E50F1" w:rsidRDefault="00B4328B" w:rsidP="00B4328B">
      <w:pPr>
        <w:rPr>
          <w:rFonts w:ascii="Times" w:hAnsi="Times"/>
        </w:rPr>
      </w:pPr>
    </w:p>
    <w:p w14:paraId="522D67DC" w14:textId="77777777" w:rsidR="00B4328B" w:rsidRPr="000E50F1" w:rsidRDefault="00B4328B" w:rsidP="00B4328B">
      <w:pPr>
        <w:rPr>
          <w:rFonts w:ascii="Times" w:hAnsi="Times"/>
        </w:rPr>
      </w:pPr>
      <w:r w:rsidRPr="000E50F1">
        <w:rPr>
          <w:rFonts w:ascii="Times" w:hAnsi="Times"/>
        </w:rPr>
        <w:t>In this research, we explore the complexity and nuanced force of place</w:t>
      </w:r>
      <w:r w:rsidRPr="000E50F1">
        <w:rPr>
          <w:rFonts w:ascii="Cambria Math" w:hAnsi="Cambria Math" w:cs="Cambria Math"/>
        </w:rPr>
        <w:t>‐</w:t>
      </w:r>
      <w:r w:rsidRPr="000E50F1">
        <w:rPr>
          <w:rFonts w:ascii="Times" w:hAnsi="Times"/>
        </w:rPr>
        <w:t>based policy, including factors that affect relations between the meta</w:t>
      </w:r>
      <w:r w:rsidRPr="000E50F1">
        <w:rPr>
          <w:rFonts w:ascii="Cambria Math" w:hAnsi="Cambria Math" w:cs="Cambria Math"/>
        </w:rPr>
        <w:t>‐</w:t>
      </w:r>
      <w:r w:rsidRPr="000E50F1">
        <w:rPr>
          <w:rFonts w:ascii="Times" w:hAnsi="Times"/>
        </w:rPr>
        <w:t xml:space="preserve">governor and the local governance networks. We investigate how unique local histories can create preconditions for senior government oversight, including distrust and exacerbated tensions within the coopetition model. </w:t>
      </w:r>
    </w:p>
    <w:p w14:paraId="32F6315F" w14:textId="77777777" w:rsidR="00B4328B" w:rsidRPr="000E50F1" w:rsidRDefault="00B4328B" w:rsidP="00B4328B">
      <w:pPr>
        <w:rPr>
          <w:rFonts w:ascii="Times" w:hAnsi="Times"/>
        </w:rPr>
      </w:pPr>
    </w:p>
    <w:p w14:paraId="29D0EA2C" w14:textId="77777777" w:rsidR="00B4328B" w:rsidRPr="000E50F1" w:rsidRDefault="00B4328B" w:rsidP="00B4328B">
      <w:pPr>
        <w:rPr>
          <w:rFonts w:ascii="Times" w:hAnsi="Times"/>
          <w:b/>
          <w:bCs/>
        </w:rPr>
      </w:pPr>
      <w:r w:rsidRPr="000E50F1">
        <w:rPr>
          <w:rFonts w:ascii="Times" w:hAnsi="Times"/>
          <w:b/>
          <w:bCs/>
        </w:rPr>
        <w:t xml:space="preserve">Methods </w:t>
      </w:r>
    </w:p>
    <w:p w14:paraId="4EB45999" w14:textId="77777777" w:rsidR="00B4328B" w:rsidRPr="000E50F1" w:rsidRDefault="00B4328B" w:rsidP="00B4328B">
      <w:pPr>
        <w:rPr>
          <w:rFonts w:ascii="Times" w:hAnsi="Times"/>
        </w:rPr>
      </w:pPr>
      <w:r w:rsidRPr="000E50F1">
        <w:rPr>
          <w:rFonts w:ascii="Times" w:hAnsi="Times"/>
        </w:rPr>
        <w:t>This paper is part of a larger comparative case study of the role of the LIPs in three mid</w:t>
      </w:r>
      <w:r w:rsidRPr="000E50F1">
        <w:rPr>
          <w:rFonts w:ascii="Cambria Math" w:hAnsi="Cambria Math" w:cs="Cambria Math"/>
        </w:rPr>
        <w:t>‐</w:t>
      </w:r>
      <w:r w:rsidRPr="000E50F1">
        <w:rPr>
          <w:rFonts w:ascii="Times" w:hAnsi="Times"/>
        </w:rPr>
        <w:t>sized Canadian cities as they undertook the SRRI in their respective communities in 2015–2016 (Cullen and Walton</w:t>
      </w:r>
      <w:r w:rsidRPr="000E50F1">
        <w:rPr>
          <w:rFonts w:ascii="Cambria Math" w:hAnsi="Cambria Math" w:cs="Cambria Math"/>
        </w:rPr>
        <w:t>‐</w:t>
      </w:r>
      <w:r w:rsidRPr="000E50F1">
        <w:rPr>
          <w:rFonts w:ascii="Times" w:hAnsi="Times"/>
        </w:rPr>
        <w:t xml:space="preserve"> Roberts 2019; Veronis 2019; Walton</w:t>
      </w:r>
      <w:r w:rsidRPr="000E50F1">
        <w:rPr>
          <w:rFonts w:ascii="Cambria Math" w:hAnsi="Cambria Math" w:cs="Cambria Math"/>
        </w:rPr>
        <w:t>‐</w:t>
      </w:r>
      <w:r w:rsidRPr="000E50F1">
        <w:rPr>
          <w:rFonts w:ascii="Times" w:hAnsi="Times"/>
        </w:rPr>
        <w:t>Roberts et al. 2019). This research was collaboratively developed by the researchers in Kitchener</w:t>
      </w:r>
      <w:r w:rsidRPr="000E50F1">
        <w:rPr>
          <w:rFonts w:ascii="Cambria Math" w:hAnsi="Cambria Math" w:cs="Cambria Math"/>
        </w:rPr>
        <w:t>‐</w:t>
      </w:r>
      <w:r w:rsidRPr="000E50F1">
        <w:rPr>
          <w:rFonts w:ascii="Times" w:hAnsi="Times"/>
        </w:rPr>
        <w:t xml:space="preserve">Waterloo, Ottawa, and Hamilton. Purposive sampling was applied in all communities to maintain consistency of sample for </w:t>
      </w:r>
    </w:p>
    <w:p w14:paraId="77DE2496" w14:textId="77777777" w:rsidR="00B4328B" w:rsidRPr="000E50F1" w:rsidRDefault="00B4328B" w:rsidP="00B4328B">
      <w:pPr>
        <w:rPr>
          <w:rFonts w:ascii="Times" w:hAnsi="Times"/>
        </w:rPr>
      </w:pPr>
      <w:r w:rsidRPr="000E50F1">
        <w:rPr>
          <w:rFonts w:ascii="Times" w:hAnsi="Times"/>
        </w:rPr>
        <w:t xml:space="preserve">comparative analysis. Both investigators in Hamilton have a personal connection to, and knowledge of, the HIPC: we are both HIPC members and have been involved with the council and working groups. We did not, however, participate in the Resettlement Assistance Program (RAP) agency working groups, nor were we participants in the initial consultation led by the City of Hamilton. We each participated in one of the working groups that supported the Mayor’s Advisory Committee on Syrian Newcomers. </w:t>
      </w:r>
    </w:p>
    <w:p w14:paraId="202E7ED0" w14:textId="77777777" w:rsidR="00B4328B" w:rsidRPr="000E50F1" w:rsidRDefault="00B4328B" w:rsidP="00B4328B">
      <w:pPr>
        <w:rPr>
          <w:rFonts w:ascii="Times" w:hAnsi="Times"/>
        </w:rPr>
      </w:pPr>
    </w:p>
    <w:p w14:paraId="32C3AFD4" w14:textId="77777777" w:rsidR="00B4328B" w:rsidRPr="000E50F1" w:rsidRDefault="00B4328B" w:rsidP="00B4328B">
      <w:pPr>
        <w:rPr>
          <w:rFonts w:ascii="Times" w:hAnsi="Times"/>
        </w:rPr>
      </w:pPr>
      <w:r w:rsidRPr="000E50F1">
        <w:rPr>
          <w:rFonts w:ascii="Times" w:hAnsi="Times"/>
        </w:rPr>
        <w:t>Given our proximity to the research and research participants, it was important for us to work closely with our Kitchener</w:t>
      </w:r>
      <w:r w:rsidRPr="000E50F1">
        <w:rPr>
          <w:rFonts w:ascii="Cambria Math" w:hAnsi="Cambria Math" w:cs="Cambria Math"/>
        </w:rPr>
        <w:t>‐</w:t>
      </w:r>
      <w:r w:rsidRPr="000E50F1">
        <w:rPr>
          <w:rFonts w:ascii="Times" w:hAnsi="Times"/>
        </w:rPr>
        <w:t xml:space="preserve">Waterloo and Ottawa colleagues and apply a social constructivist frame- work to our method. Stake’s (1995) constructivist </w:t>
      </w:r>
      <w:r w:rsidRPr="000E50F1">
        <w:rPr>
          <w:rFonts w:ascii="Times" w:hAnsi="Times"/>
        </w:rPr>
        <w:lastRenderedPageBreak/>
        <w:t>case study approach enabled us to participate in the production and co</w:t>
      </w:r>
      <w:r w:rsidRPr="000E50F1">
        <w:rPr>
          <w:rFonts w:ascii="Cambria Math" w:hAnsi="Cambria Math" w:cs="Cambria Math"/>
        </w:rPr>
        <w:t>‐</w:t>
      </w:r>
      <w:r w:rsidRPr="000E50F1">
        <w:rPr>
          <w:rFonts w:ascii="Times" w:hAnsi="Times"/>
        </w:rPr>
        <w:t xml:space="preserve">creation of meaning. As noted by Harrison et al. (2017), the role of the researcher in producing knowledge in a case study is critical, whereby the use of a constructivist lens emphasizes the researcher’s interpretive role as essential. The researcher is thus interactive and participates in the study, and the knowledge generated from the research process is relative to the time and context of the study. </w:t>
      </w:r>
    </w:p>
    <w:p w14:paraId="183D2FAF" w14:textId="77777777" w:rsidR="00B4328B" w:rsidRPr="000E50F1" w:rsidRDefault="00B4328B" w:rsidP="00B4328B">
      <w:pPr>
        <w:rPr>
          <w:rFonts w:ascii="Times" w:hAnsi="Times"/>
        </w:rPr>
      </w:pPr>
    </w:p>
    <w:p w14:paraId="7E5B13FA" w14:textId="77777777" w:rsidR="00B4328B" w:rsidRPr="000E50F1" w:rsidRDefault="00B4328B" w:rsidP="00B4328B">
      <w:pPr>
        <w:rPr>
          <w:rFonts w:ascii="Times" w:hAnsi="Times"/>
        </w:rPr>
      </w:pPr>
      <w:r w:rsidRPr="000E50F1">
        <w:rPr>
          <w:rFonts w:ascii="Times" w:hAnsi="Times"/>
        </w:rPr>
        <w:t>In total, 12 interviews were conducted between December 2016 and January 2017. Interviews were semi</w:t>
      </w:r>
      <w:r w:rsidRPr="000E50F1">
        <w:rPr>
          <w:rFonts w:ascii="Cambria Math" w:hAnsi="Cambria Math" w:cs="Cambria Math"/>
        </w:rPr>
        <w:t>‐</w:t>
      </w:r>
      <w:r w:rsidRPr="000E50F1">
        <w:rPr>
          <w:rFonts w:ascii="Times" w:hAnsi="Times"/>
        </w:rPr>
        <w:t>structured, audio</w:t>
      </w:r>
      <w:r w:rsidRPr="000E50F1">
        <w:rPr>
          <w:rFonts w:ascii="Cambria Math" w:hAnsi="Cambria Math" w:cs="Cambria Math"/>
        </w:rPr>
        <w:t>‐</w:t>
      </w:r>
      <w:r w:rsidRPr="000E50F1">
        <w:rPr>
          <w:rFonts w:ascii="Times" w:hAnsi="Times"/>
        </w:rPr>
        <w:t xml:space="preserve">recorded, and transcribed verbatim. The key informant recruitment list for Hamilton was developed by the larger research team and included representatives from four service provider organizations (SPOs), one representative from the Mayor’s Office, two HIPC staff, two City of Hamilton staff, and two HIPC members. Additional sources of evidence—including news- paper articles, HIPC reports, HIPC meeting minutes, and federal immigration department communications—were reviewed to triangulate multiple sources of evidence and corroborate the findings to enhance reliability (Baxter and Eyles 1997). </w:t>
      </w:r>
    </w:p>
    <w:p w14:paraId="071A61FF" w14:textId="77777777" w:rsidR="00B4328B" w:rsidRPr="000E50F1" w:rsidRDefault="00B4328B" w:rsidP="00B4328B">
      <w:pPr>
        <w:rPr>
          <w:rFonts w:ascii="Times" w:hAnsi="Times"/>
        </w:rPr>
      </w:pPr>
    </w:p>
    <w:p w14:paraId="7A00B9C9" w14:textId="79BD65C2" w:rsidR="00B4328B" w:rsidRPr="000E50F1" w:rsidRDefault="00B4328B" w:rsidP="00B4328B">
      <w:pPr>
        <w:rPr>
          <w:rFonts w:ascii="Times" w:hAnsi="Times"/>
        </w:rPr>
      </w:pPr>
      <w:r w:rsidRPr="000E50F1">
        <w:rPr>
          <w:rFonts w:ascii="Times" w:hAnsi="Times"/>
        </w:rPr>
        <w:t>Investigator triangulation via multiple researchers for Hamilton and peer examination with the larger research team was imperative in support of rigour and accountability. A crucial exercise was peer</w:t>
      </w:r>
      <w:r w:rsidRPr="000E50F1">
        <w:rPr>
          <w:rFonts w:ascii="Cambria Math" w:hAnsi="Cambria Math" w:cs="Cambria Math"/>
        </w:rPr>
        <w:t>‐</w:t>
      </w:r>
      <w:r w:rsidRPr="000E50F1">
        <w:rPr>
          <w:rFonts w:ascii="Times" w:hAnsi="Times"/>
        </w:rPr>
        <w:t xml:space="preserve">debriefing, which involved sharing data and analysis with the research team to identify possible misinterpretations or suppression of outlying themes or voices (Baxter and Eyles 1997). Member checking with our research participants was also integrated to ensure the adequacy and trustworthiness of our analytic categories and constructs. In September 2017, a community feed- back session was held with our research participants as well as other members of the Hamilton community closest to the SRRI, allowing us to confirm our findings and interpretations. </w:t>
      </w:r>
    </w:p>
    <w:p w14:paraId="08E45C78" w14:textId="77777777" w:rsidR="00B4328B" w:rsidRPr="000E50F1" w:rsidRDefault="00B4328B" w:rsidP="00B4328B">
      <w:pPr>
        <w:rPr>
          <w:rFonts w:ascii="Times" w:hAnsi="Times"/>
        </w:rPr>
      </w:pPr>
    </w:p>
    <w:p w14:paraId="3BBC123B" w14:textId="77777777" w:rsidR="00B4328B" w:rsidRPr="000E50F1" w:rsidRDefault="00B4328B" w:rsidP="00B4328B">
      <w:pPr>
        <w:rPr>
          <w:rFonts w:ascii="Times" w:hAnsi="Times"/>
          <w:b/>
          <w:bCs/>
        </w:rPr>
      </w:pPr>
      <w:r w:rsidRPr="000E50F1">
        <w:rPr>
          <w:rFonts w:ascii="Times" w:hAnsi="Times"/>
          <w:b/>
          <w:bCs/>
        </w:rPr>
        <w:t xml:space="preserve">Case Study Background </w:t>
      </w:r>
    </w:p>
    <w:p w14:paraId="39142279" w14:textId="77777777" w:rsidR="00B4328B" w:rsidRPr="000E50F1" w:rsidRDefault="00B4328B" w:rsidP="00B4328B">
      <w:pPr>
        <w:rPr>
          <w:rFonts w:ascii="Times" w:hAnsi="Times"/>
        </w:rPr>
      </w:pPr>
      <w:r w:rsidRPr="000E50F1">
        <w:rPr>
          <w:rFonts w:ascii="Times" w:hAnsi="Times"/>
        </w:rPr>
        <w:t>The City of Hamilton is governed by a single</w:t>
      </w:r>
      <w:r w:rsidRPr="000E50F1">
        <w:rPr>
          <w:rFonts w:ascii="Cambria Math" w:hAnsi="Cambria Math" w:cs="Cambria Math"/>
        </w:rPr>
        <w:t>‐</w:t>
      </w:r>
      <w:r w:rsidRPr="000E50F1">
        <w:rPr>
          <w:rFonts w:ascii="Times" w:hAnsi="Times"/>
        </w:rPr>
        <w:t xml:space="preserve">tier municipal structure and is home to just under 537,000 persons, according to the 2016 Census (Statistics Canada 2016). Hamilton has a long history of welcoming immigrants and refugees. From the 1990s to the present, almost one in four residents was born in another country. However, this aging immigrant population owes more to earlier waves of European immigration than to newer arrivals from Asia and Africa. </w:t>
      </w:r>
    </w:p>
    <w:p w14:paraId="547B48E8" w14:textId="77777777" w:rsidR="00B4328B" w:rsidRPr="000E50F1" w:rsidRDefault="00B4328B" w:rsidP="00B4328B">
      <w:pPr>
        <w:rPr>
          <w:rFonts w:ascii="Times" w:hAnsi="Times"/>
        </w:rPr>
      </w:pPr>
    </w:p>
    <w:p w14:paraId="18A8DB07" w14:textId="77777777" w:rsidR="00B4328B" w:rsidRPr="000E50F1" w:rsidRDefault="00B4328B" w:rsidP="00B4328B">
      <w:pPr>
        <w:rPr>
          <w:rFonts w:ascii="Times" w:hAnsi="Times"/>
        </w:rPr>
      </w:pPr>
      <w:r w:rsidRPr="000E50F1">
        <w:rPr>
          <w:rFonts w:ascii="Times" w:hAnsi="Times"/>
        </w:rPr>
        <w:t xml:space="preserve">According to CIC data, since the 1990s Hamilton has received 2,000 to 4,000 newcomers each year from all immigration classes—economic, family, and refugee (IRCC Immigration, Refugees and Citizenship Canada 2016b). Compared to the class proportions coming to Canada as a whole, the family and refugee classes are proportionately greater in Hamilton. Immigration has continued to </w:t>
      </w:r>
      <w:r w:rsidRPr="000E50F1">
        <w:rPr>
          <w:rFonts w:ascii="Times" w:hAnsi="Times"/>
        </w:rPr>
        <w:lastRenderedPageBreak/>
        <w:t xml:space="preserve">diversify in terms of countries of origin and refugee arrivals in particular reflect various crises around the world. </w:t>
      </w:r>
    </w:p>
    <w:p w14:paraId="20E760DB" w14:textId="77777777" w:rsidR="00B4328B" w:rsidRPr="000E50F1" w:rsidRDefault="00B4328B" w:rsidP="00B4328B">
      <w:pPr>
        <w:rPr>
          <w:rFonts w:ascii="Times" w:hAnsi="Times"/>
        </w:rPr>
      </w:pPr>
    </w:p>
    <w:p w14:paraId="677B65B5" w14:textId="77777777" w:rsidR="00B4328B" w:rsidRPr="000E50F1" w:rsidRDefault="00B4328B" w:rsidP="00B4328B">
      <w:pPr>
        <w:rPr>
          <w:rFonts w:ascii="Times" w:hAnsi="Times"/>
        </w:rPr>
      </w:pPr>
      <w:r w:rsidRPr="000E50F1">
        <w:rPr>
          <w:rFonts w:ascii="Times" w:hAnsi="Times"/>
        </w:rPr>
        <w:t>With the advent of the federal RAP, Hamilton became one of five second</w:t>
      </w:r>
      <w:r w:rsidRPr="000E50F1">
        <w:rPr>
          <w:rFonts w:ascii="Cambria Math" w:hAnsi="Cambria Math" w:cs="Cambria Math"/>
        </w:rPr>
        <w:t>‐</w:t>
      </w:r>
      <w:r w:rsidRPr="000E50F1">
        <w:rPr>
          <w:rFonts w:ascii="Times" w:hAnsi="Times"/>
        </w:rPr>
        <w:t>tier cities in Ontario— along with London, Windsor, Kitchener, and Ottawa—designated to receive government</w:t>
      </w:r>
      <w:r w:rsidRPr="000E50F1">
        <w:rPr>
          <w:rFonts w:ascii="Cambria Math" w:hAnsi="Cambria Math" w:cs="Cambria Math"/>
        </w:rPr>
        <w:t>‐</w:t>
      </w:r>
      <w:r w:rsidRPr="000E50F1">
        <w:rPr>
          <w:rFonts w:ascii="Times" w:hAnsi="Times"/>
        </w:rPr>
        <w:t>assisted refugees (GARs), most of whom have resettled into Hamilton directly from refugee camps around the world. The RAP provides designated refugees with supports during their first year in Canada, including welcome upon arriving, orientation, and temporary accommodation during their initial stay in Canada. The RAP agency is the agreement holder for the RAP. Under this program, Hamilton receives 200 to 400 refugees each year (RAP</w:t>
      </w:r>
      <w:r w:rsidRPr="000E50F1">
        <w:rPr>
          <w:rFonts w:ascii="Cambria Math" w:hAnsi="Cambria Math" w:cs="Cambria Math"/>
        </w:rPr>
        <w:t>‐</w:t>
      </w:r>
      <w:r w:rsidRPr="000E50F1">
        <w:rPr>
          <w:rFonts w:ascii="Times" w:hAnsi="Times"/>
        </w:rPr>
        <w:t xml:space="preserve">R1). </w:t>
      </w:r>
    </w:p>
    <w:p w14:paraId="03F9BAC8" w14:textId="77777777" w:rsidR="00B4328B" w:rsidRPr="000E50F1" w:rsidRDefault="00B4328B" w:rsidP="00B4328B">
      <w:pPr>
        <w:rPr>
          <w:rFonts w:ascii="Times" w:hAnsi="Times"/>
        </w:rPr>
      </w:pPr>
    </w:p>
    <w:p w14:paraId="1E7F3EF5" w14:textId="77777777" w:rsidR="00B4328B" w:rsidRPr="000E50F1" w:rsidRDefault="00B4328B" w:rsidP="00B4328B">
      <w:pPr>
        <w:rPr>
          <w:rFonts w:ascii="Times" w:hAnsi="Times"/>
          <w:b/>
          <w:bCs/>
        </w:rPr>
      </w:pPr>
      <w:r w:rsidRPr="000E50F1">
        <w:rPr>
          <w:rFonts w:ascii="Times" w:hAnsi="Times"/>
          <w:b/>
          <w:bCs/>
        </w:rPr>
        <w:t xml:space="preserve">Hamilton’s Shifting Settlement Structure </w:t>
      </w:r>
    </w:p>
    <w:p w14:paraId="129F0E9B" w14:textId="77777777" w:rsidR="00B4328B" w:rsidRPr="000E50F1" w:rsidRDefault="00B4328B" w:rsidP="00B4328B">
      <w:pPr>
        <w:rPr>
          <w:rFonts w:ascii="Times" w:hAnsi="Times"/>
        </w:rPr>
      </w:pPr>
      <w:r w:rsidRPr="000E50F1">
        <w:rPr>
          <w:rFonts w:ascii="Times" w:hAnsi="Times"/>
        </w:rPr>
        <w:t>The 1980s: The informal and emerging settlement sector. In Hamilton, a number of specialized settlement services and organizations formed in the wake of various refugee inflows. From the early 1980s, for example, in response to the Vietnamese Boat People crisis, The Mountain Fund to Save the Boat People assisted more than 3,000 refugees, many of whom have stayed in Hamilton (Dam 2009). Other examples include The Circle of Friends for Newcomers (Hamilton), founded in 1980 as a response to the settlement needs of government</w:t>
      </w:r>
      <w:r w:rsidRPr="000E50F1">
        <w:rPr>
          <w:rFonts w:ascii="Cambria Math" w:hAnsi="Cambria Math" w:cs="Cambria Math"/>
        </w:rPr>
        <w:t>‐</w:t>
      </w:r>
      <w:r w:rsidRPr="000E50F1">
        <w:rPr>
          <w:rFonts w:ascii="Times" w:hAnsi="Times"/>
        </w:rPr>
        <w:t>sponsored refugees, especially from Southeast Asia—as well as the Inter</w:t>
      </w:r>
      <w:r w:rsidRPr="000E50F1">
        <w:rPr>
          <w:rFonts w:ascii="Cambria Math" w:hAnsi="Cambria Math" w:cs="Cambria Math"/>
        </w:rPr>
        <w:t>‐</w:t>
      </w:r>
      <w:r w:rsidRPr="000E50F1">
        <w:rPr>
          <w:rFonts w:ascii="Times" w:hAnsi="Times"/>
        </w:rPr>
        <w:t>Church Committee for Refugees formed in the 1980s to assist those arriving from Central America. The Inter</w:t>
      </w:r>
      <w:r w:rsidRPr="000E50F1">
        <w:rPr>
          <w:rFonts w:ascii="Cambria Math" w:hAnsi="Cambria Math" w:cs="Cambria Math"/>
        </w:rPr>
        <w:t>‐</w:t>
      </w:r>
      <w:r w:rsidRPr="000E50F1">
        <w:rPr>
          <w:rFonts w:ascii="Times" w:hAnsi="Times"/>
        </w:rPr>
        <w:t xml:space="preserve">Church Committee began as an informal network of volunteers, eventually forming the St. Joseph Immigrant Women’s Centre (IWC) in 1988 with financial support from the Sisters of St. Joseph. </w:t>
      </w:r>
    </w:p>
    <w:p w14:paraId="7AFFFC5D" w14:textId="77777777" w:rsidR="00B4328B" w:rsidRPr="000E50F1" w:rsidRDefault="00B4328B" w:rsidP="00B4328B">
      <w:pPr>
        <w:rPr>
          <w:rFonts w:ascii="Times" w:hAnsi="Times"/>
        </w:rPr>
      </w:pPr>
    </w:p>
    <w:p w14:paraId="4981747F" w14:textId="77777777" w:rsidR="00B4328B" w:rsidRPr="000E50F1" w:rsidRDefault="00B4328B" w:rsidP="00B4328B">
      <w:pPr>
        <w:rPr>
          <w:rFonts w:ascii="Times" w:hAnsi="Times"/>
          <w:b/>
          <w:bCs/>
          <w:i/>
          <w:iCs/>
        </w:rPr>
      </w:pPr>
      <w:r w:rsidRPr="000E50F1">
        <w:rPr>
          <w:rFonts w:ascii="Times" w:hAnsi="Times"/>
          <w:b/>
          <w:bCs/>
          <w:i/>
          <w:iCs/>
        </w:rPr>
        <w:t>The 1990s: The One</w:t>
      </w:r>
      <w:r w:rsidRPr="000E50F1">
        <w:rPr>
          <w:rFonts w:ascii="Cambria Math" w:hAnsi="Cambria Math" w:cs="Cambria Math"/>
          <w:b/>
          <w:bCs/>
          <w:i/>
          <w:iCs/>
        </w:rPr>
        <w:t>‐</w:t>
      </w:r>
      <w:r w:rsidRPr="000E50F1">
        <w:rPr>
          <w:rFonts w:ascii="Times" w:hAnsi="Times"/>
          <w:b/>
          <w:bCs/>
          <w:i/>
          <w:iCs/>
        </w:rPr>
        <w:t>Stop Shop Model</w:t>
      </w:r>
    </w:p>
    <w:p w14:paraId="065EF798" w14:textId="77777777" w:rsidR="00B4328B" w:rsidRPr="000E50F1" w:rsidRDefault="00B4328B" w:rsidP="00B4328B">
      <w:pPr>
        <w:rPr>
          <w:rFonts w:ascii="Times" w:hAnsi="Times"/>
        </w:rPr>
      </w:pPr>
      <w:r w:rsidRPr="000E50F1">
        <w:rPr>
          <w:rFonts w:ascii="Times" w:hAnsi="Times"/>
        </w:rPr>
        <w:t>In 1993, the Settlement and Integration Service Organization (SISO) opened its doors in Hamilton, serving nearly 2,000 clients that year (Eby 2008). Created to be a one</w:t>
      </w:r>
      <w:r w:rsidRPr="000E50F1">
        <w:rPr>
          <w:rFonts w:ascii="Cambria Math" w:hAnsi="Cambria Math" w:cs="Cambria Math"/>
        </w:rPr>
        <w:t>‐</w:t>
      </w:r>
      <w:r w:rsidRPr="000E50F1">
        <w:rPr>
          <w:rFonts w:ascii="Times" w:hAnsi="Times"/>
        </w:rPr>
        <w:t xml:space="preserve">stop shop serving immigrants and refugees, SISO would become the largest settlement agency in Hamilton for nearly two decades, with more than 150 staff and an annual budget of $15 million. SISO housed the RAP, language assessments, settlement counseling, employment services, and more. </w:t>
      </w:r>
    </w:p>
    <w:p w14:paraId="044D3254" w14:textId="77777777" w:rsidR="00B4328B" w:rsidRPr="000E50F1" w:rsidRDefault="00B4328B" w:rsidP="00B4328B">
      <w:pPr>
        <w:rPr>
          <w:rFonts w:ascii="Times" w:hAnsi="Times"/>
        </w:rPr>
      </w:pPr>
    </w:p>
    <w:p w14:paraId="20906528" w14:textId="77777777" w:rsidR="00B4328B" w:rsidRPr="000E50F1" w:rsidRDefault="00B4328B" w:rsidP="00B4328B">
      <w:pPr>
        <w:rPr>
          <w:rFonts w:ascii="Times" w:hAnsi="Times"/>
        </w:rPr>
      </w:pPr>
      <w:r w:rsidRPr="000E50F1">
        <w:rPr>
          <w:rFonts w:ascii="Times" w:hAnsi="Times"/>
        </w:rPr>
        <w:t xml:space="preserve">SISO also became a powerful voice for immigrant concerns, securing the ear of provincial and federal ministers. It became so well known that sometimes immigrants arriving at Pearson Airport in Toronto would simply instruct their cab drivers to take them to SISO. </w:t>
      </w:r>
    </w:p>
    <w:p w14:paraId="5E85828D" w14:textId="77777777" w:rsidR="00B4328B" w:rsidRPr="000E50F1" w:rsidRDefault="00B4328B" w:rsidP="00B4328B">
      <w:pPr>
        <w:rPr>
          <w:rFonts w:ascii="Times" w:hAnsi="Times"/>
        </w:rPr>
      </w:pPr>
    </w:p>
    <w:p w14:paraId="42EE3EF4" w14:textId="77777777" w:rsidR="00B4328B" w:rsidRPr="000E50F1" w:rsidRDefault="00B4328B" w:rsidP="00B4328B">
      <w:pPr>
        <w:rPr>
          <w:rFonts w:ascii="Times" w:hAnsi="Times"/>
          <w:b/>
          <w:bCs/>
        </w:rPr>
      </w:pPr>
      <w:r w:rsidRPr="000E50F1">
        <w:rPr>
          <w:rFonts w:ascii="Times" w:hAnsi="Times"/>
          <w:b/>
          <w:bCs/>
          <w:i/>
          <w:iCs/>
        </w:rPr>
        <w:t>The 2000s: The Creation of the LIP in Hamilton</w:t>
      </w:r>
    </w:p>
    <w:p w14:paraId="48F1E76A" w14:textId="77777777" w:rsidR="00B4328B" w:rsidRPr="000E50F1" w:rsidRDefault="00B4328B" w:rsidP="00B4328B">
      <w:pPr>
        <w:rPr>
          <w:rFonts w:ascii="Times" w:hAnsi="Times"/>
        </w:rPr>
      </w:pPr>
      <w:r w:rsidRPr="000E50F1">
        <w:rPr>
          <w:rFonts w:ascii="Times" w:hAnsi="Times"/>
        </w:rPr>
        <w:t xml:space="preserve">Partly due to its designation as a centre for receiving GARs, Hamilton received a higher proportion of refugees and a lower proportion of skilled workers than most </w:t>
      </w:r>
      <w:r w:rsidRPr="000E50F1">
        <w:rPr>
          <w:rFonts w:ascii="Times" w:hAnsi="Times"/>
        </w:rPr>
        <w:lastRenderedPageBreak/>
        <w:t>cities in southern Ontario. Thus, it is not surprising that the attraction and retention of newcomers within a transitioning economy became a major concern for Hamilton in the 1990s and early 2000s. Many who worked with newcomers felt that the city was not working to attract skilled immigrants and was inadequately supporting its existing newcomer populations, particular higher</w:t>
      </w:r>
      <w:r w:rsidRPr="000E50F1">
        <w:rPr>
          <w:rFonts w:ascii="Cambria Math" w:hAnsi="Cambria Math" w:cs="Cambria Math"/>
        </w:rPr>
        <w:t>‐</w:t>
      </w:r>
      <w:r w:rsidRPr="000E50F1">
        <w:rPr>
          <w:rFonts w:ascii="Times" w:hAnsi="Times"/>
        </w:rPr>
        <w:t xml:space="preserve">needs newcomers such as GARs (e.g., Elliott 2017). </w:t>
      </w:r>
    </w:p>
    <w:p w14:paraId="0347A002" w14:textId="77777777" w:rsidR="00B4328B" w:rsidRPr="000E50F1" w:rsidRDefault="00B4328B" w:rsidP="00B4328B">
      <w:pPr>
        <w:rPr>
          <w:rFonts w:ascii="Times" w:hAnsi="Times"/>
        </w:rPr>
      </w:pPr>
    </w:p>
    <w:p w14:paraId="6DD21FAD" w14:textId="77777777" w:rsidR="00B4328B" w:rsidRPr="000E50F1" w:rsidRDefault="00B4328B" w:rsidP="00B4328B">
      <w:pPr>
        <w:rPr>
          <w:rFonts w:ascii="Times" w:hAnsi="Times"/>
        </w:rPr>
      </w:pPr>
      <w:r w:rsidRPr="000E50F1">
        <w:rPr>
          <w:rFonts w:ascii="Times" w:hAnsi="Times"/>
        </w:rPr>
        <w:t>In 2009, the City of Hamilton received funding from CIC to create a LIP in Hamilton to address settlement and inclusion beyond the usual settlement service providers. Members initially perceived HIPC as a community</w:t>
      </w:r>
      <w:r w:rsidRPr="000E50F1">
        <w:rPr>
          <w:rFonts w:ascii="Cambria Math" w:hAnsi="Cambria Math" w:cs="Cambria Math"/>
        </w:rPr>
        <w:t>‐</w:t>
      </w:r>
      <w:r w:rsidRPr="000E50F1">
        <w:rPr>
          <w:rFonts w:ascii="Times" w:hAnsi="Times"/>
        </w:rPr>
        <w:t xml:space="preserve">based roundtable but the evolution of the LIP and its lifespan was unknown. The resulting HIPC was located within the City’s Community and Emergency Services Department and was tasked with developing and implementing an Immigration Strategy and Action Plan (Immigration Strategy). Members of the council came from various sectors—including settlement, healthcare, education, business, and government— and were selected for their shared commitment to the future of Hamilton that included a vital role for immigration. After extensive community consultation and research, the Immigration Strategy was adopted by HIPC and unanimously approved by City Council within eight months. As is the case with many LIPs, the vision was not limited to service coordination but rather articulated a vision for the broader community (HIPC Hamilton Immigration Partnership Council 2010). </w:t>
      </w:r>
    </w:p>
    <w:p w14:paraId="31161D79" w14:textId="77777777" w:rsidR="00B4328B" w:rsidRPr="000E50F1" w:rsidRDefault="00B4328B" w:rsidP="00B4328B">
      <w:pPr>
        <w:rPr>
          <w:rFonts w:ascii="Times" w:hAnsi="Times"/>
        </w:rPr>
      </w:pPr>
    </w:p>
    <w:p w14:paraId="38756B79" w14:textId="77777777" w:rsidR="00B4328B" w:rsidRPr="000E50F1" w:rsidRDefault="00B4328B" w:rsidP="00B4328B">
      <w:pPr>
        <w:rPr>
          <w:rFonts w:ascii="Times" w:hAnsi="Times"/>
        </w:rPr>
      </w:pPr>
      <w:r w:rsidRPr="000E50F1">
        <w:rPr>
          <w:rFonts w:ascii="Times" w:hAnsi="Times"/>
        </w:rPr>
        <w:t xml:space="preserve">At the time of its creation, many HIPC members shared common interests and even common clients but did not know each other. The exercise of creating a local Immigration Strategy helped to build relationships and even consensus among its members, which included representatives from service provider organizations, major institutions, and local government. HIPC’s creation was timely as the need for communication and coordination around immigration issues was suddenly more pressing: serious financial irregularities within SISO came to light in 2010 and the organization abruptly closed in January 2011. Settlement pro- grams were quickly redistributed to other community organizations, including IWC, YMCA, and Wesley Urban Ministries. </w:t>
      </w:r>
    </w:p>
    <w:p w14:paraId="0BA8C37F" w14:textId="77777777" w:rsidR="00B4328B" w:rsidRPr="000E50F1" w:rsidRDefault="00B4328B" w:rsidP="00B4328B">
      <w:pPr>
        <w:rPr>
          <w:rFonts w:ascii="Times" w:hAnsi="Times"/>
        </w:rPr>
      </w:pPr>
    </w:p>
    <w:p w14:paraId="64609E00" w14:textId="77777777" w:rsidR="00B4328B" w:rsidRPr="000E50F1" w:rsidRDefault="00B4328B" w:rsidP="00B4328B">
      <w:pPr>
        <w:rPr>
          <w:rFonts w:ascii="Times" w:hAnsi="Times"/>
        </w:rPr>
      </w:pPr>
      <w:r w:rsidRPr="000E50F1">
        <w:rPr>
          <w:rFonts w:ascii="Times" w:hAnsi="Times"/>
        </w:rPr>
        <w:t xml:space="preserve">The sudden closure of SISO tested the abilities of the young HIPC. On the one hand, the mere existence of HIPC reinforced the perspective that settlement was the jurisdiction of the community as a whole and not a single agency. According to a former HIPC staff person, facilitating the realignment of settlement services in the city proved beyond HIPC’s reach, with CIC preferring to deal directly with settlement agencies without involving the Hamilton LIP. While improving coordination of settlement supports is one objective of LIPs, events in Hamilton raised questions about the ability of HIPC in its embryonic stage of development to work alongside CIC during critical times. </w:t>
      </w:r>
    </w:p>
    <w:p w14:paraId="699A4F0C" w14:textId="22C5788B" w:rsidR="00B4328B" w:rsidRPr="000E50F1" w:rsidRDefault="00B4328B" w:rsidP="00B4328B">
      <w:pPr>
        <w:rPr>
          <w:rFonts w:ascii="Times" w:hAnsi="Times"/>
        </w:rPr>
      </w:pPr>
    </w:p>
    <w:p w14:paraId="0CAE304F" w14:textId="77777777" w:rsidR="00757B5F" w:rsidRPr="000E50F1" w:rsidRDefault="00757B5F" w:rsidP="00B4328B">
      <w:pPr>
        <w:rPr>
          <w:rFonts w:ascii="Times" w:hAnsi="Times"/>
        </w:rPr>
      </w:pPr>
    </w:p>
    <w:p w14:paraId="5FD77286" w14:textId="77777777" w:rsidR="00B4328B" w:rsidRPr="000E50F1" w:rsidRDefault="00B4328B" w:rsidP="00B4328B">
      <w:pPr>
        <w:rPr>
          <w:rFonts w:ascii="Times" w:hAnsi="Times"/>
          <w:b/>
          <w:bCs/>
          <w:i/>
          <w:iCs/>
        </w:rPr>
      </w:pPr>
      <w:r w:rsidRPr="000E50F1">
        <w:rPr>
          <w:rFonts w:ascii="Times" w:hAnsi="Times"/>
          <w:b/>
          <w:bCs/>
          <w:i/>
          <w:iCs/>
        </w:rPr>
        <w:lastRenderedPageBreak/>
        <w:t>The 2010s: The Living Experiment in Hamilton</w:t>
      </w:r>
    </w:p>
    <w:p w14:paraId="67515F7C" w14:textId="77777777" w:rsidR="00B4328B" w:rsidRPr="000E50F1" w:rsidRDefault="00B4328B" w:rsidP="00B4328B">
      <w:pPr>
        <w:rPr>
          <w:rFonts w:ascii="Times" w:hAnsi="Times"/>
        </w:rPr>
      </w:pPr>
      <w:r w:rsidRPr="000E50F1">
        <w:rPr>
          <w:rFonts w:ascii="Times" w:hAnsi="Times"/>
        </w:rPr>
        <w:t>As noted above, HIPC is a federally</w:t>
      </w:r>
      <w:r w:rsidRPr="000E50F1">
        <w:rPr>
          <w:rFonts w:ascii="Cambria Math" w:hAnsi="Cambria Math" w:cs="Cambria Math"/>
        </w:rPr>
        <w:t>‐</w:t>
      </w:r>
      <w:r w:rsidRPr="000E50F1">
        <w:rPr>
          <w:rFonts w:ascii="Times" w:hAnsi="Times"/>
        </w:rPr>
        <w:t xml:space="preserve"> funded initiative housed within Hamilton’s municipal government. The City of Hamilton originally pledged to contribute extensive in</w:t>
      </w:r>
      <w:r w:rsidRPr="000E50F1">
        <w:rPr>
          <w:rFonts w:ascii="Cambria Math" w:hAnsi="Cambria Math" w:cs="Cambria Math"/>
        </w:rPr>
        <w:t>‐</w:t>
      </w:r>
      <w:r w:rsidRPr="000E50F1">
        <w:rPr>
          <w:rFonts w:ascii="Times" w:hAnsi="Times"/>
        </w:rPr>
        <w:t>kind and other resources to the partnership. HIPC partners, including the City of Hamilton, reported a contribution of over $4 million in in</w:t>
      </w:r>
      <w:r w:rsidRPr="000E50F1">
        <w:rPr>
          <w:rFonts w:ascii="Cambria Math" w:hAnsi="Cambria Math" w:cs="Cambria Math"/>
        </w:rPr>
        <w:t>‐</w:t>
      </w:r>
      <w:r w:rsidRPr="000E50F1">
        <w:rPr>
          <w:rFonts w:ascii="Times" w:hAnsi="Times"/>
        </w:rPr>
        <w:t>kind support from July 2009 to March 2017. Given HIPC’s contract with the federal government and its responsibility for certain deliverables, the federal government defines the scope of HIPC’s mandate and HIPC must work within those boundaries (HIPC</w:t>
      </w:r>
      <w:r w:rsidRPr="000E50F1">
        <w:rPr>
          <w:rFonts w:ascii="Cambria Math" w:hAnsi="Cambria Math" w:cs="Cambria Math"/>
        </w:rPr>
        <w:t>‐</w:t>
      </w:r>
      <w:r w:rsidRPr="000E50F1">
        <w:rPr>
          <w:rFonts w:ascii="Times" w:hAnsi="Times"/>
        </w:rPr>
        <w:t xml:space="preserve">S1). In the absence of supplementary funding from the municipality or elsewhere that could expand those boundaries, HIPC’s role remains fairly constricted. </w:t>
      </w:r>
    </w:p>
    <w:p w14:paraId="37C90BF6" w14:textId="77777777" w:rsidR="00B4328B" w:rsidRPr="000E50F1" w:rsidRDefault="00B4328B" w:rsidP="00B4328B">
      <w:pPr>
        <w:rPr>
          <w:rFonts w:ascii="Times" w:hAnsi="Times"/>
        </w:rPr>
      </w:pPr>
    </w:p>
    <w:p w14:paraId="4C44010E" w14:textId="112DBF99" w:rsidR="00B4328B" w:rsidRPr="000E50F1" w:rsidRDefault="00B4328B" w:rsidP="00B4328B">
      <w:pPr>
        <w:rPr>
          <w:rFonts w:ascii="Times" w:hAnsi="Times"/>
        </w:rPr>
      </w:pPr>
      <w:r w:rsidRPr="000E50F1">
        <w:rPr>
          <w:rFonts w:ascii="Times" w:hAnsi="Times"/>
        </w:rPr>
        <w:t>Since its inception, HIPC has worked with more than 85 community partners with representatives from housing, health, employment, education, language, training, research, settlement services, business, community organizations, media, and other levels of government. From 2011 to 2015, HIPC worked to implement its broad</w:t>
      </w:r>
      <w:r w:rsidRPr="000E50F1">
        <w:rPr>
          <w:rFonts w:ascii="Cambria Math" w:hAnsi="Cambria Math" w:cs="Cambria Math"/>
        </w:rPr>
        <w:t>‐</w:t>
      </w:r>
      <w:r w:rsidRPr="000E50F1">
        <w:rPr>
          <w:rFonts w:ascii="Times" w:hAnsi="Times"/>
        </w:rPr>
        <w:t>based Immigration Strategy and hosted five sector</w:t>
      </w:r>
      <w:r w:rsidRPr="000E50F1">
        <w:rPr>
          <w:rFonts w:ascii="Cambria Math" w:hAnsi="Cambria Math" w:cs="Cambria Math"/>
        </w:rPr>
        <w:t>‐</w:t>
      </w:r>
      <w:r w:rsidRPr="000E50F1">
        <w:rPr>
          <w:rFonts w:ascii="Times" w:hAnsi="Times"/>
        </w:rPr>
        <w:t xml:space="preserve">based working group tables: Settlement, Language, Housing, Health, and Employment. </w:t>
      </w:r>
    </w:p>
    <w:p w14:paraId="67E95398" w14:textId="77777777" w:rsidR="00B4328B" w:rsidRPr="000E50F1" w:rsidRDefault="00B4328B" w:rsidP="00B4328B">
      <w:pPr>
        <w:rPr>
          <w:rFonts w:ascii="Times" w:hAnsi="Times"/>
        </w:rPr>
      </w:pPr>
    </w:p>
    <w:p w14:paraId="7D38E26E" w14:textId="77777777" w:rsidR="00B4328B" w:rsidRPr="000E50F1" w:rsidRDefault="00B4328B" w:rsidP="00B4328B">
      <w:pPr>
        <w:rPr>
          <w:rFonts w:ascii="Times" w:hAnsi="Times"/>
        </w:rPr>
      </w:pPr>
      <w:r w:rsidRPr="000E50F1">
        <w:rPr>
          <w:rFonts w:ascii="Times" w:hAnsi="Times"/>
        </w:rPr>
        <w:t>By 2015, it was felt by some that these groups had run their course and that HIPC needed to improve its connections with the larger public as well as with Hamilton City Council. In response to these concerns, HIPC initiated a new strategic planning and evaluation process, with a focus on reconnecting with HIPC partners and newcomers and under- standing the partnership’s strengths, challenges, and opportunities in carrying out its mandate. This process was intended to pare down and focus HIPC’s goals and activities to realistically reflect its small staffing complement and the limited re- sources of its various community partners. The resulting Strategic Plan 2017–2020 identified three broad strategic priorities for HIPC: coordination of services, communications and community engagement, and research and evaluation. This organizational strategic plan replaced HIPC’s earlier community</w:t>
      </w:r>
      <w:r w:rsidRPr="000E50F1">
        <w:rPr>
          <w:rFonts w:ascii="Cambria Math" w:hAnsi="Cambria Math" w:cs="Cambria Math"/>
        </w:rPr>
        <w:t>‐</w:t>
      </w:r>
      <w:r w:rsidRPr="000E50F1">
        <w:rPr>
          <w:rFonts w:ascii="Times" w:hAnsi="Times"/>
        </w:rPr>
        <w:t xml:space="preserve">based Immigration Strategy. </w:t>
      </w:r>
    </w:p>
    <w:p w14:paraId="0A538B9A" w14:textId="77777777" w:rsidR="00B4328B" w:rsidRPr="000E50F1" w:rsidRDefault="00B4328B" w:rsidP="00B4328B">
      <w:pPr>
        <w:rPr>
          <w:rFonts w:ascii="Times" w:hAnsi="Times"/>
        </w:rPr>
      </w:pPr>
    </w:p>
    <w:p w14:paraId="421F4D51" w14:textId="77777777" w:rsidR="00B4328B" w:rsidRPr="000E50F1" w:rsidRDefault="00B4328B" w:rsidP="00B4328B">
      <w:pPr>
        <w:rPr>
          <w:rFonts w:ascii="Times" w:hAnsi="Times"/>
        </w:rPr>
      </w:pPr>
      <w:r w:rsidRPr="000E50F1">
        <w:rPr>
          <w:rFonts w:ascii="Times" w:hAnsi="Times"/>
        </w:rPr>
        <w:t>HIPC’s engagement with key stakeholders had been challenged in the years leading up to the SRRI. As with any long</w:t>
      </w:r>
      <w:r w:rsidRPr="000E50F1">
        <w:rPr>
          <w:rFonts w:ascii="Cambria Math" w:hAnsi="Cambria Math" w:cs="Cambria Math"/>
        </w:rPr>
        <w:t>‐</w:t>
      </w:r>
      <w:r w:rsidRPr="000E50F1">
        <w:rPr>
          <w:rFonts w:ascii="Times" w:hAnsi="Times"/>
        </w:rPr>
        <w:t>term community project added to already</w:t>
      </w:r>
      <w:r w:rsidRPr="000E50F1">
        <w:rPr>
          <w:rFonts w:ascii="Cambria Math" w:hAnsi="Cambria Math" w:cs="Cambria Math"/>
        </w:rPr>
        <w:t>‐</w:t>
      </w:r>
      <w:r w:rsidRPr="000E50F1">
        <w:rPr>
          <w:rFonts w:ascii="Times" w:hAnsi="Times"/>
        </w:rPr>
        <w:t xml:space="preserve">busy schedules, engagement ebbed and flowed at the council and within the working groups, which saw the dwindling of senior directors and more participation from frontline workers over the years. The human resources needed to sustain these relationships and activities placed a strain on certain members, which resulted in the absence of key players over the years. Most critically, since 2011, the RAP agency had not participated in HIPC. </w:t>
      </w:r>
    </w:p>
    <w:p w14:paraId="45E5E302" w14:textId="77777777" w:rsidR="00B4328B" w:rsidRPr="000E50F1" w:rsidRDefault="00B4328B" w:rsidP="00B4328B">
      <w:pPr>
        <w:rPr>
          <w:rFonts w:ascii="Times" w:hAnsi="Times"/>
        </w:rPr>
      </w:pPr>
    </w:p>
    <w:p w14:paraId="1F42A19D" w14:textId="77777777" w:rsidR="00B4328B" w:rsidRPr="000E50F1" w:rsidRDefault="00B4328B" w:rsidP="00B4328B">
      <w:pPr>
        <w:rPr>
          <w:rFonts w:ascii="Times" w:hAnsi="Times"/>
        </w:rPr>
      </w:pPr>
      <w:r w:rsidRPr="000E50F1">
        <w:rPr>
          <w:rFonts w:ascii="Times" w:hAnsi="Times"/>
        </w:rPr>
        <w:t xml:space="preserve">It was in this context—a long history of receiving refugees; the sudden closure of SISO due to financial mismanagement; the resulting increased vigilance by local </w:t>
      </w:r>
      <w:r w:rsidRPr="000E50F1">
        <w:rPr>
          <w:rFonts w:ascii="Times" w:hAnsi="Times"/>
        </w:rPr>
        <w:lastRenderedPageBreak/>
        <w:t xml:space="preserve">CIC representatives of the settlement sector; the creation, evolution, and pivot of HIPC; and the absence of the RAP agency at HIPC— that the Syrian newcomer influx unfolded in Hamilton. </w:t>
      </w:r>
    </w:p>
    <w:p w14:paraId="5A3ECE5D" w14:textId="77777777" w:rsidR="00B4328B" w:rsidRPr="000E50F1" w:rsidRDefault="00B4328B" w:rsidP="00B4328B">
      <w:pPr>
        <w:rPr>
          <w:rFonts w:ascii="Times" w:hAnsi="Times"/>
        </w:rPr>
      </w:pPr>
    </w:p>
    <w:p w14:paraId="367FA6D1" w14:textId="77777777" w:rsidR="00B4328B" w:rsidRPr="000E50F1" w:rsidRDefault="00B4328B" w:rsidP="00B4328B">
      <w:pPr>
        <w:rPr>
          <w:rFonts w:ascii="Times" w:hAnsi="Times"/>
          <w:b/>
          <w:bCs/>
          <w:i/>
          <w:iCs/>
        </w:rPr>
      </w:pPr>
      <w:r w:rsidRPr="000E50F1">
        <w:rPr>
          <w:rFonts w:ascii="Times" w:hAnsi="Times"/>
          <w:b/>
          <w:bCs/>
          <w:i/>
          <w:iCs/>
        </w:rPr>
        <w:t xml:space="preserve">Case Context: September 2015 to September 2016 Hamilton Timeline </w:t>
      </w:r>
    </w:p>
    <w:p w14:paraId="5A2F8261" w14:textId="77777777" w:rsidR="00B4328B" w:rsidRPr="000E50F1" w:rsidRDefault="00B4328B" w:rsidP="00B4328B">
      <w:pPr>
        <w:rPr>
          <w:rFonts w:ascii="Times" w:hAnsi="Times"/>
        </w:rPr>
      </w:pPr>
      <w:r w:rsidRPr="000E50F1">
        <w:rPr>
          <w:rFonts w:ascii="Times" w:hAnsi="Times"/>
        </w:rPr>
        <w:t>Alan Kurdi and the federal promise. Although the Syrian refugee crisis had been ongoing for many months prior to the fall of 2015, the heart</w:t>
      </w:r>
      <w:r w:rsidRPr="000E50F1">
        <w:rPr>
          <w:rFonts w:ascii="Cambria Math" w:hAnsi="Cambria Math" w:cs="Cambria Math"/>
        </w:rPr>
        <w:t>‐</w:t>
      </w:r>
      <w:r w:rsidRPr="000E50F1">
        <w:rPr>
          <w:rFonts w:ascii="Times" w:hAnsi="Times"/>
        </w:rPr>
        <w:t xml:space="preserve"> wrenching image of deceased three</w:t>
      </w:r>
      <w:r w:rsidRPr="000E50F1">
        <w:rPr>
          <w:rFonts w:ascii="Cambria Math" w:hAnsi="Cambria Math" w:cs="Cambria Math"/>
        </w:rPr>
        <w:t>‐</w:t>
      </w:r>
      <w:r w:rsidRPr="000E50F1">
        <w:rPr>
          <w:rFonts w:ascii="Times" w:hAnsi="Times"/>
        </w:rPr>
        <w:t>year</w:t>
      </w:r>
      <w:r w:rsidRPr="000E50F1">
        <w:rPr>
          <w:rFonts w:ascii="Cambria Math" w:hAnsi="Cambria Math" w:cs="Cambria Math"/>
        </w:rPr>
        <w:t>‐</w:t>
      </w:r>
      <w:r w:rsidRPr="000E50F1">
        <w:rPr>
          <w:rFonts w:ascii="Times" w:hAnsi="Times"/>
        </w:rPr>
        <w:t xml:space="preserve">old refugee Alan Kurdi prompted an outcry from residents in many communities across Canada, including Hamilton. Within five days of the photo’s publication, two local public rallies were held, urging a more robust Canadian response to the crisis (Fragomeni 2015). </w:t>
      </w:r>
    </w:p>
    <w:p w14:paraId="6BA9B700" w14:textId="77777777" w:rsidR="00B4328B" w:rsidRPr="000E50F1" w:rsidRDefault="00B4328B" w:rsidP="00B4328B">
      <w:pPr>
        <w:rPr>
          <w:rFonts w:ascii="Times" w:hAnsi="Times"/>
        </w:rPr>
      </w:pPr>
    </w:p>
    <w:p w14:paraId="380FC3BF" w14:textId="04D996DE" w:rsidR="00B4328B" w:rsidRPr="000E50F1" w:rsidRDefault="00B4328B" w:rsidP="00B4328B">
      <w:pPr>
        <w:rPr>
          <w:rFonts w:ascii="Times" w:hAnsi="Times"/>
        </w:rPr>
      </w:pPr>
      <w:r w:rsidRPr="000E50F1">
        <w:rPr>
          <w:rFonts w:ascii="Times" w:hAnsi="Times"/>
        </w:rPr>
        <w:t>Canada’s reception of Syrian newcomers became one of several issues related to immigration and identity in the ongoing federal election campaign. The Liberal Party under Justin Trudeau was promising to facilitate a large</w:t>
      </w:r>
      <w:r w:rsidRPr="000E50F1">
        <w:rPr>
          <w:rFonts w:ascii="Cambria Math" w:hAnsi="Cambria Math" w:cs="Cambria Math"/>
        </w:rPr>
        <w:t>‐</w:t>
      </w:r>
      <w:r w:rsidRPr="000E50F1">
        <w:rPr>
          <w:rFonts w:ascii="Times" w:hAnsi="Times"/>
        </w:rPr>
        <w:t xml:space="preserve">scale SRRI before the end of 2015—a view that was contrary to the Conservative government under the Harper Administration. With a Liberal victory on October 19, 2015, this campaign promise became a major focus of the young government and was symbolized by the injection of “Refugees” into the very name of the department which was renamed “Immigration Refugees and Citizenship Canada.” In spite of immigration falling outside of municipal jurisdictional purview, the federal government directly contacted various municipalities to inform them of the Syrians’ arrival. In November 2015, Immigration Minister John McCallum was on the phone with the Mayor of Hamilton to thank him in advance for welcoming Syrians to Hamilton. </w:t>
      </w:r>
    </w:p>
    <w:p w14:paraId="2A7D7108" w14:textId="29660418" w:rsidR="00B4328B" w:rsidRPr="000E50F1" w:rsidRDefault="00B4328B" w:rsidP="00B4328B">
      <w:pPr>
        <w:rPr>
          <w:rFonts w:ascii="Times" w:hAnsi="Times"/>
        </w:rPr>
      </w:pPr>
    </w:p>
    <w:p w14:paraId="49B7CB6F" w14:textId="66EB7C5D" w:rsidR="00B4328B" w:rsidRPr="000E50F1" w:rsidRDefault="00B4328B" w:rsidP="00B4328B">
      <w:pPr>
        <w:rPr>
          <w:rFonts w:ascii="Times" w:hAnsi="Times"/>
        </w:rPr>
      </w:pPr>
      <w:r w:rsidRPr="000E50F1">
        <w:rPr>
          <w:rFonts w:ascii="Times" w:hAnsi="Times"/>
          <w:noProof/>
        </w:rPr>
        <w:drawing>
          <wp:inline distT="0" distB="0" distL="0" distR="0" wp14:anchorId="5C8F69BB" wp14:editId="04D80AFF">
            <wp:extent cx="4849402" cy="2612496"/>
            <wp:effectExtent l="0" t="0" r="2540" b="381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05 at 11.21.26 A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9865" cy="2650456"/>
                    </a:xfrm>
                    <a:prstGeom prst="rect">
                      <a:avLst/>
                    </a:prstGeom>
                  </pic:spPr>
                </pic:pic>
              </a:graphicData>
            </a:graphic>
          </wp:inline>
        </w:drawing>
      </w:r>
    </w:p>
    <w:p w14:paraId="4FD55326" w14:textId="7A9579B1" w:rsidR="00B4328B" w:rsidRPr="000E50F1" w:rsidRDefault="00B4328B" w:rsidP="00B4328B">
      <w:pPr>
        <w:rPr>
          <w:rFonts w:ascii="Times" w:hAnsi="Times"/>
        </w:rPr>
      </w:pPr>
    </w:p>
    <w:p w14:paraId="34C39033" w14:textId="5E634013" w:rsidR="00B4328B" w:rsidRPr="000E50F1" w:rsidRDefault="0049719E" w:rsidP="0049719E">
      <w:pPr>
        <w:pStyle w:val="Caption"/>
        <w:ind w:left="709" w:hanging="709"/>
        <w:rPr>
          <w:rFonts w:ascii="Times" w:hAnsi="Times"/>
          <w:sz w:val="24"/>
          <w:szCs w:val="20"/>
        </w:rPr>
      </w:pPr>
      <w:bookmarkStart w:id="26" w:name="_Toc54020234"/>
      <w:r w:rsidRPr="000E50F1">
        <w:rPr>
          <w:rFonts w:ascii="Times" w:hAnsi="Times"/>
          <w:i/>
          <w:iCs w:val="0"/>
          <w:sz w:val="24"/>
          <w:szCs w:val="20"/>
        </w:rPr>
        <w:t xml:space="preserve">Figure </w:t>
      </w:r>
      <w:r w:rsidRPr="000E50F1">
        <w:rPr>
          <w:rFonts w:ascii="Times" w:hAnsi="Times"/>
          <w:i/>
          <w:iCs w:val="0"/>
          <w:sz w:val="24"/>
          <w:szCs w:val="20"/>
        </w:rPr>
        <w:fldChar w:fldCharType="begin"/>
      </w:r>
      <w:r w:rsidRPr="000E50F1">
        <w:rPr>
          <w:rFonts w:ascii="Times" w:hAnsi="Times"/>
          <w:i/>
          <w:iCs w:val="0"/>
          <w:sz w:val="24"/>
          <w:szCs w:val="20"/>
        </w:rPr>
        <w:instrText xml:space="preserve"> SEQ Figure \* ARABIC </w:instrText>
      </w:r>
      <w:r w:rsidRPr="000E50F1">
        <w:rPr>
          <w:rFonts w:ascii="Times" w:hAnsi="Times"/>
          <w:i/>
          <w:iCs w:val="0"/>
          <w:sz w:val="24"/>
          <w:szCs w:val="20"/>
        </w:rPr>
        <w:fldChar w:fldCharType="separate"/>
      </w:r>
      <w:r w:rsidR="005D60E2" w:rsidRPr="000E50F1">
        <w:rPr>
          <w:rFonts w:ascii="Times" w:hAnsi="Times"/>
          <w:i/>
          <w:iCs w:val="0"/>
          <w:noProof/>
          <w:sz w:val="24"/>
          <w:szCs w:val="20"/>
        </w:rPr>
        <w:t>4</w:t>
      </w:r>
      <w:r w:rsidRPr="000E50F1">
        <w:rPr>
          <w:rFonts w:ascii="Times" w:hAnsi="Times"/>
          <w:i/>
          <w:iCs w:val="0"/>
          <w:sz w:val="24"/>
          <w:szCs w:val="20"/>
        </w:rPr>
        <w:fldChar w:fldCharType="end"/>
      </w:r>
      <w:r w:rsidRPr="000E50F1">
        <w:rPr>
          <w:rFonts w:ascii="Times" w:hAnsi="Times"/>
          <w:i/>
          <w:iCs w:val="0"/>
          <w:sz w:val="24"/>
          <w:szCs w:val="20"/>
        </w:rPr>
        <w:t>.</w:t>
      </w:r>
      <w:r w:rsidRPr="000E50F1">
        <w:rPr>
          <w:rFonts w:ascii="Times" w:hAnsi="Times"/>
          <w:sz w:val="24"/>
          <w:szCs w:val="20"/>
        </w:rPr>
        <w:t xml:space="preserve"> </w:t>
      </w:r>
      <w:r w:rsidR="00B4328B" w:rsidRPr="000E50F1">
        <w:rPr>
          <w:rFonts w:ascii="Times" w:hAnsi="Times"/>
          <w:sz w:val="24"/>
          <w:szCs w:val="20"/>
        </w:rPr>
        <w:t>The Syrian influx in Hamilton, Ontario. SOURCE: IRCC data (October 31, 2016a)</w:t>
      </w:r>
      <w:bookmarkEnd w:id="26"/>
    </w:p>
    <w:p w14:paraId="45E3ADB3" w14:textId="60C46B4A" w:rsidR="00B4328B" w:rsidRPr="000E50F1" w:rsidRDefault="00B4328B" w:rsidP="00B4328B">
      <w:pPr>
        <w:rPr>
          <w:rFonts w:ascii="Times" w:hAnsi="Times"/>
        </w:rPr>
      </w:pPr>
      <w:r w:rsidRPr="000E50F1">
        <w:rPr>
          <w:rFonts w:ascii="Times" w:hAnsi="Times"/>
        </w:rPr>
        <w:lastRenderedPageBreak/>
        <w:t xml:space="preserve">As seen in Figure </w:t>
      </w:r>
      <w:r w:rsidR="001F1198" w:rsidRPr="000E50F1">
        <w:rPr>
          <w:rFonts w:ascii="Times" w:hAnsi="Times"/>
        </w:rPr>
        <w:t>4</w:t>
      </w:r>
      <w:r w:rsidRPr="000E50F1">
        <w:rPr>
          <w:rFonts w:ascii="Times" w:hAnsi="Times"/>
        </w:rPr>
        <w:t xml:space="preserve">, the image of Alan Kurdi and the federal promise sparked a series of planning initiatives and activities in Hamilton. Although the timeline does not reflect all that had taken place in Hamilton, it reveals key events and stakeholders, new and old, in the local settlement landscape during the SRRI. </w:t>
      </w:r>
    </w:p>
    <w:p w14:paraId="08F2DBF1" w14:textId="6FC8C926" w:rsidR="00E33D36" w:rsidRPr="000E50F1" w:rsidRDefault="00E33D36" w:rsidP="00B4328B">
      <w:pPr>
        <w:rPr>
          <w:rFonts w:ascii="Times" w:hAnsi="Times"/>
        </w:rPr>
      </w:pPr>
    </w:p>
    <w:p w14:paraId="6BACFFCA" w14:textId="0E51F0A2" w:rsidR="00B4328B" w:rsidRPr="000E50F1" w:rsidRDefault="00B4328B" w:rsidP="00B4328B">
      <w:pPr>
        <w:rPr>
          <w:rFonts w:ascii="Times" w:hAnsi="Times"/>
        </w:rPr>
      </w:pPr>
      <w:r w:rsidRPr="000E50F1">
        <w:rPr>
          <w:rFonts w:ascii="Times" w:hAnsi="Times"/>
        </w:rPr>
        <w:t xml:space="preserve">According to Immigration, Refugees and Citizen- ship Canada data, from September 2015 to September 2016, Hamilton received and resettled a total of 1,460 Syrian refugees, 87% of whom arrived between December 2015 and February 2016 (IRCC Immigration, Refugees and Citizenship Canada 2016a). The pattern of influx in Hamilton was similar to that observed in Ottawa, Waterloo, and across Canada; 86% of Syrian newcomers to Hamilton were GARs, the highest proportion of any community in Ontario (HIPC Hamilton Immigration Partnership Council 2017). </w:t>
      </w:r>
    </w:p>
    <w:p w14:paraId="66DDD5DA" w14:textId="77777777" w:rsidR="00B4328B" w:rsidRPr="000E50F1" w:rsidRDefault="00B4328B" w:rsidP="00B4328B">
      <w:pPr>
        <w:rPr>
          <w:rFonts w:ascii="Times" w:hAnsi="Times"/>
        </w:rPr>
      </w:pPr>
    </w:p>
    <w:p w14:paraId="6761F491" w14:textId="77777777" w:rsidR="00B4328B" w:rsidRPr="000E50F1" w:rsidRDefault="00B4328B" w:rsidP="00B4328B">
      <w:pPr>
        <w:rPr>
          <w:rFonts w:ascii="Times" w:hAnsi="Times"/>
        </w:rPr>
      </w:pPr>
      <w:r w:rsidRPr="000E50F1">
        <w:rPr>
          <w:rFonts w:ascii="Times" w:hAnsi="Times"/>
        </w:rPr>
        <w:t xml:space="preserve">In the fall of 2015, various organizations and offices began to assemble working groups in anticipation of the Syrian arrival. Some of these initiatives were happening simultaneously with some key individuals, including HIPC members, sitting at multiple tables. These activities were led by the Mayor’s Office, the RAP agency, and the City’s Community and Emergency Services Department. </w:t>
      </w:r>
    </w:p>
    <w:p w14:paraId="52B3D61A" w14:textId="77777777" w:rsidR="00B4328B" w:rsidRPr="000E50F1" w:rsidRDefault="00B4328B" w:rsidP="002E2B8A">
      <w:pPr>
        <w:rPr>
          <w:rFonts w:ascii="Times" w:hAnsi="Times"/>
          <w:b/>
          <w:bCs/>
          <w:i/>
          <w:iCs/>
        </w:rPr>
      </w:pPr>
    </w:p>
    <w:p w14:paraId="37DF51E3" w14:textId="05C431B6" w:rsidR="002E2B8A" w:rsidRPr="000E50F1" w:rsidRDefault="002E2B8A" w:rsidP="002E2B8A">
      <w:pPr>
        <w:rPr>
          <w:rFonts w:ascii="Times" w:hAnsi="Times"/>
          <w:b/>
          <w:bCs/>
          <w:i/>
          <w:iCs/>
        </w:rPr>
      </w:pPr>
      <w:r w:rsidRPr="000E50F1">
        <w:rPr>
          <w:rFonts w:ascii="Times" w:hAnsi="Times"/>
          <w:b/>
          <w:bCs/>
          <w:i/>
          <w:iCs/>
        </w:rPr>
        <w:t>Leadership by the City of Hamilton</w:t>
      </w:r>
    </w:p>
    <w:p w14:paraId="0D553A60" w14:textId="77777777" w:rsidR="002E2B8A" w:rsidRPr="000E50F1" w:rsidRDefault="002E2B8A" w:rsidP="002E2B8A">
      <w:pPr>
        <w:rPr>
          <w:rFonts w:ascii="Times" w:hAnsi="Times"/>
        </w:rPr>
      </w:pPr>
      <w:r w:rsidRPr="000E50F1">
        <w:rPr>
          <w:rFonts w:ascii="Times" w:hAnsi="Times"/>
        </w:rPr>
        <w:t>On September 30, 2015, the Mayor’s Office hosted a public information session on refugee sponsorship. Hamilton’s Council Chambers quickly became “standing room only” as many individuals and groups, including Syrian families, turned out to learn about sponsorship and how the City of Hamilton intended to address the refugee crisis. This initiative reflected the public’s demand for a local government response to a global crisis:</w:t>
      </w:r>
    </w:p>
    <w:p w14:paraId="19AD1E3D" w14:textId="77777777" w:rsidR="002E2B8A" w:rsidRPr="000E50F1" w:rsidRDefault="002E2B8A" w:rsidP="002E2B8A">
      <w:pPr>
        <w:ind w:left="567" w:right="571"/>
        <w:rPr>
          <w:rFonts w:ascii="Times" w:hAnsi="Times"/>
        </w:rPr>
      </w:pPr>
    </w:p>
    <w:p w14:paraId="216DC7D4" w14:textId="77777777" w:rsidR="002E2B8A" w:rsidRPr="000E50F1" w:rsidRDefault="002E2B8A" w:rsidP="002E2B8A">
      <w:pPr>
        <w:widowControl w:val="0"/>
        <w:ind w:left="850" w:right="850"/>
        <w:rPr>
          <w:rFonts w:ascii="Times" w:hAnsi="Times"/>
        </w:rPr>
      </w:pPr>
      <w:r w:rsidRPr="000E50F1">
        <w:rPr>
          <w:rFonts w:ascii="Times" w:hAnsi="Times"/>
        </w:rPr>
        <w:t>We found that in many municipalities the public was turning to the local rather than the federal government because at that time the Harper government was not responding in a positive fashion to the growing refugee crisis. So as the public began to engage itself in the issue it turned to what was closest to it, which was the local government and so we realized that in early fall of 2015 there was an expectation on the part of the citizens of Hamilton that the local government get involved in the Syrian refugee issue in some meaningful way. (MO-R1)</w:t>
      </w:r>
    </w:p>
    <w:p w14:paraId="0B97D64D" w14:textId="77777777" w:rsidR="002E2B8A" w:rsidRPr="000E50F1" w:rsidRDefault="002E2B8A" w:rsidP="002E2B8A">
      <w:pPr>
        <w:rPr>
          <w:rFonts w:ascii="Times" w:hAnsi="Times"/>
        </w:rPr>
      </w:pPr>
    </w:p>
    <w:p w14:paraId="5B0509FC" w14:textId="77777777" w:rsidR="002E2B8A" w:rsidRPr="000E50F1" w:rsidRDefault="002E2B8A" w:rsidP="00E33D36">
      <w:pPr>
        <w:ind w:right="4"/>
        <w:rPr>
          <w:rFonts w:ascii="Times" w:hAnsi="Times"/>
        </w:rPr>
      </w:pPr>
      <w:r w:rsidRPr="000E50F1">
        <w:rPr>
          <w:rFonts w:ascii="Times" w:hAnsi="Times"/>
        </w:rPr>
        <w:t>In late November 2015, Minister McCallum called Hamilton Mayor Eisenberger. The purpose of the call was to help ensure that relations with the mayor were on good footing. This would be the only time that the federal department directly contacted the municipal government on this topic:</w:t>
      </w:r>
    </w:p>
    <w:p w14:paraId="6B5CE35C" w14:textId="77777777" w:rsidR="002E2B8A" w:rsidRPr="000E50F1" w:rsidRDefault="002E2B8A" w:rsidP="002E2B8A">
      <w:pPr>
        <w:rPr>
          <w:rFonts w:ascii="Times" w:hAnsi="Times"/>
        </w:rPr>
      </w:pPr>
    </w:p>
    <w:p w14:paraId="658B1FF4" w14:textId="77777777" w:rsidR="002E2B8A" w:rsidRPr="000E50F1" w:rsidRDefault="002E2B8A" w:rsidP="002E2B8A">
      <w:pPr>
        <w:ind w:left="850" w:right="850"/>
        <w:rPr>
          <w:rFonts w:ascii="Times" w:hAnsi="Times"/>
        </w:rPr>
      </w:pPr>
      <w:r w:rsidRPr="000E50F1">
        <w:rPr>
          <w:rFonts w:ascii="Times" w:hAnsi="Times"/>
        </w:rPr>
        <w:lastRenderedPageBreak/>
        <w:t>Minister McCallum was thanking the City of Hamilton for taking in over a thousand newcomers or agreeing to take in over a thousand newcomers, but I should point out it wasn’t an invitation nor was there choice involved with it. The federal government was sending roughly twelve hundred newcomers, Syrian newcomers, to Hamilton regardless of what we thought. Now the Mayor expressed his agreement with a welcome mat, if you will, to the Syrian newcomers. There was no question in our minds right from the outside if we would accept them. We’ve done this before in Hamilton. This is not unusual and we weren’t going to shirk our responsibility to the newcomers in this particular instance. (MO-R1)</w:t>
      </w:r>
    </w:p>
    <w:p w14:paraId="2555C443" w14:textId="77777777" w:rsidR="002E2B8A" w:rsidRPr="000E50F1" w:rsidRDefault="002E2B8A" w:rsidP="002E2B8A">
      <w:pPr>
        <w:rPr>
          <w:rFonts w:ascii="Times" w:hAnsi="Times"/>
        </w:rPr>
      </w:pPr>
    </w:p>
    <w:p w14:paraId="6656F20A" w14:textId="77777777" w:rsidR="002E2B8A" w:rsidRPr="000E50F1" w:rsidRDefault="002E2B8A" w:rsidP="00E33D36">
      <w:pPr>
        <w:widowControl w:val="0"/>
        <w:ind w:right="4"/>
        <w:rPr>
          <w:rFonts w:ascii="Times" w:hAnsi="Times"/>
        </w:rPr>
      </w:pPr>
      <w:r w:rsidRPr="000E50F1">
        <w:rPr>
          <w:rFonts w:ascii="Times" w:hAnsi="Times"/>
        </w:rPr>
        <w:t>By mid-December, the City of Hamilton began to mobilize its resources and reach out to those across the sector. Specifically, City staff from the Department of Community and Emergency Services undertook consultation with service providers in the areas of health, employment, education, language, and settlement between December 2015 and February 2016. The goal was to engage a wider range of stakeholders, including the informal sector which had previously been less involved in a coordinated community effort.</w:t>
      </w:r>
    </w:p>
    <w:p w14:paraId="2522E03C" w14:textId="77777777" w:rsidR="00E33D36" w:rsidRPr="000E50F1" w:rsidRDefault="00E33D36" w:rsidP="00E33D36">
      <w:pPr>
        <w:rPr>
          <w:rFonts w:ascii="Times" w:hAnsi="Times"/>
        </w:rPr>
      </w:pPr>
    </w:p>
    <w:p w14:paraId="30905036" w14:textId="764A8D7D" w:rsidR="002E2B8A" w:rsidRPr="000E50F1" w:rsidRDefault="002E2B8A" w:rsidP="00E33D36">
      <w:pPr>
        <w:rPr>
          <w:rFonts w:ascii="Times" w:hAnsi="Times"/>
        </w:rPr>
      </w:pPr>
      <w:r w:rsidRPr="000E50F1">
        <w:rPr>
          <w:rFonts w:ascii="Times" w:hAnsi="Times"/>
        </w:rPr>
        <w:t>What began as a departmental initiative was soon transferred to the Mayor’s Office where it received a higher profile and evolved into the Mayor’s Advisory Committee on Syrian Newcomers, which received official approval from City Council in March 2016. The first meeting was held in May 2016, by which time almost all Syrian families had been screened, housed, and enrolled in schools. Sector-based working groups were also created and began to meet over the summer of 2016. These working groups effectively mirrored HIPC’s longstanding working groups and contained many of the same participants.</w:t>
      </w:r>
    </w:p>
    <w:p w14:paraId="67F32D4A" w14:textId="77777777" w:rsidR="002E2B8A" w:rsidRPr="000E50F1" w:rsidRDefault="002E2B8A" w:rsidP="002E2B8A">
      <w:pPr>
        <w:rPr>
          <w:rFonts w:ascii="Times" w:hAnsi="Times"/>
        </w:rPr>
      </w:pPr>
    </w:p>
    <w:p w14:paraId="771D576E" w14:textId="350EBE2D" w:rsidR="002E2B8A" w:rsidRPr="000E50F1" w:rsidRDefault="002E2B8A" w:rsidP="002E2B8A">
      <w:pPr>
        <w:rPr>
          <w:rFonts w:ascii="Times" w:hAnsi="Times"/>
          <w:b/>
          <w:bCs/>
          <w:i/>
          <w:iCs/>
        </w:rPr>
      </w:pPr>
      <w:r w:rsidRPr="000E50F1">
        <w:rPr>
          <w:rFonts w:ascii="Times" w:hAnsi="Times"/>
          <w:b/>
          <w:bCs/>
          <w:i/>
          <w:iCs/>
        </w:rPr>
        <w:t xml:space="preserve">Leadership by the RAP </w:t>
      </w:r>
      <w:r w:rsidR="00B4328B" w:rsidRPr="000E50F1">
        <w:rPr>
          <w:rFonts w:ascii="Times" w:hAnsi="Times"/>
          <w:b/>
          <w:bCs/>
          <w:i/>
          <w:iCs/>
        </w:rPr>
        <w:t>A</w:t>
      </w:r>
      <w:r w:rsidRPr="000E50F1">
        <w:rPr>
          <w:rFonts w:ascii="Times" w:hAnsi="Times"/>
          <w:b/>
          <w:bCs/>
          <w:i/>
          <w:iCs/>
        </w:rPr>
        <w:t>gency</w:t>
      </w:r>
    </w:p>
    <w:p w14:paraId="3BB01836" w14:textId="5335F7EE" w:rsidR="002E2B8A" w:rsidRPr="000E50F1" w:rsidRDefault="002E2B8A" w:rsidP="002E2B8A">
      <w:pPr>
        <w:rPr>
          <w:rFonts w:ascii="Times" w:hAnsi="Times"/>
        </w:rPr>
      </w:pPr>
      <w:r w:rsidRPr="000E50F1">
        <w:rPr>
          <w:rFonts w:ascii="Times" w:hAnsi="Times"/>
        </w:rPr>
        <w:t xml:space="preserve">As seen in Figure </w:t>
      </w:r>
      <w:r w:rsidR="001F1198" w:rsidRPr="000E50F1">
        <w:rPr>
          <w:rFonts w:ascii="Times" w:hAnsi="Times"/>
        </w:rPr>
        <w:t>4</w:t>
      </w:r>
      <w:r w:rsidRPr="000E50F1">
        <w:rPr>
          <w:rFonts w:ascii="Times" w:hAnsi="Times"/>
        </w:rPr>
        <w:t>, soon after the federal election, the RAP agency began to mobilize those partners that could assist in the immediate needs of the refugees. Aside from the addition of a Mental Health working group, new expert working groups were re-created (including Health, Housing, Education, and Language) were formed by the RAP agency, which contained some HIPC working groups members and some new sector partners. These new groups were formed to discuss issues of assessment, integration, and transition specific to the Syrian influx:</w:t>
      </w:r>
    </w:p>
    <w:p w14:paraId="6D9DB631" w14:textId="77777777" w:rsidR="002E2B8A" w:rsidRPr="000E50F1" w:rsidRDefault="002E2B8A" w:rsidP="002E2B8A">
      <w:pPr>
        <w:ind w:right="713"/>
        <w:rPr>
          <w:rFonts w:ascii="Times" w:hAnsi="Times"/>
        </w:rPr>
      </w:pPr>
    </w:p>
    <w:p w14:paraId="56636930" w14:textId="77777777" w:rsidR="002E2B8A" w:rsidRPr="000E50F1" w:rsidRDefault="002E2B8A" w:rsidP="002E2B8A">
      <w:pPr>
        <w:widowControl w:val="0"/>
        <w:ind w:left="850" w:right="850"/>
        <w:rPr>
          <w:rFonts w:ascii="Times" w:hAnsi="Times"/>
        </w:rPr>
      </w:pPr>
      <w:r w:rsidRPr="000E50F1">
        <w:rPr>
          <w:rFonts w:ascii="Times" w:hAnsi="Times"/>
        </w:rPr>
        <w:t xml:space="preserve">Significant Syrian arrival started in December but in October we knew that was coming so we formed tables … and that wasn’t just an open invite to anyone who worked in the health sector; those were the agencies that are going to help with the resettlement portion … the conversation was: we are going to </w:t>
      </w:r>
      <w:r w:rsidRPr="000E50F1">
        <w:rPr>
          <w:rFonts w:ascii="Times" w:hAnsi="Times"/>
        </w:rPr>
        <w:lastRenderedPageBreak/>
        <w:t>get a certain influx, how are we going to do initial health screening for every client that arrives? What was the rotation going to look like? What screening tools are we using? What database are we using, those very specific to Syrians. (RAP-R1)</w:t>
      </w:r>
    </w:p>
    <w:p w14:paraId="3EC74C26" w14:textId="77777777" w:rsidR="002E2B8A" w:rsidRPr="000E50F1" w:rsidRDefault="002E2B8A" w:rsidP="002E2B8A">
      <w:pPr>
        <w:widowControl w:val="0"/>
        <w:ind w:right="713"/>
        <w:rPr>
          <w:rFonts w:ascii="Times" w:hAnsi="Times"/>
        </w:rPr>
      </w:pPr>
    </w:p>
    <w:p w14:paraId="7EC1355A" w14:textId="77777777" w:rsidR="002E2B8A" w:rsidRPr="000E50F1" w:rsidRDefault="002E2B8A" w:rsidP="002E2B8A">
      <w:pPr>
        <w:rPr>
          <w:rFonts w:ascii="Times" w:hAnsi="Times"/>
        </w:rPr>
      </w:pPr>
      <w:r w:rsidRPr="000E50F1">
        <w:rPr>
          <w:rFonts w:ascii="Times" w:hAnsi="Times"/>
        </w:rPr>
        <w:t>Although some RAP agency staff had been participating in HIPC’s working groups, the lack of connection between RAP senior staff and HIPC added to the duplication of tables and paralleled efforts in Hamilton during SRRI.</w:t>
      </w:r>
    </w:p>
    <w:p w14:paraId="1732307E" w14:textId="77777777" w:rsidR="002E2B8A" w:rsidRPr="000E50F1" w:rsidRDefault="002E2B8A" w:rsidP="002E2B8A">
      <w:pPr>
        <w:rPr>
          <w:rFonts w:ascii="Times" w:hAnsi="Times"/>
        </w:rPr>
      </w:pPr>
    </w:p>
    <w:p w14:paraId="7B7B1ECC" w14:textId="77777777" w:rsidR="002E2B8A" w:rsidRPr="000E50F1" w:rsidRDefault="002E2B8A" w:rsidP="002E2B8A">
      <w:pPr>
        <w:rPr>
          <w:rFonts w:ascii="Times" w:hAnsi="Times"/>
          <w:b/>
          <w:bCs/>
          <w:i/>
          <w:iCs/>
        </w:rPr>
      </w:pPr>
      <w:r w:rsidRPr="000E50F1">
        <w:rPr>
          <w:rFonts w:ascii="Times" w:hAnsi="Times"/>
          <w:b/>
          <w:bCs/>
          <w:i/>
          <w:iCs/>
        </w:rPr>
        <w:t>Leadership by HIPC</w:t>
      </w:r>
    </w:p>
    <w:p w14:paraId="3D596DD2" w14:textId="77777777" w:rsidR="002E2B8A" w:rsidRPr="000E50F1" w:rsidRDefault="002E2B8A" w:rsidP="002E2B8A">
      <w:pPr>
        <w:rPr>
          <w:rFonts w:ascii="Times" w:hAnsi="Times"/>
        </w:rPr>
      </w:pPr>
      <w:r w:rsidRPr="000E50F1">
        <w:rPr>
          <w:rFonts w:ascii="Times" w:hAnsi="Times"/>
        </w:rPr>
        <w:t>With no direction from its funder to participate in SRRI, HIPC staff continued with their normal duties while supporting the unfolding resettlement process. By the fall of 2015, HIPC was in the middle of its strategic planning process—a plan that had been set into motion in April 2015, prior to the SRRI federal promise. As a result, HIPC staff maintained momentum to carry out and complete an evaluation by March 2016. By June 2016, a decision was made to disband the sector-based working groups.</w:t>
      </w:r>
    </w:p>
    <w:p w14:paraId="3D5B9714" w14:textId="77777777" w:rsidR="00E33D36" w:rsidRPr="000E50F1" w:rsidRDefault="00E33D36" w:rsidP="00E33D36">
      <w:pPr>
        <w:rPr>
          <w:rFonts w:ascii="Times" w:hAnsi="Times"/>
        </w:rPr>
      </w:pPr>
      <w:bookmarkStart w:id="27" w:name="_gjdgxs" w:colFirst="0" w:colLast="0"/>
      <w:bookmarkEnd w:id="27"/>
    </w:p>
    <w:p w14:paraId="2AD6F8EB" w14:textId="5D37B65B" w:rsidR="002E2B8A" w:rsidRPr="000E50F1" w:rsidRDefault="002E2B8A" w:rsidP="00E33D36">
      <w:pPr>
        <w:rPr>
          <w:rFonts w:ascii="Times" w:hAnsi="Times"/>
        </w:rPr>
      </w:pPr>
      <w:r w:rsidRPr="000E50F1">
        <w:rPr>
          <w:rFonts w:ascii="Times" w:hAnsi="Times"/>
        </w:rPr>
        <w:t>Although HIPC was not focused on refugee resettlement per se, HIPC members were participating and contributing under other initiatives and leadership, and HIPC staff were busy behind the scenes supporting the larger City of Hamilton strategy to welcome Syrians. HIPC staff worked closely with the Mayor’s Office and were an integral part of the process in identifying partners to participate in the Mayor’s Advisory Committee. HIPC staff lent expertise and sometimes did double duty between HIPC and the Advisory Committee. Despite the lack of communication from IRCC, HIPC staff used funds to translate a Housing Help Guide (HIPC 2016a) and a Newcomer Services Quick Guide (HIPC 2016b), earlier outputs of HIPC’s working group</w:t>
      </w:r>
      <w:r w:rsidRPr="000E50F1">
        <w:rPr>
          <w:rFonts w:ascii="Times" w:hAnsi="Times"/>
          <w:b/>
        </w:rPr>
        <w:t>,</w:t>
      </w:r>
      <w:r w:rsidRPr="000E50F1">
        <w:rPr>
          <w:rFonts w:ascii="Times" w:hAnsi="Times"/>
        </w:rPr>
        <w:t xml:space="preserve"> and organized a large welcome fair for the Syrians on March 1, 2016 (HIPC-S1).</w:t>
      </w:r>
    </w:p>
    <w:p w14:paraId="7965A2AA" w14:textId="77777777" w:rsidR="002E2B8A" w:rsidRPr="000E50F1" w:rsidRDefault="002E2B8A" w:rsidP="003C6534">
      <w:pPr>
        <w:rPr>
          <w:rFonts w:ascii="Times" w:hAnsi="Times"/>
          <w:b/>
        </w:rPr>
      </w:pPr>
      <w:bookmarkStart w:id="28" w:name="_fq54uosb3x9t" w:colFirst="0" w:colLast="0"/>
      <w:bookmarkEnd w:id="28"/>
    </w:p>
    <w:p w14:paraId="629F5788" w14:textId="33E87C8A" w:rsidR="002E2B8A" w:rsidRPr="000E50F1" w:rsidRDefault="002E2B8A" w:rsidP="002E2B8A">
      <w:pPr>
        <w:rPr>
          <w:rFonts w:ascii="Times" w:hAnsi="Times"/>
          <w:b/>
        </w:rPr>
      </w:pPr>
      <w:r w:rsidRPr="000E50F1">
        <w:rPr>
          <w:rFonts w:ascii="Times" w:hAnsi="Times"/>
          <w:b/>
        </w:rPr>
        <w:t xml:space="preserve">Hamilton </w:t>
      </w:r>
      <w:r w:rsidR="00FD6699" w:rsidRPr="000E50F1">
        <w:rPr>
          <w:rFonts w:ascii="Times" w:hAnsi="Times"/>
          <w:b/>
        </w:rPr>
        <w:t>C</w:t>
      </w:r>
      <w:r w:rsidRPr="000E50F1">
        <w:rPr>
          <w:rFonts w:ascii="Times" w:hAnsi="Times"/>
          <w:b/>
        </w:rPr>
        <w:t xml:space="preserve">ase </w:t>
      </w:r>
      <w:r w:rsidR="00FD6699" w:rsidRPr="000E50F1">
        <w:rPr>
          <w:rFonts w:ascii="Times" w:hAnsi="Times"/>
          <w:b/>
        </w:rPr>
        <w:t>Fi</w:t>
      </w:r>
      <w:r w:rsidRPr="000E50F1">
        <w:rPr>
          <w:rFonts w:ascii="Times" w:hAnsi="Times"/>
          <w:b/>
        </w:rPr>
        <w:t>ndings</w:t>
      </w:r>
    </w:p>
    <w:p w14:paraId="15EDF558" w14:textId="77777777" w:rsidR="002E2B8A" w:rsidRPr="000E50F1" w:rsidRDefault="002E2B8A" w:rsidP="002E2B8A">
      <w:pPr>
        <w:rPr>
          <w:rFonts w:ascii="Times" w:hAnsi="Times"/>
        </w:rPr>
      </w:pPr>
      <w:r w:rsidRPr="000E50F1">
        <w:rPr>
          <w:rFonts w:ascii="Times" w:hAnsi="Times"/>
        </w:rPr>
        <w:t xml:space="preserve">This research identifies several key factors that influenced the scope of HIPC’s involvement in the SRRI. Despite Hamilton’s success in meeting the needs of the new arrivals and SPOs, these critiques from our participants were self-interrogating and reflected a perceived missed opportunity. For brevity, only select quotes are provided to support these findings. Attributions for these quotes use the following format: </w:t>
      </w:r>
      <w:r w:rsidRPr="000E50F1">
        <w:rPr>
          <w:rFonts w:ascii="Times" w:hAnsi="Times"/>
          <w:shd w:val="clear" w:color="auto" w:fill="FFFFFF"/>
        </w:rPr>
        <w:t xml:space="preserve">SPO-R1 to SPO-R4 for four service provider organization and their respective representatives; </w:t>
      </w:r>
      <w:r w:rsidRPr="000E50F1">
        <w:rPr>
          <w:rFonts w:ascii="Times" w:hAnsi="Times"/>
        </w:rPr>
        <w:t xml:space="preserve">RAP-R1 for RAP agency representative; MO-R1 for Mayor’s Office representative; HIPC-S1 and HIPC-S2 for HIPC staff; HIPC-M1 and HIPC-M2 for HIPC members; and CoH-S1 and CoH-S2 for City of Hamilton staff. </w:t>
      </w:r>
    </w:p>
    <w:p w14:paraId="75D6A6FA" w14:textId="1269792D" w:rsidR="002E2B8A" w:rsidRPr="000E50F1" w:rsidRDefault="002E2B8A" w:rsidP="002E2B8A">
      <w:pPr>
        <w:rPr>
          <w:rFonts w:ascii="Times" w:hAnsi="Times"/>
          <w:b/>
        </w:rPr>
      </w:pPr>
    </w:p>
    <w:p w14:paraId="735A7E0C" w14:textId="71A2963B" w:rsidR="00C5578A" w:rsidRPr="000E50F1" w:rsidRDefault="00C5578A" w:rsidP="002E2B8A">
      <w:pPr>
        <w:rPr>
          <w:rFonts w:ascii="Times" w:hAnsi="Times"/>
          <w:b/>
        </w:rPr>
      </w:pPr>
    </w:p>
    <w:p w14:paraId="056A49A7" w14:textId="77777777" w:rsidR="00C5578A" w:rsidRPr="000E50F1" w:rsidRDefault="00C5578A" w:rsidP="002E2B8A">
      <w:pPr>
        <w:rPr>
          <w:rFonts w:ascii="Times" w:hAnsi="Times"/>
          <w:b/>
        </w:rPr>
      </w:pPr>
    </w:p>
    <w:p w14:paraId="46D0B357" w14:textId="6E6937B6" w:rsidR="002E2B8A" w:rsidRPr="000E50F1" w:rsidRDefault="002E2B8A" w:rsidP="002E2B8A">
      <w:pPr>
        <w:rPr>
          <w:rFonts w:ascii="Times" w:hAnsi="Times"/>
          <w:b/>
          <w:bCs/>
          <w:i/>
          <w:iCs/>
        </w:rPr>
      </w:pPr>
      <w:r w:rsidRPr="000E50F1">
        <w:rPr>
          <w:rFonts w:ascii="Times" w:hAnsi="Times"/>
          <w:b/>
          <w:bCs/>
          <w:i/>
          <w:iCs/>
        </w:rPr>
        <w:lastRenderedPageBreak/>
        <w:t xml:space="preserve">The </w:t>
      </w:r>
      <w:r w:rsidR="00FD6699" w:rsidRPr="000E50F1">
        <w:rPr>
          <w:rFonts w:ascii="Times" w:hAnsi="Times"/>
          <w:b/>
          <w:bCs/>
          <w:i/>
          <w:iCs/>
        </w:rPr>
        <w:t>A</w:t>
      </w:r>
      <w:r w:rsidRPr="000E50F1">
        <w:rPr>
          <w:rFonts w:ascii="Times" w:hAnsi="Times"/>
          <w:b/>
          <w:bCs/>
          <w:i/>
          <w:iCs/>
        </w:rPr>
        <w:t xml:space="preserve">bsence of </w:t>
      </w:r>
      <w:r w:rsidR="00FD6699" w:rsidRPr="000E50F1">
        <w:rPr>
          <w:rFonts w:ascii="Times" w:hAnsi="Times"/>
          <w:b/>
          <w:bCs/>
          <w:i/>
          <w:iCs/>
        </w:rPr>
        <w:t>T</w:t>
      </w:r>
      <w:r w:rsidRPr="000E50F1">
        <w:rPr>
          <w:rFonts w:ascii="Times" w:hAnsi="Times"/>
          <w:b/>
          <w:bCs/>
          <w:i/>
          <w:iCs/>
        </w:rPr>
        <w:t>op-</w:t>
      </w:r>
      <w:r w:rsidR="00FD6699" w:rsidRPr="000E50F1">
        <w:rPr>
          <w:rFonts w:ascii="Times" w:hAnsi="Times"/>
          <w:b/>
          <w:bCs/>
          <w:i/>
          <w:iCs/>
        </w:rPr>
        <w:t>D</w:t>
      </w:r>
      <w:r w:rsidRPr="000E50F1">
        <w:rPr>
          <w:rFonts w:ascii="Times" w:hAnsi="Times"/>
          <w:b/>
          <w:bCs/>
          <w:i/>
          <w:iCs/>
        </w:rPr>
        <w:t xml:space="preserve">own </w:t>
      </w:r>
      <w:r w:rsidR="00FD6699" w:rsidRPr="000E50F1">
        <w:rPr>
          <w:rFonts w:ascii="Times" w:hAnsi="Times"/>
          <w:b/>
          <w:bCs/>
          <w:i/>
          <w:iCs/>
        </w:rPr>
        <w:t>C</w:t>
      </w:r>
      <w:r w:rsidRPr="000E50F1">
        <w:rPr>
          <w:rFonts w:ascii="Times" w:hAnsi="Times"/>
          <w:b/>
          <w:bCs/>
          <w:i/>
          <w:iCs/>
        </w:rPr>
        <w:t>ommunication</w:t>
      </w:r>
    </w:p>
    <w:p w14:paraId="0ACEE1EA" w14:textId="558B2E70" w:rsidR="00E33D36" w:rsidRPr="000E50F1" w:rsidRDefault="002E2B8A" w:rsidP="00E33D36">
      <w:pPr>
        <w:rPr>
          <w:rFonts w:ascii="Times" w:hAnsi="Times"/>
        </w:rPr>
      </w:pPr>
      <w:r w:rsidRPr="000E50F1">
        <w:rPr>
          <w:rFonts w:ascii="Times" w:hAnsi="Times"/>
        </w:rPr>
        <w:t>Following the federal election, many receiving communities were tasked with the resettling of thousands of Syrian newcomers within a few short months. With this underway, there were many uncertainties and questions on the ground. In Hamilton, speculation was rampant as to how many refugees (especially GARs) would be arriving, how soon, and how their immediate housing needs would be met.</w:t>
      </w:r>
    </w:p>
    <w:p w14:paraId="5781700E" w14:textId="77777777" w:rsidR="00FD6699" w:rsidRPr="000E50F1" w:rsidRDefault="00FD6699" w:rsidP="00E33D36">
      <w:pPr>
        <w:rPr>
          <w:rFonts w:ascii="Times" w:hAnsi="Times"/>
        </w:rPr>
      </w:pPr>
    </w:p>
    <w:p w14:paraId="05C7EE43" w14:textId="323733E7" w:rsidR="002E2B8A" w:rsidRPr="000E50F1" w:rsidRDefault="002E2B8A" w:rsidP="00E33D36">
      <w:pPr>
        <w:rPr>
          <w:rFonts w:ascii="Times" w:hAnsi="Times"/>
        </w:rPr>
      </w:pPr>
      <w:r w:rsidRPr="000E50F1">
        <w:rPr>
          <w:rFonts w:ascii="Times" w:hAnsi="Times"/>
        </w:rPr>
        <w:t>The climate at the time could be characterized as one of confusion and of concern that local leadership was in the dark when in it came to planning and preparedness:</w:t>
      </w:r>
    </w:p>
    <w:p w14:paraId="620C3EC1" w14:textId="77777777" w:rsidR="002E2B8A" w:rsidRPr="000E50F1" w:rsidRDefault="002E2B8A" w:rsidP="002E2B8A">
      <w:pPr>
        <w:ind w:left="850" w:right="850"/>
        <w:rPr>
          <w:rFonts w:ascii="Times" w:hAnsi="Times"/>
        </w:rPr>
      </w:pPr>
    </w:p>
    <w:p w14:paraId="0AD057B8" w14:textId="77777777" w:rsidR="002E2B8A" w:rsidRPr="000E50F1" w:rsidRDefault="002E2B8A" w:rsidP="002E2B8A">
      <w:pPr>
        <w:ind w:left="850" w:right="850"/>
        <w:rPr>
          <w:rFonts w:ascii="Times" w:hAnsi="Times"/>
        </w:rPr>
      </w:pPr>
      <w:r w:rsidRPr="000E50F1">
        <w:rPr>
          <w:rFonts w:ascii="Times" w:hAnsi="Times"/>
        </w:rPr>
        <w:t>The numbers were never given in a very formal way by anybody … Before Christmas we heard 200, around Christmas time it was 300 so we did have a quiet Christmas because we didn’t think that 300 was going to be a big number ... I think by March we began to hear that nearly 1,000 had already arrived. (SPO-R1)</w:t>
      </w:r>
    </w:p>
    <w:p w14:paraId="75C1ED01" w14:textId="77777777" w:rsidR="002E2B8A" w:rsidRPr="000E50F1" w:rsidRDefault="002E2B8A" w:rsidP="002E2B8A">
      <w:pPr>
        <w:ind w:left="850" w:right="850"/>
        <w:rPr>
          <w:rFonts w:ascii="Times" w:hAnsi="Times"/>
        </w:rPr>
      </w:pPr>
    </w:p>
    <w:p w14:paraId="2BAE444A" w14:textId="77777777" w:rsidR="002E2B8A" w:rsidRPr="000E50F1" w:rsidRDefault="002E2B8A" w:rsidP="002E2B8A">
      <w:pPr>
        <w:ind w:left="850" w:right="850"/>
        <w:rPr>
          <w:rFonts w:ascii="Times" w:hAnsi="Times"/>
        </w:rPr>
      </w:pPr>
      <w:r w:rsidRPr="000E50F1">
        <w:rPr>
          <w:rFonts w:ascii="Times" w:hAnsi="Times"/>
        </w:rPr>
        <w:t>We had a little bit of panic … They really didn’t prepare the municipalities or service providers … We were asked to look for big facilities that could hold people. And all that was chaos. The City had to trigger an emergency management kind of approach to it. We were meeting and a bunch of stuff was going on until it became clear afterward that [the RAP] has been funded by the federal government to actually lead. (CoH-S1)</w:t>
      </w:r>
    </w:p>
    <w:p w14:paraId="577E8759" w14:textId="77777777" w:rsidR="002E2B8A" w:rsidRPr="000E50F1" w:rsidRDefault="002E2B8A" w:rsidP="002E2B8A">
      <w:pPr>
        <w:ind w:left="850" w:right="850"/>
        <w:rPr>
          <w:rFonts w:ascii="Times" w:hAnsi="Times"/>
        </w:rPr>
      </w:pPr>
    </w:p>
    <w:p w14:paraId="2C1B5193" w14:textId="1BB49C1C" w:rsidR="002E2B8A" w:rsidRPr="000E50F1" w:rsidRDefault="002E2B8A" w:rsidP="002E2B8A">
      <w:pPr>
        <w:ind w:right="850"/>
        <w:rPr>
          <w:rFonts w:ascii="Times" w:hAnsi="Times"/>
        </w:rPr>
      </w:pPr>
      <w:r w:rsidRPr="000E50F1">
        <w:rPr>
          <w:rFonts w:ascii="Times" w:hAnsi="Times"/>
        </w:rPr>
        <w:t>As stated by a Mayor’s Office representative, “Other than that phone call [to the Mayor], there was a total blackout from the feds</w:t>
      </w:r>
      <w:r w:rsidR="00FD6699" w:rsidRPr="000E50F1">
        <w:rPr>
          <w:rFonts w:ascii="Times" w:hAnsi="Times"/>
        </w:rPr>
        <w:t>.</w:t>
      </w:r>
      <w:r w:rsidRPr="000E50F1">
        <w:rPr>
          <w:rFonts w:ascii="Times" w:hAnsi="Times"/>
        </w:rPr>
        <w:t>”</w:t>
      </w:r>
    </w:p>
    <w:p w14:paraId="3BAFE109" w14:textId="77777777" w:rsidR="00E33D36" w:rsidRPr="000E50F1" w:rsidRDefault="00E33D36" w:rsidP="00E33D36">
      <w:pPr>
        <w:ind w:right="4"/>
        <w:rPr>
          <w:rFonts w:ascii="Times" w:hAnsi="Times"/>
        </w:rPr>
      </w:pPr>
    </w:p>
    <w:p w14:paraId="5FF72BBA" w14:textId="7DBFA1D2" w:rsidR="002E2B8A" w:rsidRPr="000E50F1" w:rsidRDefault="002E2B8A" w:rsidP="00E33D36">
      <w:pPr>
        <w:ind w:right="4"/>
        <w:rPr>
          <w:rFonts w:ascii="Times" w:hAnsi="Times"/>
        </w:rPr>
      </w:pPr>
      <w:r w:rsidRPr="000E50F1">
        <w:rPr>
          <w:rFonts w:ascii="Times" w:hAnsi="Times"/>
        </w:rPr>
        <w:t>The lack of understanding on the part of some key leaders regarding the process of resettlement and the vital role of the RAP agency added to the confusion of what role should be played and by whom. Also, until the Syrian arrival, the new RAP agency had little experience handling such a rapid and large-scale arrival of refugees, particularly one that garnered such public attention and a surge in volunteer interest, which itself was a major challenge to facilitate (RAP-R1). Everyone was on a learning curve.</w:t>
      </w:r>
    </w:p>
    <w:p w14:paraId="28557017" w14:textId="77777777" w:rsidR="002E2B8A" w:rsidRPr="000E50F1" w:rsidRDefault="002E2B8A" w:rsidP="002E2B8A">
      <w:pPr>
        <w:ind w:right="855"/>
        <w:rPr>
          <w:rFonts w:ascii="Times" w:hAnsi="Times"/>
        </w:rPr>
      </w:pPr>
    </w:p>
    <w:p w14:paraId="70B9DCF2" w14:textId="6FBCCDE7" w:rsidR="002E2B8A" w:rsidRPr="000E50F1" w:rsidRDefault="002E2B8A" w:rsidP="002E2B8A">
      <w:pPr>
        <w:ind w:right="855"/>
        <w:rPr>
          <w:rFonts w:ascii="Times" w:hAnsi="Times"/>
          <w:b/>
          <w:bCs/>
          <w:i/>
          <w:iCs/>
        </w:rPr>
      </w:pPr>
      <w:r w:rsidRPr="000E50F1">
        <w:rPr>
          <w:rFonts w:ascii="Times" w:hAnsi="Times"/>
          <w:b/>
          <w:bCs/>
          <w:i/>
          <w:iCs/>
        </w:rPr>
        <w:t xml:space="preserve">Bound by IRCC </w:t>
      </w:r>
      <w:r w:rsidR="00FD6699" w:rsidRPr="000E50F1">
        <w:rPr>
          <w:rFonts w:ascii="Times" w:hAnsi="Times"/>
          <w:b/>
          <w:bCs/>
          <w:i/>
          <w:iCs/>
        </w:rPr>
        <w:t>D</w:t>
      </w:r>
      <w:r w:rsidRPr="000E50F1">
        <w:rPr>
          <w:rFonts w:ascii="Times" w:hAnsi="Times"/>
          <w:b/>
          <w:bCs/>
          <w:i/>
          <w:iCs/>
        </w:rPr>
        <w:t>irectives</w:t>
      </w:r>
    </w:p>
    <w:p w14:paraId="255E31C4" w14:textId="77777777" w:rsidR="002E2B8A" w:rsidRPr="000E50F1" w:rsidRDefault="002E2B8A" w:rsidP="002E2B8A">
      <w:pPr>
        <w:ind w:right="4"/>
        <w:rPr>
          <w:rFonts w:ascii="Times" w:hAnsi="Times"/>
        </w:rPr>
      </w:pPr>
      <w:r w:rsidRPr="000E50F1">
        <w:rPr>
          <w:rFonts w:ascii="Times" w:hAnsi="Times"/>
        </w:rPr>
        <w:t xml:space="preserve">Not only was communication from IRCC to the municipality and SPOs about the incoming refugee stream largely absent, but according to multiple key informants, the IRCC section responsible for LIPs was completely silent in directives regarding the SRRI. In this vacuum of information and direction, HIPC staff were hesitant to take action. Despite members of HIPC expressing concerns and urging </w:t>
      </w:r>
      <w:r w:rsidRPr="000E50F1">
        <w:rPr>
          <w:rFonts w:ascii="Times" w:hAnsi="Times"/>
        </w:rPr>
        <w:lastRenderedPageBreak/>
        <w:t>HIPC to take a leadership role, in the absence of direction from IRCC, HIPC staff felt bound by their funding contract that outlined specific deliverables and expectations—particularly as these emphasized the traditional supporting role of the LIPs and avoidance of any direct service provision. As such, and awaiting further direction, HIPC staff moved to support other initiatives taken within the City of Hamilton, namely by the Community and Emergency Services Department and the Mayor’s Office.</w:t>
      </w:r>
    </w:p>
    <w:p w14:paraId="212B2665" w14:textId="77777777" w:rsidR="00E33D36" w:rsidRPr="000E50F1" w:rsidRDefault="00E33D36" w:rsidP="00E33D36">
      <w:pPr>
        <w:ind w:right="4"/>
        <w:rPr>
          <w:rFonts w:ascii="Times" w:hAnsi="Times"/>
        </w:rPr>
      </w:pPr>
    </w:p>
    <w:p w14:paraId="29A7FDCD" w14:textId="6558F7E6" w:rsidR="002E2B8A" w:rsidRPr="000E50F1" w:rsidRDefault="002E2B8A" w:rsidP="00E33D36">
      <w:pPr>
        <w:ind w:right="4"/>
        <w:rPr>
          <w:rFonts w:ascii="Times" w:hAnsi="Times"/>
        </w:rPr>
      </w:pPr>
      <w:r w:rsidRPr="000E50F1">
        <w:rPr>
          <w:rFonts w:ascii="Times" w:hAnsi="Times"/>
        </w:rPr>
        <w:t>Incredibly, it was not until March 2016, after the flurry of resettlement activity had peaked, that IRCC issued any directive to the LIPs regarding their role in the SRRI:</w:t>
      </w:r>
    </w:p>
    <w:p w14:paraId="2CC073E5" w14:textId="77777777" w:rsidR="002E2B8A" w:rsidRPr="000E50F1" w:rsidRDefault="002E2B8A" w:rsidP="002E2B8A">
      <w:pPr>
        <w:ind w:left="567" w:right="855"/>
        <w:rPr>
          <w:rFonts w:ascii="Times" w:hAnsi="Times"/>
        </w:rPr>
      </w:pPr>
    </w:p>
    <w:p w14:paraId="6E2AEA89" w14:textId="77777777" w:rsidR="002E2B8A" w:rsidRPr="000E50F1" w:rsidRDefault="002E2B8A" w:rsidP="002E2B8A">
      <w:pPr>
        <w:ind w:left="850" w:right="850"/>
        <w:rPr>
          <w:rFonts w:ascii="Times" w:hAnsi="Times"/>
        </w:rPr>
      </w:pPr>
      <w:r w:rsidRPr="000E50F1">
        <w:rPr>
          <w:rFonts w:ascii="Times" w:hAnsi="Times"/>
        </w:rPr>
        <w:t>To be frank we didn’t receive anything from IRCC until March … we got a copy of a document saying that we were to help the municipality and our partners who specifically had to do with Syrian refugees. Up until that point, there were no instructions on what LIPs should do … and we didn’t do any specific action until we got that direction in March to do so. (HIPC-S1)</w:t>
      </w:r>
    </w:p>
    <w:p w14:paraId="5A94613C" w14:textId="77777777" w:rsidR="00E33D36" w:rsidRPr="000E50F1" w:rsidRDefault="00E33D36" w:rsidP="00E33D36">
      <w:pPr>
        <w:ind w:right="4"/>
        <w:rPr>
          <w:rFonts w:ascii="Times" w:hAnsi="Times"/>
        </w:rPr>
      </w:pPr>
    </w:p>
    <w:p w14:paraId="32B3203D" w14:textId="0F6CC37E" w:rsidR="002E2B8A" w:rsidRPr="000E50F1" w:rsidRDefault="002E2B8A" w:rsidP="00E33D36">
      <w:pPr>
        <w:ind w:right="4"/>
        <w:rPr>
          <w:rFonts w:ascii="Times" w:hAnsi="Times"/>
        </w:rPr>
      </w:pPr>
      <w:r w:rsidRPr="000E50F1">
        <w:rPr>
          <w:rFonts w:ascii="Times" w:hAnsi="Times"/>
        </w:rPr>
        <w:t>The hesitation of HIPC staff to act more visibly or to show more leadership around Syrian resettlement must be understood in the context of the relatively recent history of Hamilton’s settlement sector, namely SISO’s extraordinary mismanagement and sudden collapse in 2011. SISO had been funded primarily by IRCC, and its demise put a chill on all local relations with IRCC, including those of the newly formed HIPC. IRCC was viewed as acting more like a watchdog than a partner, and as such, local organizations that relied on IRCC funding were cautious when it came to initiating activities:</w:t>
      </w:r>
    </w:p>
    <w:p w14:paraId="1CE8A14C" w14:textId="77777777" w:rsidR="002E2B8A" w:rsidRPr="000E50F1" w:rsidRDefault="002E2B8A" w:rsidP="002E2B8A">
      <w:pPr>
        <w:ind w:right="855"/>
        <w:rPr>
          <w:rFonts w:ascii="Times" w:hAnsi="Times"/>
        </w:rPr>
      </w:pPr>
    </w:p>
    <w:p w14:paraId="2380B1FC" w14:textId="77777777" w:rsidR="002E2B8A" w:rsidRPr="000E50F1" w:rsidRDefault="002E2B8A" w:rsidP="002E2B8A">
      <w:pPr>
        <w:widowControl w:val="0"/>
        <w:ind w:left="850" w:right="850"/>
        <w:rPr>
          <w:rFonts w:ascii="Times" w:hAnsi="Times"/>
        </w:rPr>
      </w:pPr>
      <w:r w:rsidRPr="000E50F1">
        <w:rPr>
          <w:rFonts w:ascii="Times" w:hAnsi="Times"/>
        </w:rPr>
        <w:t>We’re all sitting around the table and I remember thinking ‘why aren’t we [HIPC] doing something?’ And it was almost like the committee didn’t take the initiative … I describe the previous ten years as the ten “dark years.” There was so much that we had to be worried about—the kind of the funding that we were receiving—and I don’t know if whether the leadership just didn’t think that they were going to take action. There just seemed to be confusion and I can’t explain it. (SPO-R4)</w:t>
      </w:r>
    </w:p>
    <w:p w14:paraId="1B38CE11" w14:textId="77777777" w:rsidR="002E2B8A" w:rsidRPr="000E50F1" w:rsidRDefault="002E2B8A" w:rsidP="002E2B8A">
      <w:pPr>
        <w:widowControl w:val="0"/>
        <w:tabs>
          <w:tab w:val="left" w:pos="5725"/>
        </w:tabs>
        <w:ind w:right="855"/>
        <w:rPr>
          <w:rFonts w:ascii="Times" w:hAnsi="Times"/>
        </w:rPr>
      </w:pPr>
      <w:r w:rsidRPr="000E50F1">
        <w:rPr>
          <w:rFonts w:ascii="Times" w:hAnsi="Times"/>
        </w:rPr>
        <w:tab/>
      </w:r>
    </w:p>
    <w:p w14:paraId="6D461A85" w14:textId="77777777" w:rsidR="002E2B8A" w:rsidRPr="000E50F1" w:rsidRDefault="002E2B8A" w:rsidP="00E33D36">
      <w:pPr>
        <w:widowControl w:val="0"/>
        <w:ind w:right="4"/>
        <w:rPr>
          <w:rFonts w:ascii="Times" w:hAnsi="Times"/>
        </w:rPr>
      </w:pPr>
      <w:r w:rsidRPr="000E50F1">
        <w:rPr>
          <w:rFonts w:ascii="Times" w:hAnsi="Times"/>
        </w:rPr>
        <w:t>Additionally, HIPC staff were relatively new to their roles and lacked a longstanding history within the settlement sector and experience dealing with IRCC. This may have contributed to their lack of confidence in straying from IRCC directives. In sum, in the particular local context in which the SRRI unfolded, the lack of direction from IRCC to engage left HIPC unwilling to assume a leadership role during this time.</w:t>
      </w:r>
    </w:p>
    <w:p w14:paraId="7A0C8B7B" w14:textId="77777777" w:rsidR="00FD6699" w:rsidRPr="000E50F1" w:rsidRDefault="00FD6699" w:rsidP="002E2B8A">
      <w:pPr>
        <w:rPr>
          <w:rFonts w:ascii="Times" w:hAnsi="Times"/>
          <w:b/>
          <w:bCs/>
          <w:i/>
          <w:iCs/>
        </w:rPr>
      </w:pPr>
    </w:p>
    <w:p w14:paraId="3C7E5CEA" w14:textId="6C6BAE59" w:rsidR="002E2B8A" w:rsidRPr="000E50F1" w:rsidRDefault="002E2B8A" w:rsidP="002E2B8A">
      <w:pPr>
        <w:rPr>
          <w:rFonts w:ascii="Times" w:hAnsi="Times"/>
          <w:b/>
          <w:bCs/>
          <w:i/>
          <w:iCs/>
        </w:rPr>
      </w:pPr>
      <w:r w:rsidRPr="000E50F1">
        <w:rPr>
          <w:rFonts w:ascii="Times" w:hAnsi="Times"/>
          <w:b/>
          <w:bCs/>
          <w:i/>
          <w:iCs/>
        </w:rPr>
        <w:lastRenderedPageBreak/>
        <w:t xml:space="preserve">Missing </w:t>
      </w:r>
      <w:r w:rsidR="00FD6699" w:rsidRPr="000E50F1">
        <w:rPr>
          <w:rFonts w:ascii="Times" w:hAnsi="Times"/>
          <w:b/>
          <w:bCs/>
          <w:i/>
          <w:iCs/>
        </w:rPr>
        <w:t>S</w:t>
      </w:r>
      <w:r w:rsidRPr="000E50F1">
        <w:rPr>
          <w:rFonts w:ascii="Times" w:hAnsi="Times"/>
          <w:b/>
          <w:bCs/>
          <w:i/>
          <w:iCs/>
        </w:rPr>
        <w:t xml:space="preserve">takeholders and </w:t>
      </w:r>
      <w:r w:rsidR="00FD6699" w:rsidRPr="000E50F1">
        <w:rPr>
          <w:rFonts w:ascii="Times" w:hAnsi="Times"/>
          <w:b/>
          <w:bCs/>
          <w:i/>
          <w:iCs/>
        </w:rPr>
        <w:t>P</w:t>
      </w:r>
      <w:r w:rsidRPr="000E50F1">
        <w:rPr>
          <w:rFonts w:ascii="Times" w:hAnsi="Times"/>
          <w:b/>
          <w:bCs/>
          <w:i/>
          <w:iCs/>
        </w:rPr>
        <w:t xml:space="preserve">arallel </w:t>
      </w:r>
      <w:r w:rsidR="00FD6699" w:rsidRPr="000E50F1">
        <w:rPr>
          <w:rFonts w:ascii="Times" w:hAnsi="Times"/>
          <w:b/>
          <w:bCs/>
          <w:i/>
          <w:iCs/>
        </w:rPr>
        <w:t>W</w:t>
      </w:r>
      <w:r w:rsidRPr="000E50F1">
        <w:rPr>
          <w:rFonts w:ascii="Times" w:hAnsi="Times"/>
          <w:b/>
          <w:bCs/>
          <w:i/>
          <w:iCs/>
        </w:rPr>
        <w:t>ork</w:t>
      </w:r>
    </w:p>
    <w:p w14:paraId="56BF45E9" w14:textId="77777777" w:rsidR="002E2B8A" w:rsidRPr="000E50F1" w:rsidRDefault="002E2B8A" w:rsidP="002E2B8A">
      <w:pPr>
        <w:rPr>
          <w:rFonts w:ascii="Times" w:hAnsi="Times"/>
        </w:rPr>
      </w:pPr>
      <w:r w:rsidRPr="000E50F1">
        <w:rPr>
          <w:rFonts w:ascii="Times" w:hAnsi="Times"/>
        </w:rPr>
        <w:t xml:space="preserve">The absence of key players made it difficult for HIPC to be </w:t>
      </w:r>
      <w:r w:rsidRPr="000E50F1">
        <w:rPr>
          <w:rFonts w:ascii="Times" w:hAnsi="Times"/>
          <w:i/>
        </w:rPr>
        <w:t>the</w:t>
      </w:r>
      <w:r w:rsidRPr="000E50F1">
        <w:rPr>
          <w:rFonts w:ascii="Times" w:hAnsi="Times"/>
        </w:rPr>
        <w:t xml:space="preserve"> table to which partners would look for information and planning. Given that IRCC funding went to the RAP agency and other resources were delivered to sponsorship agreement holders to assist with Privately Sponsored Refugees (PSRs), it was not intuitive that HIPC had become the lead.</w:t>
      </w:r>
    </w:p>
    <w:p w14:paraId="64E87A31" w14:textId="77777777" w:rsidR="00E33D36" w:rsidRPr="000E50F1" w:rsidRDefault="00E33D36" w:rsidP="00E33D36">
      <w:pPr>
        <w:rPr>
          <w:rFonts w:ascii="Times" w:hAnsi="Times"/>
        </w:rPr>
      </w:pPr>
    </w:p>
    <w:p w14:paraId="02E9F1BC" w14:textId="6C7F262D" w:rsidR="002E2B8A" w:rsidRPr="000E50F1" w:rsidRDefault="002E2B8A" w:rsidP="00E33D36">
      <w:pPr>
        <w:rPr>
          <w:rFonts w:ascii="Times" w:hAnsi="Times"/>
        </w:rPr>
      </w:pPr>
      <w:r w:rsidRPr="000E50F1">
        <w:rPr>
          <w:rFonts w:ascii="Times" w:hAnsi="Times"/>
        </w:rPr>
        <w:t>Initially, the City of Hamilton and the RAP agency each went about creating their own working tables to address the SRRI. Their efforts were propelled by the need for experts to identify and respond to resettlement needs of the Syrians. For the RAP agency, this was urgent and unprecedented as the organization had to assume responsibility for more than 1,000 new arrivals in just a few months, in addition to their annual intake.</w:t>
      </w:r>
    </w:p>
    <w:p w14:paraId="5504691C" w14:textId="77777777" w:rsidR="00E33D36" w:rsidRPr="000E50F1" w:rsidRDefault="00E33D36" w:rsidP="00E33D36">
      <w:pPr>
        <w:rPr>
          <w:rFonts w:ascii="Times" w:hAnsi="Times"/>
        </w:rPr>
      </w:pPr>
    </w:p>
    <w:p w14:paraId="63EB76F6" w14:textId="45A48EBB" w:rsidR="002E2B8A" w:rsidRPr="000E50F1" w:rsidRDefault="002E2B8A" w:rsidP="00E33D36">
      <w:pPr>
        <w:rPr>
          <w:rFonts w:ascii="Times" w:hAnsi="Times"/>
        </w:rPr>
      </w:pPr>
      <w:r w:rsidRPr="000E50F1">
        <w:rPr>
          <w:rFonts w:ascii="Times" w:hAnsi="Times"/>
        </w:rPr>
        <w:t>In the case of the City of Hamilton, there was an expectation from the broader community that the municipal government, and in particular the Mayor, be at the forefront of a local response. Given the high profile of the global Syrian crisis, there was a surge in public interest and commitment that had not been seen in recent years. In turn, there were high expectations of municipal leadership and pressure from the community for the Mayor to lead in the coordination of services and top-down intervention to mediate the working relationships between SPOs: “we saw an increase in the demand … there was a perceived need on the part of the public that the Mayor’s Office be front and centre on this issue … we felt the pressure from the public.” (MO-R1).</w:t>
      </w:r>
    </w:p>
    <w:p w14:paraId="51864BD0" w14:textId="77777777" w:rsidR="00E33D36" w:rsidRPr="000E50F1" w:rsidRDefault="00E33D36" w:rsidP="00E33D36">
      <w:pPr>
        <w:rPr>
          <w:rFonts w:ascii="Times" w:hAnsi="Times"/>
        </w:rPr>
      </w:pPr>
    </w:p>
    <w:p w14:paraId="5B3FA804" w14:textId="25413476" w:rsidR="002E2B8A" w:rsidRPr="000E50F1" w:rsidRDefault="002E2B8A" w:rsidP="00E33D36">
      <w:pPr>
        <w:rPr>
          <w:rFonts w:ascii="Times" w:hAnsi="Times"/>
        </w:rPr>
      </w:pPr>
      <w:r w:rsidRPr="000E50F1">
        <w:rPr>
          <w:rFonts w:ascii="Times" w:hAnsi="Times"/>
        </w:rPr>
        <w:t>The Mayor needed to respond in a collaborative way to a broad spectrum of stakeholders. Indeed, he was able to leverage support from high profile members of the community and organizations previously absent from settlement, including the Executive Director of the local RAP agency, the Associate Medical Officer of Health, the Muslim Association of Hamilton, and several McMaster University professors. In addition, due to the large number of PSRs and the creation of the Blended Visa Office-Referred program, it was also important to include the sponsorship agreement holders who managed those sponsorships and others who supported newcomers in the community.</w:t>
      </w:r>
    </w:p>
    <w:p w14:paraId="1FECF1FD" w14:textId="77777777" w:rsidR="00E33D36" w:rsidRPr="000E50F1" w:rsidRDefault="00E33D36" w:rsidP="00E33D36">
      <w:pPr>
        <w:rPr>
          <w:rFonts w:ascii="Times" w:hAnsi="Times"/>
        </w:rPr>
      </w:pPr>
    </w:p>
    <w:p w14:paraId="341D7A78" w14:textId="28174634" w:rsidR="002E2B8A" w:rsidRPr="000E50F1" w:rsidRDefault="002E2B8A" w:rsidP="00E33D36">
      <w:pPr>
        <w:rPr>
          <w:rFonts w:ascii="Times" w:hAnsi="Times"/>
        </w:rPr>
      </w:pPr>
      <w:r w:rsidRPr="000E50F1">
        <w:rPr>
          <w:rFonts w:ascii="Times" w:hAnsi="Times"/>
        </w:rPr>
        <w:t>The Mayor’s Advisory Committee had its final meeting on May 17, 2017, and the working groups were disbanded by mid-2017, with a final report being issued to Hamilton City Council in August 2017. As stated in the report to Council (HIPC 2017), the duties of the Advisory Committee would be rolled into HIPC, including implementation and tracking of the recommendations.</w:t>
      </w:r>
    </w:p>
    <w:p w14:paraId="3BEF2CF7" w14:textId="77777777" w:rsidR="002E2B8A" w:rsidRPr="000E50F1" w:rsidRDefault="002E2B8A" w:rsidP="002E2B8A">
      <w:pPr>
        <w:tabs>
          <w:tab w:val="left" w:pos="1651"/>
        </w:tabs>
        <w:rPr>
          <w:rFonts w:ascii="Times" w:hAnsi="Times"/>
          <w:b/>
        </w:rPr>
      </w:pPr>
    </w:p>
    <w:p w14:paraId="619CC9D5" w14:textId="253CB6C0" w:rsidR="002E2B8A" w:rsidRPr="000E50F1" w:rsidRDefault="002E2B8A" w:rsidP="002E2B8A">
      <w:pPr>
        <w:rPr>
          <w:rFonts w:ascii="Times" w:hAnsi="Times"/>
          <w:b/>
          <w:bCs/>
          <w:i/>
          <w:iCs/>
        </w:rPr>
      </w:pPr>
      <w:r w:rsidRPr="000E50F1">
        <w:rPr>
          <w:rFonts w:ascii="Times" w:hAnsi="Times"/>
          <w:b/>
          <w:bCs/>
          <w:i/>
          <w:iCs/>
        </w:rPr>
        <w:t xml:space="preserve">HIPC </w:t>
      </w:r>
      <w:r w:rsidR="00FD6699" w:rsidRPr="000E50F1">
        <w:rPr>
          <w:rFonts w:ascii="Times" w:hAnsi="Times"/>
          <w:b/>
          <w:bCs/>
          <w:i/>
          <w:iCs/>
        </w:rPr>
        <w:t>D</w:t>
      </w:r>
      <w:r w:rsidRPr="000E50F1">
        <w:rPr>
          <w:rFonts w:ascii="Times" w:hAnsi="Times"/>
          <w:b/>
          <w:bCs/>
          <w:i/>
          <w:iCs/>
        </w:rPr>
        <w:t xml:space="preserve">id </w:t>
      </w:r>
      <w:r w:rsidR="00FD6699" w:rsidRPr="000E50F1">
        <w:rPr>
          <w:rFonts w:ascii="Times" w:hAnsi="Times"/>
          <w:b/>
          <w:bCs/>
          <w:i/>
          <w:iCs/>
        </w:rPr>
        <w:t>N</w:t>
      </w:r>
      <w:r w:rsidRPr="000E50F1">
        <w:rPr>
          <w:rFonts w:ascii="Times" w:hAnsi="Times"/>
          <w:b/>
          <w:bCs/>
          <w:i/>
          <w:iCs/>
        </w:rPr>
        <w:t xml:space="preserve">ot </w:t>
      </w:r>
      <w:r w:rsidR="00FD6699" w:rsidRPr="000E50F1">
        <w:rPr>
          <w:rFonts w:ascii="Times" w:hAnsi="Times"/>
          <w:b/>
          <w:bCs/>
          <w:i/>
          <w:iCs/>
        </w:rPr>
        <w:t>R</w:t>
      </w:r>
      <w:r w:rsidRPr="000E50F1">
        <w:rPr>
          <w:rFonts w:ascii="Times" w:hAnsi="Times"/>
          <w:b/>
          <w:bCs/>
          <w:i/>
          <w:iCs/>
        </w:rPr>
        <w:t xml:space="preserve">espond </w:t>
      </w:r>
      <w:r w:rsidR="00FD6699" w:rsidRPr="000E50F1">
        <w:rPr>
          <w:rFonts w:ascii="Times" w:hAnsi="Times"/>
          <w:b/>
          <w:bCs/>
          <w:i/>
          <w:iCs/>
        </w:rPr>
        <w:t>V</w:t>
      </w:r>
      <w:r w:rsidRPr="000E50F1">
        <w:rPr>
          <w:rFonts w:ascii="Times" w:hAnsi="Times"/>
          <w:b/>
          <w:bCs/>
          <w:i/>
          <w:iCs/>
        </w:rPr>
        <w:t xml:space="preserve">ersus HIPC </w:t>
      </w:r>
      <w:r w:rsidR="00FD6699" w:rsidRPr="000E50F1">
        <w:rPr>
          <w:rFonts w:ascii="Times" w:hAnsi="Times"/>
          <w:b/>
          <w:bCs/>
          <w:i/>
          <w:iCs/>
        </w:rPr>
        <w:t>C</w:t>
      </w:r>
      <w:r w:rsidRPr="000E50F1">
        <w:rPr>
          <w:rFonts w:ascii="Times" w:hAnsi="Times"/>
          <w:b/>
          <w:bCs/>
          <w:i/>
          <w:iCs/>
        </w:rPr>
        <w:t xml:space="preserve">ould </w:t>
      </w:r>
      <w:r w:rsidR="00FD6699" w:rsidRPr="000E50F1">
        <w:rPr>
          <w:rFonts w:ascii="Times" w:hAnsi="Times"/>
          <w:b/>
          <w:bCs/>
          <w:i/>
          <w:iCs/>
        </w:rPr>
        <w:t>N</w:t>
      </w:r>
      <w:r w:rsidRPr="000E50F1">
        <w:rPr>
          <w:rFonts w:ascii="Times" w:hAnsi="Times"/>
          <w:b/>
          <w:bCs/>
          <w:i/>
          <w:iCs/>
        </w:rPr>
        <w:t xml:space="preserve">ot </w:t>
      </w:r>
      <w:r w:rsidR="00FD6699" w:rsidRPr="000E50F1">
        <w:rPr>
          <w:rFonts w:ascii="Times" w:hAnsi="Times"/>
          <w:b/>
          <w:bCs/>
          <w:i/>
          <w:iCs/>
        </w:rPr>
        <w:t>R</w:t>
      </w:r>
      <w:r w:rsidRPr="000E50F1">
        <w:rPr>
          <w:rFonts w:ascii="Times" w:hAnsi="Times"/>
          <w:b/>
          <w:bCs/>
          <w:i/>
          <w:iCs/>
        </w:rPr>
        <w:t>espond</w:t>
      </w:r>
    </w:p>
    <w:p w14:paraId="56F7E2DE" w14:textId="77777777" w:rsidR="002E2B8A" w:rsidRPr="000E50F1" w:rsidRDefault="002E2B8A" w:rsidP="002E2B8A">
      <w:pPr>
        <w:ind w:right="4"/>
        <w:rPr>
          <w:rFonts w:ascii="Times" w:hAnsi="Times"/>
        </w:rPr>
      </w:pPr>
      <w:r w:rsidRPr="000E50F1">
        <w:rPr>
          <w:rFonts w:ascii="Times" w:hAnsi="Times"/>
        </w:rPr>
        <w:t xml:space="preserve">There were two dominant discourses regarding the effectiveness of HIPC in Hamilton during the SRRI. On the one hand, there was a perception that HIPC </w:t>
      </w:r>
      <w:r w:rsidRPr="000E50F1">
        <w:rPr>
          <w:rFonts w:ascii="Times" w:hAnsi="Times"/>
        </w:rPr>
        <w:lastRenderedPageBreak/>
        <w:t>failed to respond: “I don’t recall HIPC to be a respondent to the crisis. As a matter of fact, I don’t think they responded.” (SPO-R1). Another interviewee put it this way, “We [HIPC] weren’t asked to participate, and you could say well, did we have a voice? Could we not have gone to the City Council or to City Mayor and say: you have this organization.” (SPO-R3). Additionally, one participant suggested:</w:t>
      </w:r>
    </w:p>
    <w:p w14:paraId="7EC74D77" w14:textId="77777777" w:rsidR="002E2B8A" w:rsidRPr="000E50F1" w:rsidRDefault="002E2B8A" w:rsidP="002E2B8A">
      <w:pPr>
        <w:widowControl w:val="0"/>
        <w:tabs>
          <w:tab w:val="left" w:pos="6192"/>
          <w:tab w:val="left" w:pos="7200"/>
        </w:tabs>
        <w:ind w:left="567" w:right="571"/>
        <w:rPr>
          <w:rFonts w:ascii="Times" w:hAnsi="Times"/>
        </w:rPr>
      </w:pPr>
      <w:r w:rsidRPr="000E50F1">
        <w:rPr>
          <w:rFonts w:ascii="Times" w:hAnsi="Times"/>
        </w:rPr>
        <w:tab/>
      </w:r>
      <w:r w:rsidRPr="000E50F1">
        <w:rPr>
          <w:rFonts w:ascii="Times" w:hAnsi="Times"/>
        </w:rPr>
        <w:tab/>
      </w:r>
    </w:p>
    <w:p w14:paraId="3EF3C0DF" w14:textId="77777777" w:rsidR="002E2B8A" w:rsidRPr="000E50F1" w:rsidRDefault="002E2B8A" w:rsidP="002E2B8A">
      <w:pPr>
        <w:widowControl w:val="0"/>
        <w:ind w:left="850" w:right="850"/>
        <w:rPr>
          <w:rFonts w:ascii="Times" w:hAnsi="Times"/>
        </w:rPr>
      </w:pPr>
      <w:r w:rsidRPr="000E50F1">
        <w:rPr>
          <w:rFonts w:ascii="Times" w:hAnsi="Times"/>
        </w:rPr>
        <w:t>HIPC didn’t have enough profile with the community or the community didn’t understand that HIPC was there … And I think there was a couple of things that led, or contributed, to [their lack of response]. One was that, we had very little participation from City Council, we had none basically … we spent, I think months not knowing who the sponsor was [from senior City staff]. (HIPC-M1)</w:t>
      </w:r>
    </w:p>
    <w:p w14:paraId="501E8E7A" w14:textId="77777777" w:rsidR="00E33D36" w:rsidRPr="000E50F1" w:rsidRDefault="00E33D36" w:rsidP="00E33D36">
      <w:pPr>
        <w:tabs>
          <w:tab w:val="left" w:pos="1651"/>
        </w:tabs>
        <w:ind w:right="4"/>
        <w:rPr>
          <w:rFonts w:ascii="Times" w:hAnsi="Times"/>
        </w:rPr>
      </w:pPr>
    </w:p>
    <w:p w14:paraId="7AB7768E" w14:textId="600C3A1F" w:rsidR="002E2B8A" w:rsidRPr="000E50F1" w:rsidRDefault="002E2B8A" w:rsidP="00E33D36">
      <w:pPr>
        <w:tabs>
          <w:tab w:val="left" w:pos="1651"/>
        </w:tabs>
        <w:ind w:right="4"/>
        <w:rPr>
          <w:rFonts w:ascii="Times" w:hAnsi="Times"/>
        </w:rPr>
      </w:pPr>
      <w:r w:rsidRPr="000E50F1">
        <w:rPr>
          <w:rFonts w:ascii="Times" w:hAnsi="Times"/>
        </w:rPr>
        <w:t>These reflections speak to frustration around HIPC’s limited profile among City leaders, including the Mayor, his staff, City Council, and senior City staff. It was felt that many were not even aware of HIPC, much less its potential role in refugee resettlement. This was seen as a failure of HIPC’s own leadership.</w:t>
      </w:r>
    </w:p>
    <w:p w14:paraId="7FBA321C" w14:textId="77777777" w:rsidR="00E33D36" w:rsidRPr="000E50F1" w:rsidRDefault="00E33D36" w:rsidP="00E33D36">
      <w:pPr>
        <w:tabs>
          <w:tab w:val="left" w:pos="1651"/>
        </w:tabs>
        <w:ind w:right="4"/>
        <w:rPr>
          <w:rFonts w:ascii="Times" w:hAnsi="Times"/>
        </w:rPr>
      </w:pPr>
    </w:p>
    <w:p w14:paraId="6B4C1AD9" w14:textId="3F4CC8A5" w:rsidR="002E2B8A" w:rsidRPr="000E50F1" w:rsidRDefault="002E2B8A" w:rsidP="00E33D36">
      <w:pPr>
        <w:tabs>
          <w:tab w:val="left" w:pos="1651"/>
        </w:tabs>
        <w:ind w:right="4"/>
        <w:rPr>
          <w:rFonts w:ascii="Times" w:hAnsi="Times"/>
        </w:rPr>
      </w:pPr>
      <w:r w:rsidRPr="000E50F1">
        <w:rPr>
          <w:rFonts w:ascii="Times" w:hAnsi="Times"/>
        </w:rPr>
        <w:t>At a deeper level, particularly among those working closely with and within HIPC, there was an understanding that HIPC was unable to respond, even if staff and leadership had wanted to. In this view, HIPC was constrained in responding because refugee resettlement was outside its purview and because its capacity was limited: “Some LIPs were not sure. Should we be doing that? Will that be funded? ... because when you look at the policy of the government, it doesn’t say anything explicitly about refugee resettlement” (HIPC-S2). Additionally, a Mayor’s Office representative explained, “There is a contractual relationship between IRCC and HIPC that wasn’t as flexible as it needed it to be in the instance of this influx … I mean ultimately HIPC wasn’t designed for refugees. It was designed for immigrants. So in fairness to HIPC or any LIP, technically they weren’t set up for refugee work.”</w:t>
      </w:r>
    </w:p>
    <w:p w14:paraId="0DECC916" w14:textId="77777777" w:rsidR="00E33D36" w:rsidRPr="000E50F1" w:rsidRDefault="00E33D36" w:rsidP="00E33D36">
      <w:pPr>
        <w:rPr>
          <w:rFonts w:ascii="Times" w:hAnsi="Times"/>
        </w:rPr>
      </w:pPr>
    </w:p>
    <w:p w14:paraId="61AEDB02" w14:textId="25216A03" w:rsidR="002E2B8A" w:rsidRPr="000E50F1" w:rsidRDefault="002E2B8A" w:rsidP="00E33D36">
      <w:pPr>
        <w:rPr>
          <w:rFonts w:ascii="Times" w:hAnsi="Times"/>
        </w:rPr>
      </w:pPr>
      <w:r w:rsidRPr="000E50F1">
        <w:rPr>
          <w:rFonts w:ascii="Times" w:hAnsi="Times"/>
        </w:rPr>
        <w:t>In sum, the inability of the council to respond resulted in the disappointment of many HIPC members who felt that it should have taken more of a leading role during the SRRI. Those who were deeply enmeshed in the day-to-day activities of HIPC and those at the forefront of resettlement work point to a series of linked factors that explain why HIPC could not take the lead—including perceived aspects of HIPC’s contract, mandate, and limited capacity. The critical absence of key stakeholders all contributed to the course undertaken by HIPC.</w:t>
      </w:r>
    </w:p>
    <w:p w14:paraId="72A14DC3" w14:textId="77777777" w:rsidR="001365EE" w:rsidRPr="000E50F1" w:rsidRDefault="001365EE" w:rsidP="002E2B8A">
      <w:pPr>
        <w:ind w:right="4"/>
        <w:rPr>
          <w:rFonts w:ascii="Times" w:hAnsi="Times"/>
          <w:b/>
          <w:bCs/>
          <w:i/>
          <w:iCs/>
        </w:rPr>
      </w:pPr>
    </w:p>
    <w:p w14:paraId="14CB54D6" w14:textId="173F4E08" w:rsidR="002E2B8A" w:rsidRPr="000E50F1" w:rsidRDefault="002E2B8A" w:rsidP="002E2B8A">
      <w:pPr>
        <w:ind w:right="4"/>
        <w:rPr>
          <w:rFonts w:ascii="Times" w:hAnsi="Times"/>
          <w:b/>
          <w:bCs/>
          <w:i/>
          <w:iCs/>
        </w:rPr>
      </w:pPr>
      <w:r w:rsidRPr="000E50F1">
        <w:rPr>
          <w:rFonts w:ascii="Times" w:hAnsi="Times"/>
          <w:b/>
          <w:bCs/>
          <w:i/>
          <w:iCs/>
        </w:rPr>
        <w:t xml:space="preserve">Conflicting </w:t>
      </w:r>
      <w:r w:rsidR="00FD6699" w:rsidRPr="000E50F1">
        <w:rPr>
          <w:rFonts w:ascii="Times" w:hAnsi="Times"/>
          <w:b/>
          <w:bCs/>
          <w:i/>
          <w:iCs/>
        </w:rPr>
        <w:t>I</w:t>
      </w:r>
      <w:r w:rsidRPr="000E50F1">
        <w:rPr>
          <w:rFonts w:ascii="Times" w:hAnsi="Times"/>
          <w:b/>
          <w:bCs/>
          <w:i/>
          <w:iCs/>
        </w:rPr>
        <w:t>nterpretations of the LIP</w:t>
      </w:r>
    </w:p>
    <w:p w14:paraId="5782483E" w14:textId="77777777" w:rsidR="002E2B8A" w:rsidRPr="000E50F1" w:rsidRDefault="002E2B8A" w:rsidP="002E2B8A">
      <w:pPr>
        <w:ind w:right="4"/>
        <w:rPr>
          <w:rFonts w:ascii="Times" w:hAnsi="Times"/>
        </w:rPr>
      </w:pPr>
      <w:r w:rsidRPr="000E50F1">
        <w:rPr>
          <w:rFonts w:ascii="Times" w:hAnsi="Times"/>
        </w:rPr>
        <w:t xml:space="preserve">The debate on the role and capacity of HIPC reflects the complexity and nuanced meaning of LIP’s fundamental identity—does the existence of the partnerships </w:t>
      </w:r>
      <w:r w:rsidRPr="000E50F1">
        <w:rPr>
          <w:rFonts w:ascii="Times" w:hAnsi="Times"/>
        </w:rPr>
        <w:lastRenderedPageBreak/>
        <w:t>embody an enacted federal initiative or does it embody the co-created community vision framed within the values of a collective impact? These tensions have been debated and illuminated and have been part of HIPC’s discourse throughout its existence:</w:t>
      </w:r>
    </w:p>
    <w:p w14:paraId="3C1A5CB3" w14:textId="77777777" w:rsidR="002E2B8A" w:rsidRPr="000E50F1" w:rsidRDefault="002E2B8A" w:rsidP="002E2B8A">
      <w:pPr>
        <w:rPr>
          <w:rFonts w:ascii="Times" w:hAnsi="Times"/>
        </w:rPr>
      </w:pPr>
    </w:p>
    <w:p w14:paraId="5A630143" w14:textId="77777777" w:rsidR="002E2B8A" w:rsidRPr="000E50F1" w:rsidRDefault="002E2B8A" w:rsidP="002E2B8A">
      <w:pPr>
        <w:ind w:left="850" w:right="850"/>
        <w:rPr>
          <w:rFonts w:ascii="Times" w:hAnsi="Times"/>
        </w:rPr>
      </w:pPr>
      <w:r w:rsidRPr="000E50F1">
        <w:rPr>
          <w:rFonts w:ascii="Times" w:hAnsi="Times"/>
        </w:rPr>
        <w:t>It’s still very much a community vision … CIC had a particular goal in mind—they had set some parameters around what HIPC would be or what they would be looking for. What was interesting was how adamant the participants were … this had to be something more than what CIC wanted—it had to be a community vision and community-driven direction. Even though CIC would say … we’re only concerned about this piece, the community said, “no, we want to look at the bigger picture.” … I think it helped gel the group a little bit … and we all see [HIPC] playing a much bigger role than just what CIC wanted. And CIC … didn’t really participate in the process significantly, other than to make sure that we were doing the things that they were looking for. (HIPC-M1)</w:t>
      </w:r>
    </w:p>
    <w:p w14:paraId="2334570F" w14:textId="77777777" w:rsidR="002E2B8A" w:rsidRPr="000E50F1" w:rsidRDefault="002E2B8A" w:rsidP="002E2B8A">
      <w:pPr>
        <w:rPr>
          <w:rFonts w:ascii="Times" w:hAnsi="Times"/>
        </w:rPr>
      </w:pPr>
      <w:r w:rsidRPr="000E50F1">
        <w:rPr>
          <w:rFonts w:ascii="Times" w:hAnsi="Times"/>
        </w:rPr>
        <w:t> </w:t>
      </w:r>
    </w:p>
    <w:p w14:paraId="29FCAD9F" w14:textId="4FEB1C38" w:rsidR="002E2B8A" w:rsidRPr="000E50F1" w:rsidRDefault="002E2B8A" w:rsidP="00E33D36">
      <w:pPr>
        <w:rPr>
          <w:rFonts w:ascii="Times" w:hAnsi="Times"/>
        </w:rPr>
      </w:pPr>
      <w:r w:rsidRPr="000E50F1">
        <w:rPr>
          <w:rFonts w:ascii="Times" w:hAnsi="Times"/>
        </w:rPr>
        <w:t>Significant disagreement and uncertainty remain about the role and purpose of the LIP. For those who saw the LIP as a quasi-government body, the LIP was not given direction to lead, coordinate, develop strategy, or function in an advisory capacity to share in the local responsibility. For those who saw the LIP as a community-driven table, Hamilton fell short on the opportunity to bring partners together to meet a challenge; “If we missed the boat on anything in Hamilton, we missed the boat on the community building aspect of this.”</w:t>
      </w:r>
    </w:p>
    <w:p w14:paraId="7D13ECB4" w14:textId="77777777" w:rsidR="002E2B8A" w:rsidRPr="000E50F1" w:rsidRDefault="002E2B8A" w:rsidP="002E2B8A">
      <w:pPr>
        <w:rPr>
          <w:rFonts w:ascii="Times" w:hAnsi="Times"/>
        </w:rPr>
      </w:pPr>
    </w:p>
    <w:p w14:paraId="006CAF01" w14:textId="13A1D95B" w:rsidR="002E2B8A" w:rsidRPr="000E50F1" w:rsidRDefault="002E2B8A" w:rsidP="002E2B8A">
      <w:pPr>
        <w:rPr>
          <w:rFonts w:ascii="Times" w:hAnsi="Times"/>
          <w:b/>
          <w:bCs/>
          <w:i/>
          <w:iCs/>
        </w:rPr>
      </w:pPr>
      <w:r w:rsidRPr="000E50F1">
        <w:rPr>
          <w:rFonts w:ascii="Times" w:hAnsi="Times"/>
          <w:b/>
          <w:bCs/>
          <w:i/>
          <w:iCs/>
        </w:rPr>
        <w:t xml:space="preserve">HIPC’s </w:t>
      </w:r>
      <w:r w:rsidR="00FD6699" w:rsidRPr="000E50F1">
        <w:rPr>
          <w:rFonts w:ascii="Times" w:hAnsi="Times"/>
          <w:b/>
          <w:bCs/>
          <w:i/>
          <w:iCs/>
        </w:rPr>
        <w:t>A</w:t>
      </w:r>
      <w:r w:rsidRPr="000E50F1">
        <w:rPr>
          <w:rFonts w:ascii="Times" w:hAnsi="Times"/>
          <w:b/>
          <w:bCs/>
          <w:i/>
          <w:iCs/>
        </w:rPr>
        <w:t xml:space="preserve">dded </w:t>
      </w:r>
      <w:r w:rsidR="00FD6699" w:rsidRPr="000E50F1">
        <w:rPr>
          <w:rFonts w:ascii="Times" w:hAnsi="Times"/>
          <w:b/>
          <w:bCs/>
          <w:i/>
          <w:iCs/>
        </w:rPr>
        <w:t>V</w:t>
      </w:r>
      <w:r w:rsidRPr="000E50F1">
        <w:rPr>
          <w:rFonts w:ascii="Times" w:hAnsi="Times"/>
          <w:b/>
          <w:bCs/>
          <w:i/>
          <w:iCs/>
        </w:rPr>
        <w:t>alue: Collaboration</w:t>
      </w:r>
      <w:r w:rsidR="00FD6699" w:rsidRPr="000E50F1">
        <w:rPr>
          <w:rFonts w:ascii="Times" w:hAnsi="Times"/>
          <w:b/>
          <w:bCs/>
          <w:i/>
          <w:iCs/>
        </w:rPr>
        <w:t xml:space="preserve"> A</w:t>
      </w:r>
      <w:r w:rsidRPr="000E50F1">
        <w:rPr>
          <w:rFonts w:ascii="Times" w:hAnsi="Times"/>
          <w:b/>
          <w:bCs/>
          <w:i/>
          <w:iCs/>
        </w:rPr>
        <w:t xml:space="preserve">midst </w:t>
      </w:r>
      <w:r w:rsidR="00FD6699" w:rsidRPr="000E50F1">
        <w:rPr>
          <w:rFonts w:ascii="Times" w:hAnsi="Times"/>
          <w:b/>
          <w:bCs/>
          <w:i/>
          <w:iCs/>
        </w:rPr>
        <w:t>C</w:t>
      </w:r>
      <w:r w:rsidRPr="000E50F1">
        <w:rPr>
          <w:rFonts w:ascii="Times" w:hAnsi="Times"/>
          <w:b/>
          <w:bCs/>
          <w:i/>
          <w:iCs/>
        </w:rPr>
        <w:t>ompetition</w:t>
      </w:r>
    </w:p>
    <w:p w14:paraId="64826558" w14:textId="77777777" w:rsidR="002E2B8A" w:rsidRPr="000E50F1" w:rsidRDefault="002E2B8A" w:rsidP="002E2B8A">
      <w:pPr>
        <w:rPr>
          <w:rFonts w:ascii="Times" w:hAnsi="Times"/>
        </w:rPr>
      </w:pPr>
      <w:r w:rsidRPr="000E50F1">
        <w:rPr>
          <w:rFonts w:ascii="Times" w:hAnsi="Times"/>
        </w:rPr>
        <w:t>Although HIPC did not take the lead in the SRRI, it undoubtedly brought value to the process. Service agencies, institutions, and individuals were able to leverage the relationship that HIPC had built by establishing the culture of collective and collaborative work in the settlement sector. Following the demise of SISO, HIPC’s larger “community vision” and “community-driven direction,” coupled with the work done by its members, created a level of trust that was needed to sustain the relationships between competing partners. These sentiments were echoed by many who alluded to the ease of connection between service agencies, institutions, and individuals over the years and during the SRRI:</w:t>
      </w:r>
    </w:p>
    <w:p w14:paraId="7976D2B5" w14:textId="77777777" w:rsidR="002E2B8A" w:rsidRPr="000E50F1" w:rsidRDefault="002E2B8A" w:rsidP="002E2B8A">
      <w:pPr>
        <w:ind w:right="571"/>
        <w:rPr>
          <w:rFonts w:ascii="Times" w:hAnsi="Times"/>
          <w:i/>
        </w:rPr>
      </w:pPr>
    </w:p>
    <w:p w14:paraId="5E7E6B14" w14:textId="77777777" w:rsidR="002E2B8A" w:rsidRPr="000E50F1" w:rsidRDefault="002E2B8A" w:rsidP="002E2B8A">
      <w:pPr>
        <w:ind w:left="850" w:right="850"/>
        <w:rPr>
          <w:rFonts w:ascii="Times" w:hAnsi="Times"/>
        </w:rPr>
      </w:pPr>
      <w:r w:rsidRPr="000E50F1">
        <w:rPr>
          <w:rFonts w:ascii="Times" w:hAnsi="Times"/>
        </w:rPr>
        <w:t xml:space="preserve">… because we had an ongoing relationship for years and years … we did develop an important trusting relationship, that when we were tackled with the volume then … I think that we were able to respond in the best way that we could because we already had those relationships. So I can call up [the RAP agency] and say, “we can do that.” … it helped us strengthen </w:t>
      </w:r>
      <w:r w:rsidRPr="000E50F1">
        <w:rPr>
          <w:rFonts w:ascii="Times" w:hAnsi="Times"/>
        </w:rPr>
        <w:lastRenderedPageBreak/>
        <w:t>over the years … SISO was pretty nasty to a lot of organizations in the community and so we worked hard to rebuild that, and that was through HIPC. (SPO-R4)</w:t>
      </w:r>
    </w:p>
    <w:p w14:paraId="32DECBE3" w14:textId="77777777" w:rsidR="002E2B8A" w:rsidRPr="000E50F1" w:rsidRDefault="002E2B8A" w:rsidP="002E2B8A">
      <w:pPr>
        <w:ind w:left="850" w:right="850"/>
        <w:rPr>
          <w:rFonts w:ascii="Times" w:hAnsi="Times"/>
          <w:i/>
        </w:rPr>
      </w:pPr>
    </w:p>
    <w:p w14:paraId="28409357" w14:textId="77777777" w:rsidR="002E2B8A" w:rsidRPr="000E50F1" w:rsidRDefault="002E2B8A" w:rsidP="002E2B8A">
      <w:pPr>
        <w:ind w:right="4"/>
        <w:rPr>
          <w:rFonts w:ascii="Times" w:hAnsi="Times"/>
        </w:rPr>
      </w:pPr>
      <w:r w:rsidRPr="000E50F1">
        <w:rPr>
          <w:rFonts w:ascii="Times" w:hAnsi="Times"/>
        </w:rPr>
        <w:t>Despite these strides, the nature of IRCC’s funding to the settlement sector reinforces competition:</w:t>
      </w:r>
    </w:p>
    <w:p w14:paraId="50613C35" w14:textId="77777777" w:rsidR="002E2B8A" w:rsidRPr="000E50F1" w:rsidRDefault="002E2B8A" w:rsidP="002E2B8A">
      <w:pPr>
        <w:ind w:right="850"/>
        <w:rPr>
          <w:rFonts w:ascii="Times" w:hAnsi="Times"/>
          <w:i/>
        </w:rPr>
      </w:pPr>
    </w:p>
    <w:p w14:paraId="3D4FA1A9" w14:textId="77777777" w:rsidR="002E2B8A" w:rsidRPr="000E50F1" w:rsidRDefault="002E2B8A" w:rsidP="002E2B8A">
      <w:pPr>
        <w:ind w:left="850" w:right="850"/>
        <w:rPr>
          <w:rFonts w:ascii="Times" w:hAnsi="Times"/>
        </w:rPr>
      </w:pPr>
      <w:r w:rsidRPr="000E50F1">
        <w:rPr>
          <w:rFonts w:ascii="Times" w:hAnsi="Times"/>
        </w:rPr>
        <w:t>There is a lot of good things in meeting each other on conversations. There is value, tons of value. I think I have more friends in this sector now that I’ve ever had that I can call on. Acknowledging that is always competition, right? Because there is always competition because I can’t let my business to be out of money. (SPO-R1)</w:t>
      </w:r>
    </w:p>
    <w:p w14:paraId="32F99328" w14:textId="77777777" w:rsidR="002E2B8A" w:rsidRPr="000E50F1" w:rsidRDefault="002E2B8A" w:rsidP="002E2B8A">
      <w:pPr>
        <w:ind w:left="850" w:right="850"/>
        <w:rPr>
          <w:rFonts w:ascii="Times" w:hAnsi="Times"/>
        </w:rPr>
      </w:pPr>
    </w:p>
    <w:p w14:paraId="2B8F394D" w14:textId="77777777" w:rsidR="002E2B8A" w:rsidRPr="000E50F1" w:rsidRDefault="002E2B8A" w:rsidP="002E2B8A">
      <w:pPr>
        <w:ind w:left="850" w:right="850"/>
        <w:rPr>
          <w:rFonts w:ascii="Times" w:hAnsi="Times"/>
        </w:rPr>
      </w:pPr>
      <w:r w:rsidRPr="000E50F1">
        <w:rPr>
          <w:rFonts w:ascii="Times" w:hAnsi="Times"/>
        </w:rPr>
        <w:t>HIPC has really facilitated that dialogue between agencies … they have had some successes … there is still a level of competition at the tables … We haven’t really gotten to a point of a true collaborative nature … For years the contracts go on the open market and everybody can reapply for them … so it forces people to stay competitive. (RAP-R1)</w:t>
      </w:r>
    </w:p>
    <w:p w14:paraId="65A96238" w14:textId="77777777" w:rsidR="00E33D36" w:rsidRPr="000E50F1" w:rsidRDefault="00E33D36" w:rsidP="00E33D36">
      <w:pPr>
        <w:ind w:right="4"/>
        <w:rPr>
          <w:rFonts w:ascii="Times" w:hAnsi="Times"/>
        </w:rPr>
      </w:pPr>
    </w:p>
    <w:p w14:paraId="09AFF053" w14:textId="5260C66F" w:rsidR="002E2B8A" w:rsidRPr="000E50F1" w:rsidRDefault="002E2B8A" w:rsidP="00E33D36">
      <w:pPr>
        <w:ind w:right="4"/>
        <w:rPr>
          <w:rFonts w:ascii="Times" w:hAnsi="Times"/>
        </w:rPr>
      </w:pPr>
      <w:r w:rsidRPr="000E50F1">
        <w:rPr>
          <w:rFonts w:ascii="Times" w:hAnsi="Times"/>
        </w:rPr>
        <w:t>Working within the system-bred competition among service providers, HIPC leadership was effective in its supporting role. The longer-term value of this work was evidenced when the RAP agency reconvened its membership at HIPC and, at the conclusion of SRRI, assumed a leadership role at the council.</w:t>
      </w:r>
    </w:p>
    <w:p w14:paraId="3D421F5E" w14:textId="77777777" w:rsidR="002E2B8A" w:rsidRPr="000E50F1" w:rsidRDefault="002E2B8A" w:rsidP="002E2B8A">
      <w:pPr>
        <w:ind w:right="4"/>
        <w:rPr>
          <w:rFonts w:ascii="Times" w:hAnsi="Times"/>
          <w:b/>
        </w:rPr>
      </w:pPr>
    </w:p>
    <w:p w14:paraId="7F179C02" w14:textId="2BC76C8C" w:rsidR="002E2B8A" w:rsidRPr="000E50F1" w:rsidRDefault="002E2B8A" w:rsidP="002E2B8A">
      <w:pPr>
        <w:ind w:right="4"/>
        <w:rPr>
          <w:rFonts w:ascii="Times" w:hAnsi="Times"/>
          <w:b/>
        </w:rPr>
      </w:pPr>
      <w:r w:rsidRPr="000E50F1">
        <w:rPr>
          <w:rFonts w:ascii="Times" w:hAnsi="Times"/>
          <w:b/>
        </w:rPr>
        <w:t xml:space="preserve">Discussion and </w:t>
      </w:r>
      <w:r w:rsidR="00FD6699" w:rsidRPr="000E50F1">
        <w:rPr>
          <w:rFonts w:ascii="Times" w:hAnsi="Times"/>
          <w:b/>
        </w:rPr>
        <w:t>C</w:t>
      </w:r>
      <w:r w:rsidRPr="000E50F1">
        <w:rPr>
          <w:rFonts w:ascii="Times" w:hAnsi="Times"/>
          <w:b/>
        </w:rPr>
        <w:t>onclusion</w:t>
      </w:r>
    </w:p>
    <w:p w14:paraId="47C8FA6D" w14:textId="77777777" w:rsidR="002E2B8A" w:rsidRPr="000E50F1" w:rsidRDefault="002E2B8A" w:rsidP="002E2B8A">
      <w:pPr>
        <w:rPr>
          <w:rFonts w:ascii="Times" w:hAnsi="Times"/>
        </w:rPr>
      </w:pPr>
      <w:r w:rsidRPr="000E50F1">
        <w:rPr>
          <w:rFonts w:ascii="Times" w:hAnsi="Times"/>
        </w:rPr>
        <w:t xml:space="preserve">The demand for local leadership during SRRI points to the context of immigration as restricted by the </w:t>
      </w:r>
      <w:r w:rsidRPr="000E50F1">
        <w:rPr>
          <w:rFonts w:ascii="Times" w:eastAsia="Times" w:hAnsi="Times" w:cs="Times"/>
        </w:rPr>
        <w:t>de facto role of municipalities</w:t>
      </w:r>
      <w:r w:rsidRPr="000E50F1">
        <w:rPr>
          <w:rFonts w:ascii="Times" w:hAnsi="Times"/>
        </w:rPr>
        <w:t>. This case study suggests there is a need to clarify and strengthen the arrangements between all three levels of government and to consider intergovernmental roles and arrangements that entail more respectful, permanent, and bi-directional working partnerships with municipal governments. These arrangements should be sensitive to the local context, including recognition of the competitive funding relationships among IRCC SPOs, and should be flexible enough to allow for dynamic responses to emerging needs. Given that immigration to Canada is a vastly urban phenomenon, there is increasing pressure to recognize and resource municipal governments as key policy players in settlement and integration.</w:t>
      </w:r>
    </w:p>
    <w:p w14:paraId="19681171" w14:textId="77777777" w:rsidR="00E33D36" w:rsidRPr="000E50F1" w:rsidRDefault="00E33D36" w:rsidP="00E33D36">
      <w:pPr>
        <w:rPr>
          <w:rFonts w:ascii="Times" w:hAnsi="Times"/>
        </w:rPr>
      </w:pPr>
    </w:p>
    <w:p w14:paraId="043C11A0" w14:textId="2E29ECA4" w:rsidR="002E2B8A" w:rsidRPr="000E50F1" w:rsidRDefault="002E2B8A" w:rsidP="00E33D36">
      <w:pPr>
        <w:rPr>
          <w:rFonts w:ascii="Times" w:hAnsi="Times"/>
        </w:rPr>
      </w:pPr>
      <w:r w:rsidRPr="000E50F1">
        <w:rPr>
          <w:rFonts w:ascii="Times" w:hAnsi="Times"/>
        </w:rPr>
        <w:t xml:space="preserve">Scholars have debated the complexities of the relationships between the voluntary sector, the private sector, and the local government in the downloading of responsibilities from the central government to local communities—in particular, interrogating the evolving role of the state and non-profit sector within the restructured welfare governance process </w:t>
      </w:r>
      <w:r w:rsidRPr="000E50F1">
        <w:rPr>
          <w:rFonts w:ascii="Times" w:eastAsia="Times" w:hAnsi="Times" w:cs="Times"/>
        </w:rPr>
        <w:t xml:space="preserve">(Wolch 1990; Peck and Tickell 2002; </w:t>
      </w:r>
      <w:r w:rsidRPr="000E50F1">
        <w:rPr>
          <w:rFonts w:ascii="Times" w:eastAsia="Times" w:hAnsi="Times" w:cs="Times"/>
        </w:rPr>
        <w:lastRenderedPageBreak/>
        <w:t>Veronis 2006)</w:t>
      </w:r>
      <w:r w:rsidRPr="000E50F1">
        <w:rPr>
          <w:rFonts w:ascii="Times" w:hAnsi="Times"/>
        </w:rPr>
        <w:t>. According to Macmillan and Townsend (2006, 15), “the voluntary and community sector ... offers governments the prospect of addressing, and being seen to address, intractable problems through welfare services provided beyond the state, which are thought to involve lower cost while being effective and innovative.” As pressure mounts on the voluntary and community sector to steward and sustain partnerships and other coalitions, the paradoxes of vertical devolution without power and sustainability without capital suggest that this sector remains under the constraint of the federal government which enforces its contractual relationship and compromised autonomy (Evans and Shields 2000).</w:t>
      </w:r>
    </w:p>
    <w:p w14:paraId="5501B3DF" w14:textId="77777777" w:rsidR="00E33D36" w:rsidRPr="000E50F1" w:rsidRDefault="00E33D36" w:rsidP="00E33D36">
      <w:pPr>
        <w:rPr>
          <w:rFonts w:ascii="Times" w:hAnsi="Times"/>
        </w:rPr>
      </w:pPr>
    </w:p>
    <w:p w14:paraId="0F7CDB6E" w14:textId="4871E8ED" w:rsidR="002E2B8A" w:rsidRPr="000E50F1" w:rsidRDefault="002E2B8A" w:rsidP="00E33D36">
      <w:pPr>
        <w:rPr>
          <w:rFonts w:ascii="Times" w:hAnsi="Times"/>
        </w:rPr>
      </w:pPr>
      <w:r w:rsidRPr="000E50F1">
        <w:rPr>
          <w:rFonts w:ascii="Times" w:hAnsi="Times"/>
        </w:rPr>
        <w:t>Fueled by the notion of shared responsibilities and raised expectations, partnership-based governance has seen some successes over the years in terms of bringing together local stakeholders, identifying community priorities and raising awareness, and securing new services under the LIP model—yet it is evident that the LIPs were bypassed during the SRRI across Canada (Cullen and Walton-Roberts 2019; Veronis 2019). HIPC’s inability to lead during SRRI is symptomatic of the systemic barriers it faced. Our research points to the nuanced dimensions of place-based policy and highlights the evolving roles and relations between the federal government and non-profit sector within the restructured welfare governance process. The case findings in Hamilton suggest three factors worked to reinforce forms of exclusion for local-level and partnership-based governance structures: the critical conditions of unique local history, current participation and leadership from key actors, and the constraints of devolution. The limitation of local-level and partnership-based governance structures to lead during SRRI resulted in various points of tension internally and externally.</w:t>
      </w:r>
    </w:p>
    <w:p w14:paraId="68DAF5F9" w14:textId="77777777" w:rsidR="00E33D36" w:rsidRPr="000E50F1" w:rsidRDefault="00E33D36" w:rsidP="00E33D36">
      <w:pPr>
        <w:rPr>
          <w:rFonts w:ascii="Times" w:hAnsi="Times"/>
        </w:rPr>
      </w:pPr>
    </w:p>
    <w:p w14:paraId="43FAB632" w14:textId="3D5E61CE" w:rsidR="002E2B8A" w:rsidRPr="000E50F1" w:rsidRDefault="002E2B8A" w:rsidP="00E33D36">
      <w:pPr>
        <w:rPr>
          <w:rFonts w:ascii="Times" w:hAnsi="Times"/>
        </w:rPr>
      </w:pPr>
      <w:r w:rsidRPr="000E50F1">
        <w:rPr>
          <w:rFonts w:ascii="Times" w:hAnsi="Times"/>
        </w:rPr>
        <w:t>Despite its lack of capacity during SRRI, the living experiment of the LIPs continues to develop and progress, particularly from recent lessons learned. The sustained federal investment in local partnership-based governance holds promise for any future policy planning for local refugee resettlement initiatives. Any such policy planning should be characterized by clear communication, space for innovation, and flexibility to accommodate local context.</w:t>
      </w:r>
    </w:p>
    <w:p w14:paraId="042C6E97" w14:textId="77777777" w:rsidR="002E2B8A" w:rsidRPr="000E50F1" w:rsidRDefault="002E2B8A" w:rsidP="002E2B8A">
      <w:pPr>
        <w:ind w:firstLine="720"/>
        <w:rPr>
          <w:rFonts w:ascii="Times" w:hAnsi="Times"/>
        </w:rPr>
      </w:pPr>
    </w:p>
    <w:p w14:paraId="379B42D7" w14:textId="77777777" w:rsidR="002E2B8A" w:rsidRPr="000E50F1" w:rsidRDefault="002E2B8A" w:rsidP="002E2B8A">
      <w:pPr>
        <w:ind w:firstLine="720"/>
        <w:rPr>
          <w:rFonts w:ascii="Times" w:hAnsi="Times"/>
        </w:rPr>
      </w:pPr>
    </w:p>
    <w:p w14:paraId="5A5FFD7B" w14:textId="77777777" w:rsidR="002E2B8A" w:rsidRPr="000E50F1" w:rsidRDefault="002E2B8A" w:rsidP="002E2B8A">
      <w:pPr>
        <w:rPr>
          <w:rFonts w:ascii="Times" w:eastAsia="Times" w:hAnsi="Times" w:cs="Times"/>
          <w:b/>
        </w:rPr>
      </w:pPr>
    </w:p>
    <w:p w14:paraId="116BAE60" w14:textId="77777777" w:rsidR="00B16565" w:rsidRPr="000E50F1" w:rsidRDefault="00B16565">
      <w:pPr>
        <w:rPr>
          <w:rFonts w:ascii="Times" w:eastAsia="Times" w:hAnsi="Times" w:cs="Times"/>
          <w:b/>
        </w:rPr>
      </w:pPr>
      <w:r w:rsidRPr="000E50F1">
        <w:rPr>
          <w:rFonts w:ascii="Times" w:eastAsia="Times" w:hAnsi="Times" w:cs="Times"/>
          <w:b/>
        </w:rPr>
        <w:br w:type="page"/>
      </w:r>
    </w:p>
    <w:p w14:paraId="3487C2FC" w14:textId="3A326061" w:rsidR="002E2B8A" w:rsidRPr="000E50F1" w:rsidRDefault="002E2B8A" w:rsidP="00FD6699">
      <w:pPr>
        <w:rPr>
          <w:rFonts w:ascii="Times" w:eastAsia="Times" w:hAnsi="Times" w:cs="Times"/>
          <w:b/>
        </w:rPr>
      </w:pPr>
      <w:r w:rsidRPr="000E50F1">
        <w:rPr>
          <w:rFonts w:ascii="Times" w:eastAsia="Times" w:hAnsi="Times" w:cs="Times"/>
          <w:b/>
        </w:rPr>
        <w:lastRenderedPageBreak/>
        <w:t>References</w:t>
      </w:r>
    </w:p>
    <w:p w14:paraId="4DF41E0B"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Baxter, J., and J. Eyles. 1997. Evaluating qualitative research in social geography: Establishing ‘rigour’ in interview analysis. Transactions of the Institute of British Geographers 22(4): 505–525. </w:t>
      </w:r>
    </w:p>
    <w:p w14:paraId="29317C9D" w14:textId="58AB2EE1"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Bradford, N. 2005. Place</w:t>
      </w:r>
      <w:r w:rsidRPr="000E50F1">
        <w:rPr>
          <w:rFonts w:ascii="Cambria Math" w:hAnsi="Cambria Math" w:cs="Cambria Math"/>
        </w:rPr>
        <w:t>‐</w:t>
      </w:r>
      <w:r w:rsidRPr="000E50F1">
        <w:rPr>
          <w:rFonts w:ascii="Times" w:hAnsi="Times"/>
        </w:rPr>
        <w:t>based public policy: Towards a new urban and community agenda for Canada. Research Report. Canadian Policy Research Networks. https://www.acade- mia.edu/25738765/Place</w:t>
      </w:r>
      <w:r w:rsidRPr="000E50F1">
        <w:rPr>
          <w:rFonts w:ascii="Cambria Math" w:hAnsi="Cambria Math" w:cs="Cambria Math"/>
        </w:rPr>
        <w:t>‐</w:t>
      </w:r>
      <w:r w:rsidRPr="000E50F1">
        <w:rPr>
          <w:rFonts w:ascii="Times" w:hAnsi="Times"/>
        </w:rPr>
        <w:t xml:space="preserve">based_public_policy_Towards_a_new_urban_and_community_agenda_for_Canada </w:t>
      </w:r>
    </w:p>
    <w:p w14:paraId="6A866D19" w14:textId="3CE40CF0"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2017. Canadian regional development policy: Flexible governance and adaptive implementation. https://www.oec- d.org/cfe/regional</w:t>
      </w:r>
      <w:r w:rsidRPr="000E50F1">
        <w:rPr>
          <w:rFonts w:ascii="Cambria Math" w:hAnsi="Cambria Math" w:cs="Cambria Math"/>
        </w:rPr>
        <w:t>‐</w:t>
      </w:r>
      <w:r w:rsidRPr="000E50F1">
        <w:rPr>
          <w:rFonts w:ascii="Times" w:hAnsi="Times"/>
        </w:rPr>
        <w:t>policy/Bradford_Canadian</w:t>
      </w:r>
      <w:r w:rsidRPr="000E50F1">
        <w:rPr>
          <w:rFonts w:ascii="Cambria Math" w:hAnsi="Cambria Math" w:cs="Cambria Math"/>
        </w:rPr>
        <w:t>‐</w:t>
      </w:r>
      <w:r w:rsidRPr="000E50F1">
        <w:rPr>
          <w:rFonts w:ascii="Times" w:hAnsi="Times"/>
        </w:rPr>
        <w:t>Regional</w:t>
      </w:r>
      <w:r w:rsidRPr="000E50F1">
        <w:rPr>
          <w:rFonts w:ascii="Cambria Math" w:hAnsi="Cambria Math" w:cs="Cambria Math"/>
        </w:rPr>
        <w:t>‐</w:t>
      </w:r>
      <w:r w:rsidRPr="000E50F1">
        <w:rPr>
          <w:rFonts w:ascii="Times" w:hAnsi="Times"/>
        </w:rPr>
        <w:t>De- velopment</w:t>
      </w:r>
      <w:r w:rsidRPr="000E50F1">
        <w:rPr>
          <w:rFonts w:ascii="Cambria Math" w:hAnsi="Cambria Math" w:cs="Cambria Math"/>
        </w:rPr>
        <w:t>‐</w:t>
      </w:r>
      <w:r w:rsidRPr="000E50F1">
        <w:rPr>
          <w:rFonts w:ascii="Times" w:hAnsi="Times"/>
        </w:rPr>
        <w:t xml:space="preserve">Policy.pdf </w:t>
      </w:r>
    </w:p>
    <w:p w14:paraId="42143EA9"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Bradford, N., and C. Andrew. 2010. Local immigration partnership councils: A promising Canadian innovation. Paper prepared for Citizenship and Immigration Canada, July. Ottawa, Canada. </w:t>
      </w:r>
    </w:p>
    <w:p w14:paraId="1DB4A66C"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Bradford, N., C. Andrew, M. Casagrande, and A. Ratcliffe. 2011. </w:t>
      </w:r>
    </w:p>
    <w:p w14:paraId="36614C96" w14:textId="722F307C" w:rsidR="00FD6699" w:rsidRPr="000E50F1" w:rsidRDefault="00C85F79" w:rsidP="00FD6699">
      <w:pPr>
        <w:spacing w:before="100" w:beforeAutospacing="1" w:after="100" w:afterAutospacing="1"/>
        <w:ind w:left="567" w:hanging="567"/>
        <w:rPr>
          <w:rFonts w:ascii="Times" w:hAnsi="Times"/>
        </w:rPr>
      </w:pPr>
      <w:r w:rsidRPr="000E50F1">
        <w:rPr>
          <w:rFonts w:ascii="Times" w:hAnsi="Times"/>
        </w:rPr>
        <w:t xml:space="preserve">LIPs gathering momentum: Early successes, emerging challenges, and recommendations for the future. </w:t>
      </w:r>
      <w:r w:rsidR="00FD6699" w:rsidRPr="000E50F1">
        <w:rPr>
          <w:rFonts w:ascii="Times" w:hAnsi="Times"/>
        </w:rPr>
        <w:t>Welcoming Community Initiatives. http://p2pcanada.ca/wp</w:t>
      </w:r>
      <w:r w:rsidR="00FD6699" w:rsidRPr="000E50F1">
        <w:rPr>
          <w:rFonts w:ascii="Cambria Math" w:hAnsi="Cambria Math" w:cs="Cambria Math"/>
        </w:rPr>
        <w:t>‐</w:t>
      </w:r>
      <w:r w:rsidR="00FD6699" w:rsidRPr="000E50F1">
        <w:rPr>
          <w:rFonts w:ascii="Times" w:hAnsi="Times"/>
        </w:rPr>
        <w:t>content/ blogs.dir/1/files/2015/09/LIPs</w:t>
      </w:r>
      <w:r w:rsidR="00FD6699" w:rsidRPr="000E50F1">
        <w:rPr>
          <w:rFonts w:ascii="Cambria Math" w:hAnsi="Cambria Math" w:cs="Cambria Math"/>
        </w:rPr>
        <w:t>‐</w:t>
      </w:r>
      <w:r w:rsidR="00FD6699" w:rsidRPr="000E50F1">
        <w:rPr>
          <w:rFonts w:ascii="Times" w:hAnsi="Times"/>
        </w:rPr>
        <w:t>Gathering</w:t>
      </w:r>
      <w:r w:rsidR="00FD6699" w:rsidRPr="000E50F1">
        <w:rPr>
          <w:rFonts w:ascii="Cambria Math" w:hAnsi="Cambria Math" w:cs="Cambria Math"/>
        </w:rPr>
        <w:t>‐</w:t>
      </w:r>
      <w:r w:rsidR="00FD6699" w:rsidRPr="000E50F1">
        <w:rPr>
          <w:rFonts w:ascii="Times" w:hAnsi="Times"/>
        </w:rPr>
        <w:t>Momentum</w:t>
      </w:r>
      <w:r w:rsidR="00FD6699" w:rsidRPr="000E50F1">
        <w:rPr>
          <w:rFonts w:ascii="Cambria Math" w:hAnsi="Cambria Math" w:cs="Cambria Math"/>
        </w:rPr>
        <w:t>‐</w:t>
      </w:r>
      <w:r w:rsidR="00FD6699" w:rsidRPr="000E50F1">
        <w:rPr>
          <w:rFonts w:ascii="Times" w:hAnsi="Times"/>
        </w:rPr>
        <w:t>Early</w:t>
      </w:r>
      <w:r w:rsidR="00FD6699" w:rsidRPr="000E50F1">
        <w:rPr>
          <w:rFonts w:ascii="Cambria Math" w:hAnsi="Cambria Math" w:cs="Cambria Math"/>
        </w:rPr>
        <w:t>‐</w:t>
      </w:r>
      <w:r w:rsidR="00FD6699" w:rsidRPr="000E50F1">
        <w:rPr>
          <w:rFonts w:ascii="Times" w:hAnsi="Times"/>
        </w:rPr>
        <w:t xml:space="preserve"> Successes</w:t>
      </w:r>
      <w:r w:rsidR="00FD6699" w:rsidRPr="000E50F1">
        <w:rPr>
          <w:rFonts w:ascii="Cambria Math" w:hAnsi="Cambria Math" w:cs="Cambria Math"/>
        </w:rPr>
        <w:t>‐</w:t>
      </w:r>
      <w:r w:rsidR="00FD6699" w:rsidRPr="000E50F1">
        <w:rPr>
          <w:rFonts w:ascii="Times" w:hAnsi="Times"/>
        </w:rPr>
        <w:t>Emerging</w:t>
      </w:r>
      <w:r w:rsidR="00FD6699" w:rsidRPr="000E50F1">
        <w:rPr>
          <w:rFonts w:ascii="Cambria Math" w:hAnsi="Cambria Math" w:cs="Cambria Math"/>
        </w:rPr>
        <w:t>‐</w:t>
      </w:r>
      <w:r w:rsidR="00FD6699" w:rsidRPr="000E50F1">
        <w:rPr>
          <w:rFonts w:ascii="Times" w:hAnsi="Times"/>
        </w:rPr>
        <w:t>Challenges</w:t>
      </w:r>
      <w:r w:rsidR="00FD6699" w:rsidRPr="000E50F1">
        <w:rPr>
          <w:rFonts w:ascii="Cambria Math" w:hAnsi="Cambria Math" w:cs="Cambria Math"/>
        </w:rPr>
        <w:t>‐</w:t>
      </w:r>
      <w:r w:rsidR="00FD6699" w:rsidRPr="000E50F1">
        <w:rPr>
          <w:rFonts w:ascii="Times" w:hAnsi="Times"/>
        </w:rPr>
        <w:t>and</w:t>
      </w:r>
      <w:r w:rsidR="00FD6699" w:rsidRPr="000E50F1">
        <w:rPr>
          <w:rFonts w:ascii="Cambria Math" w:hAnsi="Cambria Math" w:cs="Cambria Math"/>
        </w:rPr>
        <w:t>‐</w:t>
      </w:r>
      <w:r w:rsidR="00FD6699" w:rsidRPr="000E50F1">
        <w:rPr>
          <w:rFonts w:ascii="Times" w:hAnsi="Times"/>
        </w:rPr>
        <w:t>Recommendations</w:t>
      </w:r>
      <w:r w:rsidR="00FD6699" w:rsidRPr="000E50F1">
        <w:rPr>
          <w:rFonts w:ascii="Cambria Math" w:hAnsi="Cambria Math" w:cs="Cambria Math"/>
        </w:rPr>
        <w:t>‐</w:t>
      </w:r>
      <w:r w:rsidR="00FD6699" w:rsidRPr="000E50F1">
        <w:rPr>
          <w:rFonts w:ascii="Times" w:hAnsi="Times"/>
        </w:rPr>
        <w:t>for</w:t>
      </w:r>
      <w:r w:rsidR="00FD6699" w:rsidRPr="000E50F1">
        <w:rPr>
          <w:rFonts w:ascii="Cambria Math" w:hAnsi="Cambria Math" w:cs="Cambria Math"/>
        </w:rPr>
        <w:t>‐</w:t>
      </w:r>
      <w:r w:rsidR="00FD6699" w:rsidRPr="000E50F1">
        <w:rPr>
          <w:rFonts w:ascii="Times" w:hAnsi="Times"/>
        </w:rPr>
        <w:t xml:space="preserve"> the</w:t>
      </w:r>
      <w:r w:rsidR="00FD6699" w:rsidRPr="000E50F1">
        <w:rPr>
          <w:rFonts w:ascii="Cambria Math" w:hAnsi="Cambria Math" w:cs="Cambria Math"/>
        </w:rPr>
        <w:t>‐</w:t>
      </w:r>
      <w:r w:rsidR="00FD6699" w:rsidRPr="000E50F1">
        <w:rPr>
          <w:rFonts w:ascii="Times" w:hAnsi="Times"/>
        </w:rPr>
        <w:t xml:space="preserve">Future.pdf </w:t>
      </w:r>
    </w:p>
    <w:p w14:paraId="4DC3D7AE" w14:textId="6FA657E1"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Burr, K. 2011. </w:t>
      </w:r>
      <w:r w:rsidR="00C85F79" w:rsidRPr="000E50F1">
        <w:rPr>
          <w:rFonts w:ascii="Times" w:hAnsi="Times"/>
        </w:rPr>
        <w:t>Local immigration partnerships: Building welcoming and inclusive communities through multi</w:t>
      </w:r>
      <w:r w:rsidR="00C85F79" w:rsidRPr="000E50F1">
        <w:rPr>
          <w:rFonts w:ascii="Cambria Math" w:hAnsi="Cambria Math" w:cs="Cambria Math"/>
        </w:rPr>
        <w:t>‐</w:t>
      </w:r>
      <w:r w:rsidR="00C85F79" w:rsidRPr="000E50F1">
        <w:rPr>
          <w:rFonts w:ascii="Times" w:hAnsi="Times"/>
        </w:rPr>
        <w:t xml:space="preserve">level governance. </w:t>
      </w:r>
      <w:r w:rsidRPr="000E50F1">
        <w:rPr>
          <w:rFonts w:ascii="Times" w:hAnsi="Times"/>
        </w:rPr>
        <w:t>Horizons, Policy Research Initiative. http://p2pca- nada.ca/files/2011/10/Local</w:t>
      </w:r>
      <w:r w:rsidRPr="000E50F1">
        <w:rPr>
          <w:rFonts w:ascii="Cambria Math" w:hAnsi="Cambria Math" w:cs="Cambria Math"/>
        </w:rPr>
        <w:t>‐</w:t>
      </w:r>
      <w:r w:rsidRPr="000E50F1">
        <w:rPr>
          <w:rFonts w:ascii="Times" w:hAnsi="Times"/>
        </w:rPr>
        <w:t>Immigration</w:t>
      </w:r>
      <w:r w:rsidRPr="000E50F1">
        <w:rPr>
          <w:rFonts w:ascii="Cambria Math" w:hAnsi="Cambria Math" w:cs="Cambria Math"/>
        </w:rPr>
        <w:t>‐</w:t>
      </w:r>
      <w:r w:rsidRPr="000E50F1">
        <w:rPr>
          <w:rFonts w:ascii="Times" w:hAnsi="Times"/>
        </w:rPr>
        <w:t>Partnerships</w:t>
      </w:r>
      <w:r w:rsidRPr="000E50F1">
        <w:rPr>
          <w:rFonts w:ascii="Cambria Math" w:hAnsi="Cambria Math" w:cs="Cambria Math"/>
        </w:rPr>
        <w:t>‐</w:t>
      </w:r>
      <w:r w:rsidRPr="000E50F1">
        <w:rPr>
          <w:rFonts w:ascii="Times" w:hAnsi="Times"/>
        </w:rPr>
        <w:t xml:space="preserve"> Building</w:t>
      </w:r>
      <w:r w:rsidRPr="000E50F1">
        <w:rPr>
          <w:rFonts w:ascii="Cambria Math" w:hAnsi="Cambria Math" w:cs="Cambria Math"/>
        </w:rPr>
        <w:t>‐</w:t>
      </w:r>
      <w:r w:rsidRPr="000E50F1">
        <w:rPr>
          <w:rFonts w:ascii="Times" w:hAnsi="Times"/>
        </w:rPr>
        <w:t>Welcoming</w:t>
      </w:r>
      <w:r w:rsidRPr="000E50F1">
        <w:rPr>
          <w:rFonts w:ascii="Cambria Math" w:hAnsi="Cambria Math" w:cs="Cambria Math"/>
        </w:rPr>
        <w:t>‐</w:t>
      </w:r>
      <w:r w:rsidRPr="000E50F1">
        <w:rPr>
          <w:rFonts w:ascii="Times" w:hAnsi="Times"/>
        </w:rPr>
        <w:t>and</w:t>
      </w:r>
      <w:r w:rsidRPr="000E50F1">
        <w:rPr>
          <w:rFonts w:ascii="Cambria Math" w:hAnsi="Cambria Math" w:cs="Cambria Math"/>
        </w:rPr>
        <w:t>‐</w:t>
      </w:r>
      <w:r w:rsidRPr="000E50F1">
        <w:rPr>
          <w:rFonts w:ascii="Times" w:hAnsi="Times"/>
        </w:rPr>
        <w:t>Inclusive</w:t>
      </w:r>
      <w:r w:rsidRPr="000E50F1">
        <w:rPr>
          <w:rFonts w:ascii="Cambria Math" w:hAnsi="Cambria Math" w:cs="Cambria Math"/>
        </w:rPr>
        <w:t>‐</w:t>
      </w:r>
      <w:r w:rsidRPr="000E50F1">
        <w:rPr>
          <w:rFonts w:ascii="Times" w:hAnsi="Times"/>
        </w:rPr>
        <w:t xml:space="preserve">Communities.pdf </w:t>
      </w:r>
    </w:p>
    <w:p w14:paraId="6D360919"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Cullen, B., and M. Walton</w:t>
      </w:r>
      <w:r w:rsidRPr="000E50F1">
        <w:rPr>
          <w:rFonts w:ascii="Cambria Math" w:hAnsi="Cambria Math" w:cs="Cambria Math"/>
        </w:rPr>
        <w:t>‐</w:t>
      </w:r>
      <w:r w:rsidRPr="000E50F1">
        <w:rPr>
          <w:rFonts w:ascii="Times" w:hAnsi="Times"/>
        </w:rPr>
        <w:t xml:space="preserve">Roberts. 2019. The role of local immigration partnerships in Syrian refugee resettlement in Waterloo Region, Ontario. The Canadian Geographer 63(3): https://doi.org/10.1111/cag.12558 </w:t>
      </w:r>
    </w:p>
    <w:p w14:paraId="4D07EA95" w14:textId="0287E3AE"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Dam, H. 2009. Becoming Vietnamese</w:t>
      </w:r>
      <w:r w:rsidRPr="000E50F1">
        <w:rPr>
          <w:rFonts w:ascii="Cambria Math" w:hAnsi="Cambria Math" w:cs="Cambria Math"/>
        </w:rPr>
        <w:t>‐</w:t>
      </w:r>
      <w:r w:rsidRPr="000E50F1">
        <w:rPr>
          <w:rFonts w:ascii="Times" w:hAnsi="Times"/>
        </w:rPr>
        <w:t xml:space="preserve">Canadian: The story of the Vietnamese boat people in Hamilton. MA Thesis, School of Geography and Earth Sciences, McMaster University. </w:t>
      </w:r>
    </w:p>
    <w:p w14:paraId="2D218BF3"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Doberstein, C. 2011. Institutional creation and death: Urban development agreements in Canada. Journal of Urban Affairs 33(5): 529–548. </w:t>
      </w:r>
    </w:p>
    <w:p w14:paraId="7B02B3D4"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lastRenderedPageBreak/>
        <w:t>Eby, J. 2008. The voices of poverty in Hamilton: Mapping community relationships. https://maytree.com/wp</w:t>
      </w:r>
      <w:r w:rsidRPr="000E50F1">
        <w:rPr>
          <w:rFonts w:ascii="Cambria Math" w:hAnsi="Cambria Math" w:cs="Cambria Math"/>
        </w:rPr>
        <w:t>‐</w:t>
      </w:r>
      <w:r w:rsidRPr="000E50F1">
        <w:rPr>
          <w:rFonts w:ascii="Times" w:hAnsi="Times"/>
        </w:rPr>
        <w:t>content/ uploads/The</w:t>
      </w:r>
      <w:r w:rsidRPr="000E50F1">
        <w:rPr>
          <w:rFonts w:ascii="Cambria Math" w:hAnsi="Cambria Math" w:cs="Cambria Math"/>
        </w:rPr>
        <w:t>‐</w:t>
      </w:r>
      <w:r w:rsidRPr="000E50F1">
        <w:rPr>
          <w:rFonts w:ascii="Times" w:hAnsi="Times"/>
        </w:rPr>
        <w:t>Voices</w:t>
      </w:r>
      <w:r w:rsidRPr="000E50F1">
        <w:rPr>
          <w:rFonts w:ascii="Cambria Math" w:hAnsi="Cambria Math" w:cs="Cambria Math"/>
        </w:rPr>
        <w:t>‐</w:t>
      </w:r>
      <w:r w:rsidRPr="000E50F1">
        <w:rPr>
          <w:rFonts w:ascii="Times" w:hAnsi="Times"/>
        </w:rPr>
        <w:t>of</w:t>
      </w:r>
      <w:r w:rsidRPr="000E50F1">
        <w:rPr>
          <w:rFonts w:ascii="Cambria Math" w:hAnsi="Cambria Math" w:cs="Cambria Math"/>
        </w:rPr>
        <w:t>‐</w:t>
      </w:r>
      <w:r w:rsidRPr="000E50F1">
        <w:rPr>
          <w:rFonts w:ascii="Times" w:hAnsi="Times"/>
        </w:rPr>
        <w:t>Poverty</w:t>
      </w:r>
      <w:r w:rsidRPr="000E50F1">
        <w:rPr>
          <w:rFonts w:ascii="Cambria Math" w:hAnsi="Cambria Math" w:cs="Cambria Math"/>
        </w:rPr>
        <w:t>‐</w:t>
      </w:r>
      <w:r w:rsidRPr="000E50F1">
        <w:rPr>
          <w:rFonts w:ascii="Times" w:hAnsi="Times"/>
        </w:rPr>
        <w:t>in</w:t>
      </w:r>
      <w:r w:rsidRPr="000E50F1">
        <w:rPr>
          <w:rFonts w:ascii="Cambria Math" w:hAnsi="Cambria Math" w:cs="Cambria Math"/>
        </w:rPr>
        <w:t>‐</w:t>
      </w:r>
      <w:r w:rsidRPr="000E50F1">
        <w:rPr>
          <w:rFonts w:ascii="Times" w:hAnsi="Times"/>
        </w:rPr>
        <w:t>Hamilton</w:t>
      </w:r>
      <w:r w:rsidRPr="000E50F1">
        <w:rPr>
          <w:rFonts w:ascii="Cambria Math" w:hAnsi="Cambria Math" w:cs="Cambria Math"/>
        </w:rPr>
        <w:t>‐</w:t>
      </w:r>
      <w:r w:rsidRPr="000E50F1">
        <w:rPr>
          <w:rFonts w:ascii="Times" w:hAnsi="Times"/>
        </w:rPr>
        <w:t>Mapping</w:t>
      </w:r>
      <w:r w:rsidRPr="000E50F1">
        <w:rPr>
          <w:rFonts w:ascii="Cambria Math" w:hAnsi="Cambria Math" w:cs="Cambria Math"/>
        </w:rPr>
        <w:t>‐</w:t>
      </w:r>
      <w:r w:rsidRPr="000E50F1">
        <w:rPr>
          <w:rFonts w:ascii="Times" w:hAnsi="Times"/>
        </w:rPr>
        <w:t xml:space="preserve"> Community</w:t>
      </w:r>
      <w:r w:rsidRPr="000E50F1">
        <w:rPr>
          <w:rFonts w:ascii="Cambria Math" w:hAnsi="Cambria Math" w:cs="Cambria Math"/>
        </w:rPr>
        <w:t>‐</w:t>
      </w:r>
      <w:r w:rsidRPr="000E50F1">
        <w:rPr>
          <w:rFonts w:ascii="Times" w:hAnsi="Times"/>
        </w:rPr>
        <w:t xml:space="preserve">Relationships.pdf </w:t>
      </w:r>
    </w:p>
    <w:p w14:paraId="31B9C1F4"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Edmonton, B. 2016. Canada’s immigration trends and patterns. Canadian Studies in Population 43(1–2): 78–116. </w:t>
      </w:r>
    </w:p>
    <w:p w14:paraId="3E5283E2"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Elliott, H. 2017. Immigration Policy Blues. The Hamilton Spectator. July 16. https://www.thespec.com/opinion</w:t>
      </w:r>
      <w:r w:rsidRPr="000E50F1">
        <w:rPr>
          <w:rFonts w:ascii="Cambria Math" w:hAnsi="Cambria Math" w:cs="Cambria Math"/>
        </w:rPr>
        <w:t>‐</w:t>
      </w:r>
      <w:r w:rsidRPr="000E50F1">
        <w:rPr>
          <w:rFonts w:ascii="Times" w:hAnsi="Times"/>
        </w:rPr>
        <w:t>story/ 2149097</w:t>
      </w:r>
      <w:r w:rsidRPr="000E50F1">
        <w:rPr>
          <w:rFonts w:ascii="Cambria Math" w:hAnsi="Cambria Math" w:cs="Cambria Math"/>
        </w:rPr>
        <w:t>‐</w:t>
      </w:r>
      <w:r w:rsidRPr="000E50F1">
        <w:rPr>
          <w:rFonts w:ascii="Times" w:hAnsi="Times"/>
        </w:rPr>
        <w:t>immigration</w:t>
      </w:r>
      <w:r w:rsidRPr="000E50F1">
        <w:rPr>
          <w:rFonts w:ascii="Cambria Math" w:hAnsi="Cambria Math" w:cs="Cambria Math"/>
        </w:rPr>
        <w:t>‐</w:t>
      </w:r>
      <w:r w:rsidRPr="000E50F1">
        <w:rPr>
          <w:rFonts w:ascii="Times" w:hAnsi="Times"/>
        </w:rPr>
        <w:t>policy</w:t>
      </w:r>
      <w:r w:rsidRPr="000E50F1">
        <w:rPr>
          <w:rFonts w:ascii="Cambria Math" w:hAnsi="Cambria Math" w:cs="Cambria Math"/>
        </w:rPr>
        <w:t>‐</w:t>
      </w:r>
      <w:r w:rsidRPr="000E50F1">
        <w:rPr>
          <w:rFonts w:ascii="Times" w:hAnsi="Times"/>
        </w:rPr>
        <w:t xml:space="preserve">blues/ </w:t>
      </w:r>
    </w:p>
    <w:p w14:paraId="7E9A518F"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Evans, B., and J. Shields. 2000. Neoliberal restructuring and the third sector: Reshaping governance, civil society and local relations. Toronto, ON: Centre for Voluntary Sector Studies, Ryerson University Working Paper Number 13. </w:t>
      </w:r>
    </w:p>
    <w:p w14:paraId="0137E0B3"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Evans, B., and A. Wellstead. 2013. Policy dialogue and engagement between non</w:t>
      </w:r>
      <w:r w:rsidRPr="000E50F1">
        <w:rPr>
          <w:rFonts w:ascii="Cambria Math" w:hAnsi="Cambria Math" w:cs="Cambria Math"/>
        </w:rPr>
        <w:t>‐</w:t>
      </w:r>
      <w:r w:rsidRPr="000E50F1">
        <w:rPr>
          <w:rFonts w:ascii="Times" w:hAnsi="Times"/>
        </w:rPr>
        <w:t xml:space="preserve">governmental organizations and government: A survey of processes and instruments of Canadian policy workers. Central European Journal of Public Policy 7(1): 60–87. </w:t>
      </w:r>
    </w:p>
    <w:p w14:paraId="57B3EF58"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Fragomeni, C. 2015. Hamiltonians trying to help Syrian refugees. The Hamilton Spectator. September 12. https://www.thespec. com/news</w:t>
      </w:r>
      <w:r w:rsidRPr="000E50F1">
        <w:rPr>
          <w:rFonts w:ascii="Cambria Math" w:hAnsi="Cambria Math" w:cs="Cambria Math"/>
        </w:rPr>
        <w:t>‐</w:t>
      </w:r>
      <w:r w:rsidRPr="000E50F1">
        <w:rPr>
          <w:rFonts w:ascii="Times" w:hAnsi="Times"/>
        </w:rPr>
        <w:t>story/5837528</w:t>
      </w:r>
      <w:r w:rsidRPr="000E50F1">
        <w:rPr>
          <w:rFonts w:ascii="Cambria Math" w:hAnsi="Cambria Math" w:cs="Cambria Math"/>
        </w:rPr>
        <w:t>‐</w:t>
      </w:r>
      <w:r w:rsidRPr="000E50F1">
        <w:rPr>
          <w:rFonts w:ascii="Times" w:hAnsi="Times"/>
        </w:rPr>
        <w:t>hamiltonians</w:t>
      </w:r>
      <w:r w:rsidRPr="000E50F1">
        <w:rPr>
          <w:rFonts w:ascii="Cambria Math" w:hAnsi="Cambria Math" w:cs="Cambria Math"/>
        </w:rPr>
        <w:t>‐</w:t>
      </w:r>
      <w:r w:rsidRPr="000E50F1">
        <w:rPr>
          <w:rFonts w:ascii="Times" w:hAnsi="Times"/>
        </w:rPr>
        <w:t>trying</w:t>
      </w:r>
      <w:r w:rsidRPr="000E50F1">
        <w:rPr>
          <w:rFonts w:ascii="Cambria Math" w:hAnsi="Cambria Math" w:cs="Cambria Math"/>
        </w:rPr>
        <w:t>‐</w:t>
      </w:r>
      <w:r w:rsidRPr="000E50F1">
        <w:rPr>
          <w:rFonts w:ascii="Times" w:hAnsi="Times"/>
        </w:rPr>
        <w:t>to</w:t>
      </w:r>
      <w:r w:rsidRPr="000E50F1">
        <w:rPr>
          <w:rFonts w:ascii="Cambria Math" w:hAnsi="Cambria Math" w:cs="Cambria Math"/>
        </w:rPr>
        <w:t>‐</w:t>
      </w:r>
      <w:r w:rsidRPr="000E50F1">
        <w:rPr>
          <w:rFonts w:ascii="Times" w:hAnsi="Times"/>
        </w:rPr>
        <w:t>help</w:t>
      </w:r>
      <w:r w:rsidRPr="000E50F1">
        <w:rPr>
          <w:rFonts w:ascii="Cambria Math" w:hAnsi="Cambria Math" w:cs="Cambria Math"/>
        </w:rPr>
        <w:t>‐</w:t>
      </w:r>
      <w:r w:rsidRPr="000E50F1">
        <w:rPr>
          <w:rFonts w:ascii="Times" w:hAnsi="Times"/>
        </w:rPr>
        <w:t xml:space="preserve"> syrian</w:t>
      </w:r>
      <w:r w:rsidRPr="000E50F1">
        <w:rPr>
          <w:rFonts w:ascii="Cambria Math" w:hAnsi="Cambria Math" w:cs="Cambria Math"/>
        </w:rPr>
        <w:t>‐</w:t>
      </w:r>
      <w:r w:rsidRPr="000E50F1">
        <w:rPr>
          <w:rFonts w:ascii="Times" w:hAnsi="Times"/>
        </w:rPr>
        <w:t xml:space="preserve">refugees/ </w:t>
      </w:r>
    </w:p>
    <w:p w14:paraId="2CF1E547"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Government of Canada. 2017. #WelcomeRefugees: Key figures. https://www.canada.ca/en/immigration</w:t>
      </w:r>
      <w:r w:rsidRPr="000E50F1">
        <w:rPr>
          <w:rFonts w:ascii="Cambria Math" w:hAnsi="Cambria Math" w:cs="Cambria Math"/>
        </w:rPr>
        <w:t>‐</w:t>
      </w:r>
      <w:r w:rsidRPr="000E50F1">
        <w:rPr>
          <w:rFonts w:ascii="Times" w:hAnsi="Times"/>
        </w:rPr>
        <w:t>refugees</w:t>
      </w:r>
      <w:r w:rsidRPr="000E50F1">
        <w:rPr>
          <w:rFonts w:ascii="Cambria Math" w:hAnsi="Cambria Math" w:cs="Cambria Math"/>
        </w:rPr>
        <w:t>‐</w:t>
      </w:r>
      <w:r w:rsidRPr="000E50F1">
        <w:rPr>
          <w:rFonts w:ascii="Times" w:hAnsi="Times"/>
        </w:rPr>
        <w:t xml:space="preserve"> citizenship/services/refugees/welcome</w:t>
      </w:r>
      <w:r w:rsidRPr="000E50F1">
        <w:rPr>
          <w:rFonts w:ascii="Cambria Math" w:hAnsi="Cambria Math" w:cs="Cambria Math"/>
        </w:rPr>
        <w:t>‐</w:t>
      </w:r>
      <w:r w:rsidRPr="000E50F1">
        <w:rPr>
          <w:rFonts w:ascii="Times" w:hAnsi="Times"/>
        </w:rPr>
        <w:t>syrian</w:t>
      </w:r>
      <w:r w:rsidRPr="000E50F1">
        <w:rPr>
          <w:rFonts w:ascii="Cambria Math" w:hAnsi="Cambria Math" w:cs="Cambria Math"/>
        </w:rPr>
        <w:t>‐</w:t>
      </w:r>
      <w:r w:rsidRPr="000E50F1">
        <w:rPr>
          <w:rFonts w:ascii="Times" w:hAnsi="Times"/>
        </w:rPr>
        <w:t>refugees/key</w:t>
      </w:r>
      <w:r w:rsidRPr="000E50F1">
        <w:rPr>
          <w:rFonts w:ascii="Cambria Math" w:hAnsi="Cambria Math" w:cs="Cambria Math"/>
        </w:rPr>
        <w:t>‐</w:t>
      </w:r>
      <w:r w:rsidRPr="000E50F1">
        <w:rPr>
          <w:rFonts w:ascii="Times" w:hAnsi="Times"/>
        </w:rPr>
        <w:t xml:space="preserve"> figures.html </w:t>
      </w:r>
    </w:p>
    <w:p w14:paraId="56F59FB8"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Harrison, H., M. Birks, R. Franklin, and J. Mills. 2017. Case study research: Foundations and methodological orientations. Forum: Qualitative Social Research 18(1): https://doi.org/10. 17169/fqs</w:t>
      </w:r>
      <w:r w:rsidRPr="000E50F1">
        <w:rPr>
          <w:rFonts w:ascii="Cambria Math" w:hAnsi="Cambria Math" w:cs="Cambria Math"/>
        </w:rPr>
        <w:t>‐</w:t>
      </w:r>
      <w:r w:rsidRPr="000E50F1">
        <w:rPr>
          <w:rFonts w:ascii="Times" w:hAnsi="Times"/>
        </w:rPr>
        <w:t xml:space="preserve">18.1.2655 </w:t>
      </w:r>
    </w:p>
    <w:p w14:paraId="27FD4843"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HIPC (Hamilton Immigration Partnership Council). 2010. The immigration strategy and action plan. http://voiesverspros- perite.ca/wp</w:t>
      </w:r>
      <w:r w:rsidRPr="000E50F1">
        <w:rPr>
          <w:rFonts w:ascii="Cambria Math" w:hAnsi="Cambria Math" w:cs="Cambria Math"/>
        </w:rPr>
        <w:t>‐</w:t>
      </w:r>
      <w:r w:rsidRPr="000E50F1">
        <w:rPr>
          <w:rFonts w:ascii="Times" w:hAnsi="Times"/>
        </w:rPr>
        <w:t>content/blogs.dir/1/files/2014/01/HIPC</w:t>
      </w:r>
      <w:r w:rsidRPr="000E50F1">
        <w:rPr>
          <w:rFonts w:ascii="Cambria Math" w:hAnsi="Cambria Math" w:cs="Cambria Math"/>
        </w:rPr>
        <w:t>‐</w:t>
      </w:r>
      <w:r w:rsidRPr="000E50F1">
        <w:rPr>
          <w:rFonts w:ascii="Times" w:hAnsi="Times"/>
        </w:rPr>
        <w:t>Immi- gration</w:t>
      </w:r>
      <w:r w:rsidRPr="000E50F1">
        <w:rPr>
          <w:rFonts w:ascii="Cambria Math" w:hAnsi="Cambria Math" w:cs="Cambria Math"/>
        </w:rPr>
        <w:t>‐</w:t>
      </w:r>
      <w:r w:rsidRPr="000E50F1">
        <w:rPr>
          <w:rFonts w:ascii="Times" w:hAnsi="Times"/>
        </w:rPr>
        <w:t>Strategy</w:t>
      </w:r>
      <w:r w:rsidRPr="000E50F1">
        <w:rPr>
          <w:rFonts w:ascii="Cambria Math" w:hAnsi="Cambria Math" w:cs="Cambria Math"/>
        </w:rPr>
        <w:t>‐</w:t>
      </w:r>
      <w:r w:rsidRPr="000E50F1">
        <w:rPr>
          <w:rFonts w:ascii="Times" w:hAnsi="Times"/>
        </w:rPr>
        <w:t>and</w:t>
      </w:r>
      <w:r w:rsidRPr="000E50F1">
        <w:rPr>
          <w:rFonts w:ascii="Cambria Math" w:hAnsi="Cambria Math" w:cs="Cambria Math"/>
        </w:rPr>
        <w:t>‐</w:t>
      </w:r>
      <w:r w:rsidRPr="000E50F1">
        <w:rPr>
          <w:rFonts w:ascii="Times" w:hAnsi="Times"/>
        </w:rPr>
        <w:t>Action</w:t>
      </w:r>
      <w:r w:rsidRPr="000E50F1">
        <w:rPr>
          <w:rFonts w:ascii="Cambria Math" w:hAnsi="Cambria Math" w:cs="Cambria Math"/>
        </w:rPr>
        <w:t>‐</w:t>
      </w:r>
      <w:r w:rsidRPr="000E50F1">
        <w:rPr>
          <w:rFonts w:ascii="Times" w:hAnsi="Times"/>
        </w:rPr>
        <w:t xml:space="preserve">Plan.pdf </w:t>
      </w:r>
    </w:p>
    <w:p w14:paraId="3AC9F3D4" w14:textId="39A83FA2"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 2016a. A guide to finding housing in Hamilton. http:// hamiltonimmigration.ca/sites/default/files/docs/housin- g_in_hamilton_2016_en.pdf </w:t>
      </w:r>
    </w:p>
    <w:p w14:paraId="709BDC69" w14:textId="069DEDE4"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lastRenderedPageBreak/>
        <w:t>—. 2016b. Hamilton newcomer services: Quick guide. http:// hamiltonimmigration.ca/sites/default/files/docs/english</w:t>
      </w:r>
      <w:r w:rsidRPr="000E50F1">
        <w:rPr>
          <w:rFonts w:ascii="Cambria Math" w:hAnsi="Cambria Math" w:cs="Cambria Math"/>
        </w:rPr>
        <w:t>‐</w:t>
      </w:r>
      <w:r w:rsidRPr="000E50F1">
        <w:rPr>
          <w:rFonts w:ascii="Times" w:hAnsi="Times"/>
        </w:rPr>
        <w:t xml:space="preserve"> service_providers_guide</w:t>
      </w:r>
      <w:r w:rsidRPr="000E50F1">
        <w:rPr>
          <w:rFonts w:ascii="Cambria Math" w:hAnsi="Cambria Math" w:cs="Cambria Math"/>
        </w:rPr>
        <w:t>‐</w:t>
      </w:r>
      <w:r w:rsidRPr="000E50F1">
        <w:rPr>
          <w:rFonts w:ascii="Times" w:hAnsi="Times"/>
        </w:rPr>
        <w:t xml:space="preserve">may_31_2016.pdf </w:t>
      </w:r>
    </w:p>
    <w:p w14:paraId="2663A487" w14:textId="73BBF49B"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 2017. Annual Report 2016. http://hamiltonimmigration.ca/ sites/default/files/docs/hipc_annual_report_2016.pdf </w:t>
      </w:r>
    </w:p>
    <w:p w14:paraId="57AB9699" w14:textId="4A4B6355"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IRCC (Immigration, Refugees and Citizenship Canada). </w:t>
      </w:r>
      <w:r w:rsidR="00C85F79" w:rsidRPr="000E50F1">
        <w:rPr>
          <w:rFonts w:ascii="Times" w:hAnsi="Times"/>
        </w:rPr>
        <w:t xml:space="preserve">2016a. Canada—Admissions of Syrian refugees by province/territory and census metropolitan area (CMA) of intended destination and immigration category, November 4th, 2015–September 30th, 2016. </w:t>
      </w:r>
      <w:r w:rsidRPr="000E50F1">
        <w:rPr>
          <w:rFonts w:ascii="Times" w:hAnsi="Times"/>
        </w:rPr>
        <w:t>https://open.canada.ca/data/ en/dataset/4a1b260a</w:t>
      </w:r>
      <w:r w:rsidRPr="000E50F1">
        <w:rPr>
          <w:rFonts w:ascii="Cambria Math" w:hAnsi="Cambria Math" w:cs="Cambria Math"/>
        </w:rPr>
        <w:t>‐</w:t>
      </w:r>
      <w:r w:rsidRPr="000E50F1">
        <w:rPr>
          <w:rFonts w:ascii="Times" w:hAnsi="Times"/>
        </w:rPr>
        <w:t>7ac4</w:t>
      </w:r>
      <w:r w:rsidRPr="000E50F1">
        <w:rPr>
          <w:rFonts w:ascii="Cambria Math" w:hAnsi="Cambria Math" w:cs="Cambria Math"/>
        </w:rPr>
        <w:t>‐</w:t>
      </w:r>
      <w:r w:rsidRPr="000E50F1">
        <w:rPr>
          <w:rFonts w:ascii="Times" w:hAnsi="Times"/>
        </w:rPr>
        <w:t>4985</w:t>
      </w:r>
      <w:r w:rsidRPr="000E50F1">
        <w:rPr>
          <w:rFonts w:ascii="Cambria Math" w:hAnsi="Cambria Math" w:cs="Cambria Math"/>
        </w:rPr>
        <w:t>‐</w:t>
      </w:r>
      <w:r w:rsidRPr="000E50F1">
        <w:rPr>
          <w:rFonts w:ascii="Times" w:hAnsi="Times"/>
        </w:rPr>
        <w:t>80a0</w:t>
      </w:r>
      <w:r w:rsidRPr="000E50F1">
        <w:rPr>
          <w:rFonts w:ascii="Cambria Math" w:hAnsi="Cambria Math" w:cs="Cambria Math"/>
        </w:rPr>
        <w:t>‐</w:t>
      </w:r>
      <w:r w:rsidRPr="000E50F1">
        <w:rPr>
          <w:rFonts w:ascii="Times" w:hAnsi="Times"/>
        </w:rPr>
        <w:t xml:space="preserve">603bfe4aec11 </w:t>
      </w:r>
    </w:p>
    <w:p w14:paraId="6CBD5754" w14:textId="7D5EC45F"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2016b. Facts and figures 2016, Immigration overview— Permanent residents</w:t>
      </w:r>
      <w:r w:rsidR="00D85E8D" w:rsidRPr="000E50F1">
        <w:rPr>
          <w:rFonts w:ascii="Times" w:hAnsi="Times"/>
        </w:rPr>
        <w:t xml:space="preserve">. </w:t>
      </w:r>
      <w:r w:rsidRPr="000E50F1">
        <w:rPr>
          <w:rFonts w:ascii="Times" w:hAnsi="Times"/>
        </w:rPr>
        <w:t>http://www.cic.gc.ca/opendata</w:t>
      </w:r>
      <w:r w:rsidRPr="000E50F1">
        <w:rPr>
          <w:rFonts w:ascii="Cambria Math" w:hAnsi="Cambria Math" w:cs="Cambria Math"/>
        </w:rPr>
        <w:t>‐</w:t>
      </w:r>
      <w:r w:rsidRPr="000E50F1">
        <w:rPr>
          <w:rFonts w:ascii="Times" w:hAnsi="Times"/>
        </w:rPr>
        <w:t xml:space="preserve">donneesouv ertes/data/Facts_and_Figures_2016_PR_EN.pdf </w:t>
      </w:r>
    </w:p>
    <w:p w14:paraId="36CC1300" w14:textId="01496B35"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2017. Evaluation of the settlement program. Research and Evaluation Branch. November. https://www.canada.ca/en/ immigration</w:t>
      </w:r>
      <w:r w:rsidRPr="000E50F1">
        <w:rPr>
          <w:rFonts w:ascii="Cambria Math" w:hAnsi="Cambria Math" w:cs="Cambria Math"/>
        </w:rPr>
        <w:t>‐</w:t>
      </w:r>
      <w:r w:rsidRPr="000E50F1">
        <w:rPr>
          <w:rFonts w:ascii="Times" w:hAnsi="Times"/>
        </w:rPr>
        <w:t>refugees</w:t>
      </w:r>
      <w:r w:rsidRPr="000E50F1">
        <w:rPr>
          <w:rFonts w:ascii="Cambria Math" w:hAnsi="Cambria Math" w:cs="Cambria Math"/>
        </w:rPr>
        <w:t>‐</w:t>
      </w:r>
      <w:r w:rsidRPr="000E50F1">
        <w:rPr>
          <w:rFonts w:ascii="Times" w:hAnsi="Times"/>
        </w:rPr>
        <w:t>citizenship/corporate/reports</w:t>
      </w:r>
      <w:r w:rsidRPr="000E50F1">
        <w:rPr>
          <w:rFonts w:ascii="Cambria Math" w:hAnsi="Cambria Math" w:cs="Cambria Math"/>
        </w:rPr>
        <w:t>‐</w:t>
      </w:r>
      <w:r w:rsidRPr="000E50F1">
        <w:rPr>
          <w:rFonts w:ascii="Times" w:hAnsi="Times"/>
        </w:rPr>
        <w:t>statistics/ evaluations/settlement</w:t>
      </w:r>
      <w:r w:rsidRPr="000E50F1">
        <w:rPr>
          <w:rFonts w:ascii="Cambria Math" w:hAnsi="Cambria Math" w:cs="Cambria Math"/>
        </w:rPr>
        <w:t>‐</w:t>
      </w:r>
      <w:r w:rsidRPr="000E50F1">
        <w:rPr>
          <w:rFonts w:ascii="Times" w:hAnsi="Times"/>
        </w:rPr>
        <w:t xml:space="preserve">program.html </w:t>
      </w:r>
    </w:p>
    <w:p w14:paraId="4E01A69D"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Jessop, B. 2002. Liberalism, neoliberalism, and urban governance: A state–theoretical perspective. Antipode 34(3): 452–472. </w:t>
      </w:r>
    </w:p>
    <w:p w14:paraId="1911707B" w14:textId="78A27890" w:rsidR="00FD6699" w:rsidRPr="000E50F1" w:rsidRDefault="00FD6699" w:rsidP="00FD6699">
      <w:pPr>
        <w:pStyle w:val="NormalWeb"/>
        <w:ind w:left="567" w:hanging="567"/>
        <w:rPr>
          <w:rFonts w:ascii="Times" w:hAnsi="Times"/>
        </w:rPr>
      </w:pPr>
      <w:r w:rsidRPr="000E50F1">
        <w:rPr>
          <w:rFonts w:ascii="Times" w:hAnsi="Times"/>
        </w:rPr>
        <w:t xml:space="preserve">Macmillan, R., and A. Townsend. 2006. A ‘new’ institutional fix? The ‘community turn’ and the changing role of the voluntary sector. In Landscapes of voluntarism: New spaces of health, </w:t>
      </w:r>
      <w:r w:rsidRPr="000E50F1">
        <w:rPr>
          <w:rFonts w:ascii="Times" w:eastAsia="Times New Roman" w:hAnsi="Times"/>
          <w:lang w:val="en-CA"/>
        </w:rPr>
        <w:t xml:space="preserve">welfare and governance, ed. Milligan, C., and D. Conradson. </w:t>
      </w:r>
      <w:r w:rsidRPr="000E50F1">
        <w:rPr>
          <w:rFonts w:ascii="Times" w:hAnsi="Times"/>
        </w:rPr>
        <w:t>Bristol, UK: Policy Press, 15–32.</w:t>
      </w:r>
    </w:p>
    <w:p w14:paraId="02D5FB99" w14:textId="15B7C3FF" w:rsidR="00FD6699" w:rsidRPr="000E50F1" w:rsidRDefault="00FD6699" w:rsidP="00FD6699">
      <w:pPr>
        <w:pStyle w:val="NormalWeb"/>
        <w:ind w:left="567" w:hanging="567"/>
        <w:rPr>
          <w:rFonts w:ascii="Times" w:eastAsia="Times New Roman" w:hAnsi="Times"/>
          <w:lang w:val="en-CA"/>
        </w:rPr>
      </w:pPr>
      <w:r w:rsidRPr="000E50F1">
        <w:rPr>
          <w:rFonts w:ascii="Times" w:hAnsi="Times"/>
        </w:rPr>
        <w:t xml:space="preserve">Milligan, C., and D. Conradson. 2006. Contemporary landscapes of welfare: The ‘voluntary turn’? In Landscapes of voluntarism: New spaces of health, welfare and governance, ed. Milligan, C., and D. Conradson. Bristol, UK: Policy Press, 1–14. </w:t>
      </w:r>
    </w:p>
    <w:p w14:paraId="6621C38B" w14:textId="4456DB7F"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Mukhtar, M., J. Dean, K. Wilson, E. Ghassemi, and D. H. Wilson. 2016. “But many of these problems are about funds...”: The challenges immigrant settlement agencies (ISAs) encounter in a suburban setting in Ontario, Canada. Journal of International Migration and Integration 17(2): 389–408. </w:t>
      </w:r>
    </w:p>
    <w:p w14:paraId="385796B9"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Peck, J., and A. Tickell. 2002. Neoliberalizing space. Antipode 34(3): 380–404. </w:t>
      </w:r>
    </w:p>
    <w:p w14:paraId="133DFEEB"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lastRenderedPageBreak/>
        <w:t>Richmond, T., and J. Shields. 2005. NGO</w:t>
      </w:r>
      <w:r w:rsidRPr="000E50F1">
        <w:rPr>
          <w:rFonts w:ascii="Cambria Math" w:hAnsi="Cambria Math" w:cs="Cambria Math"/>
        </w:rPr>
        <w:t>‐</w:t>
      </w:r>
      <w:r w:rsidRPr="000E50F1">
        <w:rPr>
          <w:rFonts w:ascii="Times" w:hAnsi="Times"/>
        </w:rPr>
        <w:t xml:space="preserve">government relations and immigrant services: Contradictions and challenges. Journal of International Migration and Integration 6(3–4): 513–526. </w:t>
      </w:r>
    </w:p>
    <w:p w14:paraId="4C692A54"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Stake, R. E. 1995. The art of case study research. Thousand Oaks, CA: Sage Publications, Inc. </w:t>
      </w:r>
    </w:p>
    <w:p w14:paraId="35C39BEE"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Statistics Canada. Census Profile, 2016 Census. Hamilton, Census division [Census division], Ontario and Ontario [Province]. https://www12.statcan.gc.ca/census</w:t>
      </w:r>
      <w:r w:rsidRPr="000E50F1">
        <w:rPr>
          <w:rFonts w:ascii="Cambria Math" w:hAnsi="Cambria Math" w:cs="Cambria Math"/>
        </w:rPr>
        <w:t>‐</w:t>
      </w:r>
      <w:r w:rsidRPr="000E50F1">
        <w:rPr>
          <w:rFonts w:ascii="Times" w:hAnsi="Times"/>
        </w:rPr>
        <w:t>recensement/2016/dp</w:t>
      </w:r>
      <w:r w:rsidRPr="000E50F1">
        <w:rPr>
          <w:rFonts w:ascii="Cambria Math" w:hAnsi="Cambria Math" w:cs="Cambria Math"/>
        </w:rPr>
        <w:t>‐</w:t>
      </w:r>
      <w:r w:rsidRPr="000E50F1">
        <w:rPr>
          <w:rFonts w:ascii="Times" w:hAnsi="Times"/>
        </w:rPr>
        <w:t xml:space="preserve"> pd/prof/details/page.cfm?Lang=E&amp;Geo1=CD&amp;Code1=3525&amp; Geo2=PR&amp;Code2=35&amp;Data=Count&amp;SearchText=hamilton&amp; SearchType=Begins&amp;SearchPR=01&amp;B1=All&amp;TABID=1 </w:t>
      </w:r>
    </w:p>
    <w:p w14:paraId="2C41C763" w14:textId="17D4D67A"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Veronis, L. 2006. Rethinking transnationalism: Citizenship and immigrant participation in neoliberal Toronto. </w:t>
      </w:r>
      <w:r w:rsidR="00C85F79" w:rsidRPr="000E50F1">
        <w:rPr>
          <w:rFonts w:ascii="Times" w:hAnsi="Times"/>
        </w:rPr>
        <w:t xml:space="preserve">PhD Dissertation, Department of Geography and Planning, University of Toronto. </w:t>
      </w:r>
    </w:p>
    <w:p w14:paraId="728AF734" w14:textId="5B34D571"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2019. Building intersectoral networks as a place</w:t>
      </w:r>
      <w:r w:rsidRPr="000E50F1">
        <w:rPr>
          <w:rFonts w:ascii="Cambria Math" w:hAnsi="Cambria Math" w:cs="Cambria Math"/>
        </w:rPr>
        <w:t>‐</w:t>
      </w:r>
      <w:r w:rsidRPr="000E50F1">
        <w:rPr>
          <w:rFonts w:ascii="Times" w:hAnsi="Times"/>
        </w:rPr>
        <w:t xml:space="preserve">based strategy for refugee (re)settlement: The Ottawa Local Immigration Partnership. The Canadian Geographer 63(3): https://doi.org/10.1111/cag.12559 </w:t>
      </w:r>
    </w:p>
    <w:p w14:paraId="583A88B7"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Walton</w:t>
      </w:r>
      <w:r w:rsidRPr="000E50F1">
        <w:rPr>
          <w:rFonts w:ascii="Cambria Math" w:hAnsi="Cambria Math" w:cs="Cambria Math"/>
        </w:rPr>
        <w:t>‐</w:t>
      </w:r>
      <w:r w:rsidRPr="000E50F1">
        <w:rPr>
          <w:rFonts w:ascii="Times" w:hAnsi="Times"/>
        </w:rPr>
        <w:t xml:space="preserve">Roberts, M., L. Veronis, S. Wayland, H. Dam, and B. Cullen. 2019. Syrian refugee resettlement and the role of local immigrant partnerships in Ontario, Canada. The Canadian Geographer 63(3): https://doi.org/10.1111/cag.12561 </w:t>
      </w:r>
    </w:p>
    <w:p w14:paraId="03E9D6DA" w14:textId="77777777" w:rsidR="00FD6699" w:rsidRPr="000E50F1" w:rsidRDefault="00FD6699" w:rsidP="00FD6699">
      <w:pPr>
        <w:spacing w:before="100" w:beforeAutospacing="1" w:after="100" w:afterAutospacing="1"/>
        <w:ind w:left="567" w:hanging="567"/>
        <w:rPr>
          <w:rFonts w:ascii="Times" w:hAnsi="Times"/>
        </w:rPr>
      </w:pPr>
      <w:r w:rsidRPr="000E50F1">
        <w:rPr>
          <w:rFonts w:ascii="Times" w:hAnsi="Times"/>
        </w:rPr>
        <w:t xml:space="preserve">Wolch, J. 1990. The shadow state: Government and voluntary sector in transition. New York, NY: The Foundation Center. </w:t>
      </w:r>
    </w:p>
    <w:p w14:paraId="46EF469A" w14:textId="632A7320" w:rsidR="001365EE" w:rsidRPr="000E50F1" w:rsidRDefault="001365EE">
      <w:pPr>
        <w:rPr>
          <w:rFonts w:ascii="Times" w:eastAsia="Calibri" w:hAnsi="Times"/>
          <w:b/>
          <w:bCs/>
        </w:rPr>
      </w:pPr>
    </w:p>
    <w:p w14:paraId="13265608" w14:textId="77777777" w:rsidR="00B73E8D" w:rsidRPr="000E50F1" w:rsidRDefault="00B73E8D">
      <w:pPr>
        <w:rPr>
          <w:rFonts w:ascii="Times" w:eastAsia="Calibri" w:hAnsi="Times"/>
          <w:b/>
          <w:lang w:val="en-US"/>
        </w:rPr>
      </w:pPr>
      <w:r w:rsidRPr="000E50F1">
        <w:rPr>
          <w:rFonts w:ascii="Times" w:eastAsia="Calibri" w:hAnsi="Times"/>
        </w:rPr>
        <w:br w:type="page"/>
      </w:r>
    </w:p>
    <w:p w14:paraId="3E61B73B" w14:textId="098EC95A" w:rsidR="00812859" w:rsidRPr="000E50F1" w:rsidRDefault="00812859" w:rsidP="00327711">
      <w:pPr>
        <w:pStyle w:val="Heading1"/>
        <w:jc w:val="center"/>
        <w:rPr>
          <w:rFonts w:ascii="Times" w:hAnsi="Times"/>
          <w:color w:val="auto"/>
          <w:sz w:val="24"/>
          <w:szCs w:val="24"/>
        </w:rPr>
      </w:pPr>
      <w:bookmarkStart w:id="29" w:name="_Toc60231899"/>
      <w:r w:rsidRPr="000E50F1">
        <w:rPr>
          <w:rFonts w:ascii="Times" w:eastAsia="Calibri" w:hAnsi="Times"/>
          <w:color w:val="auto"/>
          <w:sz w:val="24"/>
          <w:szCs w:val="24"/>
        </w:rPr>
        <w:lastRenderedPageBreak/>
        <w:t xml:space="preserve">CHAPTER </w:t>
      </w:r>
      <w:r w:rsidR="008B606F" w:rsidRPr="000E50F1">
        <w:rPr>
          <w:rFonts w:ascii="Times" w:eastAsia="Calibri" w:hAnsi="Times"/>
          <w:color w:val="auto"/>
          <w:sz w:val="24"/>
          <w:szCs w:val="24"/>
        </w:rPr>
        <w:t>FOUR</w:t>
      </w:r>
      <w:r w:rsidRPr="000E50F1">
        <w:rPr>
          <w:rFonts w:ascii="Times" w:eastAsia="Calibri" w:hAnsi="Times"/>
          <w:color w:val="auto"/>
          <w:sz w:val="24"/>
          <w:szCs w:val="24"/>
        </w:rPr>
        <w:t xml:space="preserve">: MENTAL HEALTH ACCESS </w:t>
      </w:r>
      <w:r w:rsidR="00A8282F" w:rsidRPr="000E50F1">
        <w:rPr>
          <w:rFonts w:ascii="Times" w:eastAsia="Calibri" w:hAnsi="Times"/>
          <w:color w:val="auto"/>
          <w:sz w:val="24"/>
          <w:szCs w:val="24"/>
        </w:rPr>
        <w:t>&amp;</w:t>
      </w:r>
      <w:r w:rsidRPr="000E50F1">
        <w:rPr>
          <w:rFonts w:ascii="Times" w:eastAsia="Calibri" w:hAnsi="Times"/>
          <w:color w:val="auto"/>
          <w:sz w:val="24"/>
          <w:szCs w:val="24"/>
        </w:rPr>
        <w:t xml:space="preserve"> ACCESSIBILITY</w:t>
      </w:r>
      <w:bookmarkEnd w:id="29"/>
    </w:p>
    <w:p w14:paraId="45BF2FB8" w14:textId="77777777" w:rsidR="00812859" w:rsidRPr="000E50F1" w:rsidRDefault="00812859" w:rsidP="00812859">
      <w:pPr>
        <w:rPr>
          <w:rFonts w:ascii="Times" w:eastAsia="Calibri" w:hAnsi="Times"/>
        </w:rPr>
      </w:pPr>
    </w:p>
    <w:p w14:paraId="52968527" w14:textId="00B88F0D" w:rsidR="00812859" w:rsidRPr="000E50F1" w:rsidRDefault="00812859" w:rsidP="00C85F79">
      <w:pPr>
        <w:ind w:left="567" w:right="4" w:hanging="567"/>
        <w:rPr>
          <w:rFonts w:ascii="Times" w:hAnsi="Times" w:cs="Arial"/>
          <w:b/>
          <w:lang w:val="en-US"/>
        </w:rPr>
      </w:pPr>
      <w:r w:rsidRPr="000E50F1">
        <w:rPr>
          <w:rFonts w:ascii="Times" w:hAnsi="Times" w:cs="Arial"/>
          <w:b/>
          <w:lang w:val="en-US"/>
        </w:rPr>
        <w:t>Mental Health Access and Accessibility: Bridging Spaces of School-Based Settlement Services and School-Based Mental Health for Immigrant and Refugee Youth</w:t>
      </w:r>
      <w:r w:rsidR="003B724D" w:rsidRPr="000E50F1">
        <w:rPr>
          <w:rFonts w:ascii="Times" w:hAnsi="Times" w:cs="Arial"/>
          <w:b/>
          <w:lang w:val="en-US"/>
        </w:rPr>
        <w:t xml:space="preserve"> in Secondary School</w:t>
      </w:r>
      <w:r w:rsidR="00F55109" w:rsidRPr="000E50F1">
        <w:rPr>
          <w:rFonts w:ascii="Times" w:hAnsi="Times" w:cs="Arial"/>
          <w:b/>
          <w:lang w:val="en-US"/>
        </w:rPr>
        <w:t>s</w:t>
      </w:r>
      <w:r w:rsidR="003B724D" w:rsidRPr="000E50F1">
        <w:rPr>
          <w:rFonts w:ascii="Times" w:hAnsi="Times" w:cs="Arial"/>
          <w:b/>
          <w:lang w:val="en-US"/>
        </w:rPr>
        <w:t xml:space="preserve"> </w:t>
      </w:r>
    </w:p>
    <w:p w14:paraId="737F04CD" w14:textId="77777777" w:rsidR="00812859" w:rsidRPr="000E50F1" w:rsidRDefault="00812859" w:rsidP="00812859">
      <w:pPr>
        <w:rPr>
          <w:rFonts w:ascii="Times" w:eastAsia="Calibri" w:hAnsi="Times"/>
        </w:rPr>
      </w:pPr>
    </w:p>
    <w:p w14:paraId="6AE8324B" w14:textId="77777777" w:rsidR="00812859" w:rsidRPr="000E50F1" w:rsidRDefault="00812859" w:rsidP="00812859">
      <w:pPr>
        <w:ind w:right="4"/>
        <w:rPr>
          <w:rFonts w:ascii="Times" w:hAnsi="Times" w:cs="Arial"/>
          <w:b/>
          <w:lang w:val="en-US"/>
        </w:rPr>
      </w:pPr>
      <w:r w:rsidRPr="000E50F1">
        <w:rPr>
          <w:rFonts w:ascii="Times" w:hAnsi="Times" w:cs="Arial"/>
          <w:b/>
          <w:lang w:val="en-US"/>
        </w:rPr>
        <w:t>Abstract</w:t>
      </w:r>
    </w:p>
    <w:p w14:paraId="68DE50F8" w14:textId="5F05B272" w:rsidR="00812859" w:rsidRPr="000E50F1" w:rsidRDefault="00812859" w:rsidP="00812859">
      <w:pPr>
        <w:ind w:right="4"/>
        <w:rPr>
          <w:rFonts w:ascii="Times" w:hAnsi="Times" w:cs="Arial"/>
          <w:bCs/>
          <w:lang w:val="en-US"/>
        </w:rPr>
      </w:pPr>
      <w:r w:rsidRPr="000E50F1">
        <w:rPr>
          <w:rFonts w:ascii="Times" w:hAnsi="Times" w:cs="Arial"/>
          <w:bCs/>
        </w:rPr>
        <w:t xml:space="preserve">Translating school-based mental health interventions remains an ongoing challenge for immigrant receiving communities. </w:t>
      </w:r>
      <w:r w:rsidRPr="000E50F1">
        <w:rPr>
          <w:rFonts w:ascii="Times" w:hAnsi="Times" w:cs="Arial"/>
          <w:bCs/>
          <w:lang w:val="en-US"/>
        </w:rPr>
        <w:t xml:space="preserve">Drawing on interviews with nine school-based settlement workers in one mid-size Canadian city, this study explores </w:t>
      </w:r>
      <w:r w:rsidRPr="000E50F1">
        <w:rPr>
          <w:rFonts w:ascii="Times" w:hAnsi="Times" w:cs="Arial"/>
          <w:bCs/>
        </w:rPr>
        <w:t xml:space="preserve">strategies used to improve </w:t>
      </w:r>
      <w:r w:rsidR="0022537F" w:rsidRPr="000E50F1">
        <w:rPr>
          <w:rFonts w:ascii="Times" w:hAnsi="Times" w:cs="Arial"/>
          <w:bCs/>
        </w:rPr>
        <w:t xml:space="preserve">school-based </w:t>
      </w:r>
      <w:r w:rsidR="00227C7F" w:rsidRPr="000E50F1">
        <w:rPr>
          <w:rFonts w:ascii="Times" w:hAnsi="Times" w:cs="Arial"/>
          <w:bCs/>
        </w:rPr>
        <w:t xml:space="preserve">pathways to equity in </w:t>
      </w:r>
      <w:r w:rsidRPr="000E50F1">
        <w:rPr>
          <w:rFonts w:ascii="Times" w:hAnsi="Times" w:cs="Arial"/>
          <w:bCs/>
        </w:rPr>
        <w:t>mental health for young immigrants and refugees new to Canada</w:t>
      </w:r>
      <w:r w:rsidR="00227C7F" w:rsidRPr="000E50F1">
        <w:rPr>
          <w:rFonts w:ascii="Times" w:hAnsi="Times" w:cs="Arial"/>
          <w:bCs/>
          <w:lang w:val="en-US"/>
        </w:rPr>
        <w:t>. Findings from this research suggest a focus on promoting autonomy</w:t>
      </w:r>
      <w:r w:rsidR="0022537F" w:rsidRPr="000E50F1">
        <w:rPr>
          <w:rFonts w:ascii="Times" w:hAnsi="Times" w:cs="Arial"/>
          <w:bCs/>
        </w:rPr>
        <w:t xml:space="preserve">, </w:t>
      </w:r>
      <w:r w:rsidR="00227C7F" w:rsidRPr="000E50F1">
        <w:rPr>
          <w:rFonts w:ascii="Times" w:hAnsi="Times" w:cs="Arial"/>
          <w:bCs/>
          <w:lang w:val="en-US"/>
        </w:rPr>
        <w:t>increasing privacy</w:t>
      </w:r>
      <w:r w:rsidR="0022537F" w:rsidRPr="000E50F1">
        <w:rPr>
          <w:rFonts w:ascii="Times" w:hAnsi="Times" w:cs="Arial"/>
          <w:bCs/>
          <w:lang w:val="en-US"/>
        </w:rPr>
        <w:t xml:space="preserve">, and ensuring </w:t>
      </w:r>
      <w:r w:rsidR="00227C7F" w:rsidRPr="000E50F1">
        <w:rPr>
          <w:rFonts w:ascii="Times" w:hAnsi="Times" w:cs="Arial"/>
          <w:bCs/>
          <w:lang w:val="en-US"/>
        </w:rPr>
        <w:t xml:space="preserve">anonymity in mental health </w:t>
      </w:r>
      <w:r w:rsidR="00FB4307" w:rsidRPr="000E50F1">
        <w:rPr>
          <w:rFonts w:ascii="Times" w:hAnsi="Times" w:cs="Arial"/>
          <w:bCs/>
          <w:lang w:val="en-US"/>
        </w:rPr>
        <w:t>education</w:t>
      </w:r>
      <w:r w:rsidR="00227C7F" w:rsidRPr="000E50F1">
        <w:rPr>
          <w:rFonts w:ascii="Times" w:hAnsi="Times" w:cs="Arial"/>
          <w:bCs/>
          <w:lang w:val="en-US"/>
        </w:rPr>
        <w:t>,</w:t>
      </w:r>
      <w:r w:rsidR="00FB4307" w:rsidRPr="000E50F1">
        <w:rPr>
          <w:rFonts w:ascii="Times" w:hAnsi="Times" w:cs="Arial"/>
          <w:bCs/>
          <w:lang w:val="en-US"/>
        </w:rPr>
        <w:t xml:space="preserve"> service </w:t>
      </w:r>
      <w:r w:rsidR="00227C7F" w:rsidRPr="000E50F1">
        <w:rPr>
          <w:rFonts w:ascii="Times" w:hAnsi="Times" w:cs="Arial"/>
          <w:bCs/>
          <w:lang w:val="en-US"/>
        </w:rPr>
        <w:t>access,</w:t>
      </w:r>
      <w:r w:rsidR="00FB4307" w:rsidRPr="000E50F1">
        <w:rPr>
          <w:rFonts w:ascii="Times" w:hAnsi="Times" w:cs="Arial"/>
          <w:bCs/>
          <w:lang w:val="en-US"/>
        </w:rPr>
        <w:t xml:space="preserve"> and utilization</w:t>
      </w:r>
      <w:r w:rsidR="00227C7F" w:rsidRPr="000E50F1">
        <w:rPr>
          <w:rFonts w:ascii="Times" w:hAnsi="Times" w:cs="Arial"/>
          <w:bCs/>
          <w:lang w:val="en-US"/>
        </w:rPr>
        <w:t xml:space="preserve">. </w:t>
      </w:r>
      <w:r w:rsidRPr="000E50F1">
        <w:rPr>
          <w:rFonts w:ascii="Times" w:hAnsi="Times" w:cs="Arial"/>
          <w:bCs/>
          <w:lang w:val="en-US"/>
        </w:rPr>
        <w:t xml:space="preserve">This exploratory paper </w:t>
      </w:r>
      <w:r w:rsidR="00B9363A" w:rsidRPr="000E50F1">
        <w:rPr>
          <w:rFonts w:ascii="Times" w:hAnsi="Times" w:cs="Arial"/>
          <w:bCs/>
          <w:lang w:val="en-US"/>
        </w:rPr>
        <w:t>contributes to a better understanding of mental health barriers and facilitators</w:t>
      </w:r>
      <w:r w:rsidR="0022537F" w:rsidRPr="000E50F1">
        <w:rPr>
          <w:rFonts w:ascii="Times" w:hAnsi="Times" w:cs="Arial"/>
          <w:bCs/>
          <w:lang w:val="en-US"/>
        </w:rPr>
        <w:t>,</w:t>
      </w:r>
      <w:r w:rsidR="00FB4307" w:rsidRPr="000E50F1">
        <w:rPr>
          <w:rFonts w:ascii="Times" w:hAnsi="Times" w:cs="Arial"/>
          <w:bCs/>
          <w:lang w:val="en-US"/>
        </w:rPr>
        <w:t xml:space="preserve"> </w:t>
      </w:r>
      <w:r w:rsidR="0022537F" w:rsidRPr="000E50F1">
        <w:rPr>
          <w:rFonts w:ascii="Times" w:hAnsi="Times" w:cs="Arial"/>
          <w:bCs/>
          <w:lang w:val="en-US"/>
        </w:rPr>
        <w:t>and</w:t>
      </w:r>
      <w:r w:rsidR="00FB4307" w:rsidRPr="000E50F1">
        <w:rPr>
          <w:rFonts w:ascii="Times" w:hAnsi="Times" w:cs="Arial"/>
          <w:bCs/>
          <w:lang w:val="en-US"/>
        </w:rPr>
        <w:t xml:space="preserve"> </w:t>
      </w:r>
      <w:r w:rsidRPr="000E50F1">
        <w:rPr>
          <w:rFonts w:ascii="Times" w:hAnsi="Times" w:cs="Arial"/>
          <w:bCs/>
          <w:lang w:val="en-US"/>
        </w:rPr>
        <w:t>identifies population-focused</w:t>
      </w:r>
      <w:r w:rsidR="00F32546" w:rsidRPr="000E50F1">
        <w:rPr>
          <w:rFonts w:ascii="Times" w:hAnsi="Times" w:cs="Arial"/>
          <w:bCs/>
          <w:lang w:val="en-US"/>
        </w:rPr>
        <w:t xml:space="preserve"> </w:t>
      </w:r>
      <w:r w:rsidRPr="000E50F1">
        <w:rPr>
          <w:rFonts w:ascii="Times" w:hAnsi="Times" w:cs="Arial"/>
          <w:bCs/>
          <w:lang w:val="en-US"/>
        </w:rPr>
        <w:t>equitable</w:t>
      </w:r>
      <w:r w:rsidR="00F32546" w:rsidRPr="000E50F1">
        <w:rPr>
          <w:rFonts w:ascii="Times" w:hAnsi="Times" w:cs="Arial"/>
          <w:bCs/>
          <w:lang w:val="en-US"/>
        </w:rPr>
        <w:t xml:space="preserve"> </w:t>
      </w:r>
      <w:r w:rsidRPr="000E50F1">
        <w:rPr>
          <w:rFonts w:ascii="Times" w:hAnsi="Times" w:cs="Arial"/>
          <w:bCs/>
          <w:lang w:val="en-US"/>
        </w:rPr>
        <w:t xml:space="preserve">and ethical </w:t>
      </w:r>
      <w:r w:rsidR="00F32546" w:rsidRPr="000E50F1">
        <w:rPr>
          <w:rFonts w:ascii="Times" w:hAnsi="Times" w:cs="Arial"/>
          <w:bCs/>
          <w:lang w:val="en-US"/>
        </w:rPr>
        <w:t>practice</w:t>
      </w:r>
      <w:r w:rsidRPr="000E50F1">
        <w:rPr>
          <w:rFonts w:ascii="Times" w:hAnsi="Times" w:cs="Arial"/>
          <w:bCs/>
          <w:lang w:val="en-US"/>
        </w:rPr>
        <w:t xml:space="preserve"> for immigrant and refugee </w:t>
      </w:r>
      <w:r w:rsidR="00F766F4" w:rsidRPr="000E50F1">
        <w:rPr>
          <w:rFonts w:ascii="Times" w:hAnsi="Times" w:cs="Arial"/>
          <w:bCs/>
          <w:lang w:val="en-US"/>
        </w:rPr>
        <w:t>youth</w:t>
      </w:r>
      <w:r w:rsidRPr="000E50F1">
        <w:rPr>
          <w:rFonts w:ascii="Times" w:hAnsi="Times" w:cs="Arial"/>
          <w:bCs/>
          <w:lang w:val="en-US"/>
        </w:rPr>
        <w:t xml:space="preserve"> and </w:t>
      </w:r>
      <w:r w:rsidR="00222C20" w:rsidRPr="000E50F1">
        <w:rPr>
          <w:rFonts w:ascii="Times" w:hAnsi="Times" w:cs="Arial"/>
          <w:bCs/>
          <w:lang w:val="en-US"/>
        </w:rPr>
        <w:t xml:space="preserve">their </w:t>
      </w:r>
      <w:r w:rsidR="00F32546" w:rsidRPr="000E50F1">
        <w:rPr>
          <w:rFonts w:ascii="Times" w:hAnsi="Times" w:cs="Arial"/>
          <w:bCs/>
          <w:lang w:val="en-US"/>
        </w:rPr>
        <w:t>families</w:t>
      </w:r>
      <w:r w:rsidR="00B9363A" w:rsidRPr="000E50F1">
        <w:rPr>
          <w:rFonts w:ascii="Times" w:hAnsi="Times" w:cs="Arial"/>
          <w:bCs/>
          <w:lang w:val="en-US"/>
        </w:rPr>
        <w:t>.</w:t>
      </w:r>
    </w:p>
    <w:p w14:paraId="33D51F53" w14:textId="77777777" w:rsidR="00812859" w:rsidRPr="000E50F1" w:rsidRDefault="00812859" w:rsidP="00812859">
      <w:pPr>
        <w:rPr>
          <w:rFonts w:ascii="Times" w:eastAsia="Calibri" w:hAnsi="Times"/>
        </w:rPr>
      </w:pPr>
    </w:p>
    <w:p w14:paraId="121F75D7" w14:textId="14ED4910" w:rsidR="00812859" w:rsidRPr="000E50F1" w:rsidRDefault="00812859" w:rsidP="00812859">
      <w:pPr>
        <w:rPr>
          <w:rFonts w:ascii="Times" w:eastAsia="Times" w:hAnsi="Times" w:cs="Times"/>
        </w:rPr>
      </w:pPr>
      <w:r w:rsidRPr="000E50F1">
        <w:rPr>
          <w:rFonts w:ascii="Times" w:eastAsia="Times" w:hAnsi="Times" w:cs="Times"/>
          <w:b/>
          <w:bCs/>
        </w:rPr>
        <w:t>Keywords</w:t>
      </w:r>
      <w:r w:rsidRPr="000E50F1">
        <w:rPr>
          <w:rFonts w:ascii="Times" w:eastAsia="Times" w:hAnsi="Times" w:cs="Times"/>
        </w:rPr>
        <w:t>:</w:t>
      </w:r>
      <w:r w:rsidRPr="000E50F1">
        <w:rPr>
          <w:rFonts w:ascii="Times" w:eastAsia="Times" w:hAnsi="Times" w:cs="Times"/>
          <w:b/>
        </w:rPr>
        <w:t xml:space="preserve"> </w:t>
      </w:r>
      <w:r w:rsidRPr="000E50F1">
        <w:rPr>
          <w:rFonts w:ascii="Times" w:eastAsia="Times" w:hAnsi="Times" w:cs="Times"/>
        </w:rPr>
        <w:t>immigration and settlement, school-based mental health, refugee studies, school-based settlement program, mental health</w:t>
      </w:r>
    </w:p>
    <w:p w14:paraId="5BF885E8" w14:textId="77777777" w:rsidR="00812859" w:rsidRPr="000E50F1" w:rsidRDefault="00812859" w:rsidP="00812859">
      <w:pPr>
        <w:rPr>
          <w:rFonts w:ascii="Times" w:eastAsia="Calibri" w:hAnsi="Times"/>
        </w:rPr>
      </w:pPr>
    </w:p>
    <w:p w14:paraId="437FD768" w14:textId="77777777" w:rsidR="00C85F79" w:rsidRPr="000E50F1" w:rsidRDefault="00C85F79" w:rsidP="00812859">
      <w:pPr>
        <w:ind w:right="4"/>
        <w:rPr>
          <w:rFonts w:ascii="Times" w:hAnsi="Times" w:cs="Arial"/>
          <w:bCs/>
          <w:lang w:val="en-US"/>
        </w:rPr>
      </w:pPr>
    </w:p>
    <w:p w14:paraId="75AF1735" w14:textId="77777777" w:rsidR="00C85F79" w:rsidRPr="000E50F1" w:rsidRDefault="00C85F79" w:rsidP="00812859">
      <w:pPr>
        <w:ind w:right="4"/>
        <w:rPr>
          <w:rFonts w:ascii="Times" w:hAnsi="Times" w:cs="Arial"/>
          <w:bCs/>
          <w:lang w:val="en-US"/>
        </w:rPr>
      </w:pPr>
    </w:p>
    <w:p w14:paraId="617DF00B" w14:textId="77777777" w:rsidR="00C85F79" w:rsidRPr="000E50F1" w:rsidRDefault="00C85F79" w:rsidP="00812859">
      <w:pPr>
        <w:ind w:right="4"/>
        <w:rPr>
          <w:rFonts w:ascii="Times" w:hAnsi="Times" w:cs="Arial"/>
          <w:bCs/>
          <w:lang w:val="en-US"/>
        </w:rPr>
      </w:pPr>
    </w:p>
    <w:p w14:paraId="2C709583" w14:textId="77777777" w:rsidR="00C85F79" w:rsidRPr="000E50F1" w:rsidRDefault="00C85F79" w:rsidP="00812859">
      <w:pPr>
        <w:ind w:right="4"/>
        <w:rPr>
          <w:rFonts w:ascii="Times" w:hAnsi="Times" w:cs="Arial"/>
          <w:bCs/>
          <w:lang w:val="en-US"/>
        </w:rPr>
      </w:pPr>
    </w:p>
    <w:p w14:paraId="0E96DA12" w14:textId="77777777" w:rsidR="00C85F79" w:rsidRPr="000E50F1" w:rsidRDefault="00C85F79" w:rsidP="00812859">
      <w:pPr>
        <w:ind w:right="4"/>
        <w:rPr>
          <w:rFonts w:ascii="Times" w:hAnsi="Times" w:cs="Arial"/>
          <w:bCs/>
          <w:lang w:val="en-US"/>
        </w:rPr>
      </w:pPr>
    </w:p>
    <w:p w14:paraId="32889EFD" w14:textId="77777777" w:rsidR="00C85F79" w:rsidRPr="000E50F1" w:rsidRDefault="00C85F79" w:rsidP="00812859">
      <w:pPr>
        <w:ind w:right="4"/>
        <w:rPr>
          <w:rFonts w:ascii="Times" w:hAnsi="Times" w:cs="Arial"/>
          <w:bCs/>
          <w:lang w:val="en-US"/>
        </w:rPr>
      </w:pPr>
    </w:p>
    <w:p w14:paraId="6EE15A2A" w14:textId="77777777" w:rsidR="00C85F79" w:rsidRPr="000E50F1" w:rsidRDefault="00C85F79" w:rsidP="00812859">
      <w:pPr>
        <w:ind w:right="4"/>
        <w:rPr>
          <w:rFonts w:ascii="Times" w:hAnsi="Times" w:cs="Arial"/>
          <w:bCs/>
          <w:lang w:val="en-US"/>
        </w:rPr>
      </w:pPr>
    </w:p>
    <w:p w14:paraId="60E3FDC9" w14:textId="77777777" w:rsidR="00C85F79" w:rsidRPr="000E50F1" w:rsidRDefault="00C85F79" w:rsidP="00812859">
      <w:pPr>
        <w:ind w:right="4"/>
        <w:rPr>
          <w:rFonts w:ascii="Times" w:hAnsi="Times" w:cs="Arial"/>
          <w:bCs/>
          <w:lang w:val="en-US"/>
        </w:rPr>
      </w:pPr>
    </w:p>
    <w:p w14:paraId="07B9E92B" w14:textId="77777777" w:rsidR="00C85F79" w:rsidRPr="000E50F1" w:rsidRDefault="00C85F79" w:rsidP="00812859">
      <w:pPr>
        <w:ind w:right="4"/>
        <w:rPr>
          <w:rFonts w:ascii="Times" w:hAnsi="Times" w:cs="Arial"/>
          <w:bCs/>
          <w:lang w:val="en-US"/>
        </w:rPr>
      </w:pPr>
    </w:p>
    <w:p w14:paraId="71495535" w14:textId="77777777" w:rsidR="00C85F79" w:rsidRPr="000E50F1" w:rsidRDefault="00C85F79" w:rsidP="00812859">
      <w:pPr>
        <w:ind w:right="4"/>
        <w:rPr>
          <w:rFonts w:ascii="Times" w:hAnsi="Times" w:cs="Arial"/>
          <w:bCs/>
          <w:lang w:val="en-US"/>
        </w:rPr>
      </w:pPr>
    </w:p>
    <w:p w14:paraId="0EFFD951" w14:textId="77777777" w:rsidR="00C85F79" w:rsidRPr="000E50F1" w:rsidRDefault="00C85F79" w:rsidP="00812859">
      <w:pPr>
        <w:ind w:right="4"/>
        <w:rPr>
          <w:rFonts w:ascii="Times" w:hAnsi="Times" w:cs="Arial"/>
          <w:bCs/>
          <w:lang w:val="en-US"/>
        </w:rPr>
      </w:pPr>
    </w:p>
    <w:p w14:paraId="35E9D941" w14:textId="77777777" w:rsidR="00C85F79" w:rsidRPr="000E50F1" w:rsidRDefault="00C85F79" w:rsidP="00812859">
      <w:pPr>
        <w:ind w:right="4"/>
        <w:rPr>
          <w:rFonts w:ascii="Times" w:hAnsi="Times" w:cs="Arial"/>
          <w:bCs/>
          <w:lang w:val="en-US"/>
        </w:rPr>
      </w:pPr>
    </w:p>
    <w:p w14:paraId="2951C092" w14:textId="77777777" w:rsidR="00C85F79" w:rsidRPr="000E50F1" w:rsidRDefault="00C85F79" w:rsidP="00812859">
      <w:pPr>
        <w:ind w:right="4"/>
        <w:rPr>
          <w:rFonts w:ascii="Times" w:hAnsi="Times" w:cs="Arial"/>
          <w:bCs/>
          <w:lang w:val="en-US"/>
        </w:rPr>
      </w:pPr>
    </w:p>
    <w:p w14:paraId="2763DD6D" w14:textId="77777777" w:rsidR="00C85F79" w:rsidRPr="000E50F1" w:rsidRDefault="00C85F79" w:rsidP="00812859">
      <w:pPr>
        <w:ind w:right="4"/>
        <w:rPr>
          <w:rFonts w:ascii="Times" w:hAnsi="Times" w:cs="Arial"/>
          <w:bCs/>
          <w:lang w:val="en-US"/>
        </w:rPr>
      </w:pPr>
    </w:p>
    <w:p w14:paraId="4FE504AB" w14:textId="77777777" w:rsidR="00C85F79" w:rsidRPr="000E50F1" w:rsidRDefault="00C85F79" w:rsidP="00812859">
      <w:pPr>
        <w:ind w:right="4"/>
        <w:rPr>
          <w:rFonts w:ascii="Times" w:hAnsi="Times" w:cs="Arial"/>
          <w:bCs/>
          <w:lang w:val="en-US"/>
        </w:rPr>
      </w:pPr>
    </w:p>
    <w:p w14:paraId="779B36E9" w14:textId="77777777" w:rsidR="00C85F79" w:rsidRPr="000E50F1" w:rsidRDefault="00C85F79" w:rsidP="00812859">
      <w:pPr>
        <w:ind w:right="4"/>
        <w:rPr>
          <w:rFonts w:ascii="Times" w:hAnsi="Times" w:cs="Arial"/>
          <w:bCs/>
          <w:lang w:val="en-US"/>
        </w:rPr>
      </w:pPr>
    </w:p>
    <w:p w14:paraId="5E440A3C" w14:textId="77777777" w:rsidR="00C85F79" w:rsidRPr="000E50F1" w:rsidRDefault="00C85F79" w:rsidP="00812859">
      <w:pPr>
        <w:ind w:right="4"/>
        <w:rPr>
          <w:rFonts w:ascii="Times" w:hAnsi="Times" w:cs="Arial"/>
          <w:bCs/>
          <w:lang w:val="en-US"/>
        </w:rPr>
      </w:pPr>
    </w:p>
    <w:p w14:paraId="67F9AF49" w14:textId="3C53B8C5" w:rsidR="00C85F79" w:rsidRPr="000E50F1" w:rsidRDefault="00C85F79" w:rsidP="00812859">
      <w:pPr>
        <w:ind w:right="4"/>
        <w:rPr>
          <w:rFonts w:ascii="Times" w:hAnsi="Times" w:cs="Arial"/>
          <w:bCs/>
          <w:lang w:val="en-US"/>
        </w:rPr>
      </w:pPr>
    </w:p>
    <w:p w14:paraId="72E42F4F" w14:textId="77777777" w:rsidR="00EA74C0" w:rsidRPr="000E50F1" w:rsidRDefault="00EA74C0" w:rsidP="00812859">
      <w:pPr>
        <w:ind w:right="4"/>
        <w:rPr>
          <w:rFonts w:ascii="Times" w:hAnsi="Times" w:cs="Arial"/>
          <w:bCs/>
          <w:lang w:val="en-US"/>
        </w:rPr>
      </w:pPr>
    </w:p>
    <w:p w14:paraId="085C7D0B" w14:textId="77777777" w:rsidR="00C85F79" w:rsidRPr="000E50F1" w:rsidRDefault="00C85F79" w:rsidP="00812859">
      <w:pPr>
        <w:ind w:right="4"/>
        <w:rPr>
          <w:rFonts w:ascii="Times" w:hAnsi="Times" w:cs="Arial"/>
          <w:bCs/>
          <w:lang w:val="en-US"/>
        </w:rPr>
      </w:pPr>
    </w:p>
    <w:p w14:paraId="29D78BA2" w14:textId="0D6CE3A1" w:rsidR="00C85F79" w:rsidRPr="000E50F1" w:rsidRDefault="00C85F79" w:rsidP="00812859">
      <w:pPr>
        <w:ind w:right="4"/>
        <w:rPr>
          <w:rFonts w:ascii="Times" w:hAnsi="Times" w:cs="Arial"/>
          <w:bCs/>
          <w:lang w:val="en-US"/>
        </w:rPr>
      </w:pPr>
    </w:p>
    <w:p w14:paraId="25653DDB" w14:textId="77777777" w:rsidR="003B5EB2" w:rsidRPr="000E50F1" w:rsidRDefault="003B5EB2" w:rsidP="00812859">
      <w:pPr>
        <w:ind w:right="4"/>
        <w:rPr>
          <w:rFonts w:ascii="Times" w:hAnsi="Times" w:cs="Arial"/>
          <w:bCs/>
          <w:lang w:val="en-US"/>
        </w:rPr>
      </w:pPr>
    </w:p>
    <w:p w14:paraId="792E9DE7" w14:textId="3802AE09" w:rsidR="00812859" w:rsidRPr="000E50F1" w:rsidRDefault="00C85F79" w:rsidP="003B5EB2">
      <w:pPr>
        <w:ind w:left="567" w:hanging="567"/>
      </w:pPr>
      <w:r w:rsidRPr="000E50F1">
        <w:rPr>
          <w:rFonts w:ascii="Times" w:hAnsi="Times" w:cs="Arial"/>
          <w:bCs/>
          <w:lang w:val="en-US"/>
        </w:rPr>
        <w:t>*</w:t>
      </w:r>
      <w:r w:rsidR="00812859" w:rsidRPr="000E50F1">
        <w:rPr>
          <w:rFonts w:ascii="Times" w:hAnsi="Times" w:cs="Arial"/>
          <w:bCs/>
          <w:lang w:val="en-US"/>
        </w:rPr>
        <w:t xml:space="preserve"> </w:t>
      </w:r>
      <w:r w:rsidR="0099725E" w:rsidRPr="000E50F1">
        <w:t xml:space="preserve">Manuscript submitted to the journal, </w:t>
      </w:r>
      <w:r w:rsidR="0099725E" w:rsidRPr="000E50F1">
        <w:rPr>
          <w:i/>
          <w:iCs/>
        </w:rPr>
        <w:t>International Migration Review</w:t>
      </w:r>
      <w:r w:rsidR="0099725E" w:rsidRPr="000E50F1">
        <w:t>.</w:t>
      </w:r>
    </w:p>
    <w:p w14:paraId="1024323B" w14:textId="0E47C3FC" w:rsidR="00C85F79" w:rsidRPr="000E50F1" w:rsidRDefault="00EA74C0" w:rsidP="00C85F79">
      <w:pPr>
        <w:rPr>
          <w:rFonts w:ascii="Times" w:hAnsi="Times" w:cs="Arial"/>
          <w:b/>
        </w:rPr>
      </w:pPr>
      <w:r w:rsidRPr="000E50F1">
        <w:rPr>
          <w:rFonts w:ascii="Times" w:hAnsi="Times" w:cs="Arial"/>
          <w:b/>
        </w:rPr>
        <w:lastRenderedPageBreak/>
        <w:t>Introduction</w:t>
      </w:r>
    </w:p>
    <w:p w14:paraId="59D0E96D" w14:textId="20613AF2" w:rsidR="00C85F79" w:rsidRPr="000E50F1" w:rsidRDefault="00812859" w:rsidP="00C85F79">
      <w:pPr>
        <w:rPr>
          <w:rFonts w:ascii="Times" w:hAnsi="Times" w:cs="Arial"/>
          <w:bCs/>
        </w:rPr>
      </w:pPr>
      <w:r w:rsidRPr="000E50F1">
        <w:rPr>
          <w:rFonts w:ascii="Times" w:hAnsi="Times" w:cs="Arial"/>
          <w:bCs/>
        </w:rPr>
        <w:t>In Canada</w:t>
      </w:r>
      <w:r w:rsidR="00EA12B7" w:rsidRPr="000E50F1">
        <w:rPr>
          <w:rFonts w:ascii="Times" w:hAnsi="Times" w:cs="Arial"/>
          <w:bCs/>
        </w:rPr>
        <w:t>,</w:t>
      </w:r>
      <w:r w:rsidRPr="000E50F1">
        <w:rPr>
          <w:rFonts w:ascii="Times" w:hAnsi="Times" w:cs="Arial"/>
          <w:bCs/>
        </w:rPr>
        <w:t xml:space="preserve"> mental illness or disorder is the single largest health problem affecting 10 to 20% of all youth (Canadian Mental Health Association 2013), and 70% of mental health problems have their onset during childhood or adolescence (Centre for Addictions and Mental Health 2019). Addressing mental health for young people has thus become a national priority. The World Health Organization (WHO) note that half of all mental health disorders begin by the age of 14, and three-quarters by the mid-20s, which can severely impact development, educational attainment, and the potential for a productive and fulfilling life (WHO 2019). Implementing strategies that promote psychosocial well-being, such as mental health promotion (MHP) in adolescence, is important to mitigate risky behaviours that can lead to mental health difficulties and poor health outcome later in adulthood (Kieling et al. 2011). </w:t>
      </w:r>
    </w:p>
    <w:p w14:paraId="02AA3ACA" w14:textId="25083BD4" w:rsidR="00812859" w:rsidRPr="000E50F1" w:rsidRDefault="00812859" w:rsidP="000C1FCF">
      <w:pPr>
        <w:shd w:val="clear" w:color="auto" w:fill="FFFFFF"/>
        <w:spacing w:before="100" w:beforeAutospacing="1" w:after="100" w:afterAutospacing="1"/>
        <w:rPr>
          <w:rFonts w:ascii="Times" w:hAnsi="Times" w:cs="Arial"/>
          <w:bCs/>
        </w:rPr>
      </w:pPr>
      <w:r w:rsidRPr="000E50F1">
        <w:rPr>
          <w:rFonts w:ascii="Times" w:hAnsi="Times" w:cs="Arial"/>
          <w:bCs/>
        </w:rPr>
        <w:t xml:space="preserve">Addressing mental health disorders in youth populations can be difficult when examining characteristics and challenges of specific subgroups, and in particular </w:t>
      </w:r>
      <w:r w:rsidR="006B1B75" w:rsidRPr="000E50F1">
        <w:rPr>
          <w:rFonts w:ascii="Times" w:hAnsi="Times" w:cs="Arial"/>
          <w:bCs/>
        </w:rPr>
        <w:t xml:space="preserve">those </w:t>
      </w:r>
      <w:r w:rsidRPr="000E50F1">
        <w:rPr>
          <w:rFonts w:ascii="Times" w:hAnsi="Times" w:cs="Arial"/>
          <w:bCs/>
        </w:rPr>
        <w:t>of immigrant youth.</w:t>
      </w:r>
      <w:r w:rsidR="00661B54" w:rsidRPr="000E50F1">
        <w:rPr>
          <w:rFonts w:ascii="Times" w:hAnsi="Times" w:cs="Arial"/>
          <w:bCs/>
        </w:rPr>
        <w:t xml:space="preserve"> </w:t>
      </w:r>
      <w:r w:rsidRPr="000E50F1">
        <w:rPr>
          <w:rFonts w:ascii="Times" w:hAnsi="Times" w:cs="Arial"/>
          <w:bCs/>
        </w:rPr>
        <w:t xml:space="preserve">Combining mental health strategies with a settlement </w:t>
      </w:r>
      <w:r w:rsidR="006B1B75" w:rsidRPr="000E50F1">
        <w:rPr>
          <w:rFonts w:ascii="Times" w:hAnsi="Times" w:cs="Arial"/>
          <w:bCs/>
        </w:rPr>
        <w:t>lens</w:t>
      </w:r>
      <w:r w:rsidRPr="000E50F1">
        <w:rPr>
          <w:rFonts w:ascii="Times" w:hAnsi="Times" w:cs="Arial"/>
          <w:bCs/>
        </w:rPr>
        <w:t xml:space="preserve"> can help new immigrants access health opportunities and improve well-being </w:t>
      </w:r>
      <w:r w:rsidR="0022537F" w:rsidRPr="000E50F1">
        <w:rPr>
          <w:rFonts w:ascii="Times" w:hAnsi="Times" w:cs="Arial"/>
          <w:bCs/>
        </w:rPr>
        <w:t xml:space="preserve">and health outcome </w:t>
      </w:r>
      <w:r w:rsidRPr="000E50F1">
        <w:rPr>
          <w:rFonts w:ascii="Times" w:hAnsi="Times" w:cs="Arial"/>
          <w:bCs/>
        </w:rPr>
        <w:t xml:space="preserve">after arrival, especially within the first year of resettlement. </w:t>
      </w:r>
      <w:r w:rsidR="00A91A69" w:rsidRPr="000E50F1">
        <w:rPr>
          <w:rFonts w:ascii="Times" w:hAnsi="Times" w:cs="Arial"/>
          <w:bCs/>
        </w:rPr>
        <w:t>Evidence of mental health disparities</w:t>
      </w:r>
      <w:r w:rsidR="003C3015" w:rsidRPr="000E50F1">
        <w:rPr>
          <w:rFonts w:ascii="Times" w:hAnsi="Times" w:cs="Arial"/>
          <w:bCs/>
        </w:rPr>
        <w:t xml:space="preserve">, </w:t>
      </w:r>
      <w:r w:rsidR="00A91A69" w:rsidRPr="000E50F1">
        <w:rPr>
          <w:rFonts w:ascii="Times" w:hAnsi="Times" w:cs="Arial"/>
          <w:bCs/>
        </w:rPr>
        <w:t xml:space="preserve">immigrant </w:t>
      </w:r>
      <w:r w:rsidR="00172E0C" w:rsidRPr="000E50F1">
        <w:rPr>
          <w:rFonts w:ascii="Times" w:hAnsi="Times" w:cs="Arial"/>
          <w:bCs/>
        </w:rPr>
        <w:t>access to appropriate care</w:t>
      </w:r>
      <w:r w:rsidR="003C3015" w:rsidRPr="000E50F1">
        <w:rPr>
          <w:rFonts w:ascii="Times" w:hAnsi="Times" w:cs="Arial"/>
          <w:bCs/>
        </w:rPr>
        <w:t xml:space="preserve">, </w:t>
      </w:r>
      <w:r w:rsidR="00A91A69" w:rsidRPr="000E50F1">
        <w:rPr>
          <w:rFonts w:ascii="Times" w:hAnsi="Times" w:cs="Arial"/>
          <w:bCs/>
        </w:rPr>
        <w:t xml:space="preserve">and the call for greater culturally responsive services </w:t>
      </w:r>
      <w:r w:rsidR="003C3015" w:rsidRPr="000E50F1">
        <w:rPr>
          <w:rFonts w:ascii="Times" w:hAnsi="Times" w:cs="Arial"/>
          <w:bCs/>
        </w:rPr>
        <w:t xml:space="preserve">have been noted </w:t>
      </w:r>
      <w:r w:rsidR="000C1FCF" w:rsidRPr="000E50F1">
        <w:rPr>
          <w:rFonts w:ascii="Times" w:hAnsi="Times" w:cs="Arial"/>
          <w:bCs/>
        </w:rPr>
        <w:t xml:space="preserve">in research </w:t>
      </w:r>
      <w:r w:rsidR="00172E0C" w:rsidRPr="000E50F1">
        <w:rPr>
          <w:rFonts w:ascii="Times" w:hAnsi="Times" w:cs="Arial"/>
          <w:bCs/>
        </w:rPr>
        <w:t xml:space="preserve">(Durbin et al. 2015; Hansson et al. 2012; Kirmayer et al. 2007; McKenzie </w:t>
      </w:r>
      <w:r w:rsidR="003C674C" w:rsidRPr="000E50F1">
        <w:rPr>
          <w:rFonts w:ascii="Times" w:hAnsi="Times" w:cs="Arial"/>
          <w:bCs/>
        </w:rPr>
        <w:t>and</w:t>
      </w:r>
      <w:r w:rsidR="00172E0C" w:rsidRPr="000E50F1">
        <w:rPr>
          <w:rFonts w:ascii="Times" w:hAnsi="Times" w:cs="Arial"/>
          <w:bCs/>
        </w:rPr>
        <w:t xml:space="preserve"> Bhui 2007; McKenzie 201</w:t>
      </w:r>
      <w:r w:rsidR="003C2518" w:rsidRPr="000E50F1">
        <w:rPr>
          <w:rFonts w:ascii="Times" w:hAnsi="Times" w:cs="Arial"/>
          <w:bCs/>
        </w:rPr>
        <w:t>6</w:t>
      </w:r>
      <w:r w:rsidR="00172E0C" w:rsidRPr="000E50F1">
        <w:rPr>
          <w:rFonts w:ascii="Times" w:hAnsi="Times" w:cs="Arial"/>
          <w:bCs/>
        </w:rPr>
        <w:t>; Thomson et al. 2015).</w:t>
      </w:r>
      <w:r w:rsidR="00B15B12" w:rsidRPr="000E50F1">
        <w:rPr>
          <w:rFonts w:ascii="Times" w:hAnsi="Times" w:cs="Arial"/>
          <w:bCs/>
        </w:rPr>
        <w:t xml:space="preserve"> Although many studies have used the proxy measure of geographical inaccess (e.g. location and physical availability of health services), economic inaccess (e.g. affordability of services), and cultural inaccess (e.g. ethically matched health care providers and appropriateness of services) (Bambra et al. 2010) inaccess and inaccessibility in mental health may only reveal some aspect of health inequity. </w:t>
      </w:r>
      <w:r w:rsidR="00172E0C" w:rsidRPr="000E50F1">
        <w:rPr>
          <w:rFonts w:ascii="Times" w:hAnsi="Times" w:cs="Arial"/>
          <w:bCs/>
        </w:rPr>
        <w:t xml:space="preserve">Kirmayer and Jarvis (2019) point </w:t>
      </w:r>
      <w:r w:rsidR="003C3015" w:rsidRPr="000E50F1">
        <w:rPr>
          <w:rFonts w:ascii="Times" w:hAnsi="Times" w:cs="Arial"/>
          <w:bCs/>
        </w:rPr>
        <w:t xml:space="preserve">to good evidence </w:t>
      </w:r>
      <w:r w:rsidR="00172E0C" w:rsidRPr="000E50F1">
        <w:rPr>
          <w:rFonts w:ascii="Times" w:hAnsi="Times" w:cs="Arial"/>
          <w:bCs/>
        </w:rPr>
        <w:t xml:space="preserve">of culture in shaping experience and expression of mental health problems, modes of coping and pathways to care, and the effectiveness and effect of treatment </w:t>
      </w:r>
      <w:r w:rsidR="000C1FCF" w:rsidRPr="000E50F1">
        <w:rPr>
          <w:rFonts w:ascii="Times" w:hAnsi="Times" w:cs="Arial"/>
          <w:bCs/>
        </w:rPr>
        <w:t>and</w:t>
      </w:r>
      <w:r w:rsidR="00172E0C" w:rsidRPr="000E50F1">
        <w:rPr>
          <w:rFonts w:ascii="Times" w:hAnsi="Times" w:cs="Arial"/>
          <w:bCs/>
        </w:rPr>
        <w:t xml:space="preserve"> prevention</w:t>
      </w:r>
      <w:r w:rsidR="003C3015" w:rsidRPr="000E50F1">
        <w:rPr>
          <w:rFonts w:ascii="Times" w:hAnsi="Times" w:cs="Arial"/>
          <w:bCs/>
        </w:rPr>
        <w:t>.</w:t>
      </w:r>
      <w:r w:rsidR="00172E0C" w:rsidRPr="000E50F1">
        <w:rPr>
          <w:rFonts w:ascii="Times" w:hAnsi="Times" w:cs="Arial"/>
          <w:bCs/>
        </w:rPr>
        <w:t xml:space="preserve"> </w:t>
      </w:r>
      <w:r w:rsidR="00736552" w:rsidRPr="000E50F1">
        <w:rPr>
          <w:rFonts w:ascii="Times" w:hAnsi="Times" w:cs="Arial"/>
          <w:bCs/>
        </w:rPr>
        <w:t xml:space="preserve">Taken from Jezewski and Sotnik (2001), culture is defined in this research as “a system of learned and shared standards for perceiving, interpreting, and behaving in interactions with others and with the environment”. </w:t>
      </w:r>
      <w:r w:rsidR="000C1FCF" w:rsidRPr="000E50F1">
        <w:rPr>
          <w:rFonts w:ascii="Times" w:hAnsi="Times" w:cs="Arial"/>
          <w:bCs/>
        </w:rPr>
        <w:t>C</w:t>
      </w:r>
      <w:r w:rsidR="009237B5" w:rsidRPr="000E50F1">
        <w:rPr>
          <w:rFonts w:ascii="Times" w:hAnsi="Times" w:cs="Arial"/>
          <w:bCs/>
        </w:rPr>
        <w:t>ultu</w:t>
      </w:r>
      <w:r w:rsidR="000C1FCF" w:rsidRPr="000E50F1">
        <w:rPr>
          <w:rFonts w:ascii="Times" w:hAnsi="Times" w:cs="Arial"/>
          <w:bCs/>
        </w:rPr>
        <w:t>re</w:t>
      </w:r>
      <w:r w:rsidR="009237B5" w:rsidRPr="000E50F1">
        <w:rPr>
          <w:rFonts w:ascii="Times" w:hAnsi="Times" w:cs="Arial"/>
          <w:bCs/>
        </w:rPr>
        <w:t xml:space="preserve"> brokering continues to emerge </w:t>
      </w:r>
      <w:r w:rsidR="000C1FCF" w:rsidRPr="000E50F1">
        <w:rPr>
          <w:rFonts w:ascii="Times" w:hAnsi="Times" w:cs="Arial"/>
          <w:bCs/>
        </w:rPr>
        <w:t xml:space="preserve">as a significant </w:t>
      </w:r>
      <w:r w:rsidR="009237B5" w:rsidRPr="000E50F1">
        <w:rPr>
          <w:rFonts w:ascii="Times" w:hAnsi="Times" w:cs="Arial"/>
          <w:bCs/>
        </w:rPr>
        <w:t xml:space="preserve">approach to addressing </w:t>
      </w:r>
      <w:r w:rsidR="00D53503" w:rsidRPr="000E50F1">
        <w:rPr>
          <w:rFonts w:ascii="Times" w:hAnsi="Times" w:cs="Arial"/>
          <w:bCs/>
        </w:rPr>
        <w:t>systemic and cultural</w:t>
      </w:r>
      <w:r w:rsidR="009237B5" w:rsidRPr="000E50F1">
        <w:rPr>
          <w:rFonts w:ascii="Times" w:hAnsi="Times" w:cs="Arial"/>
          <w:bCs/>
        </w:rPr>
        <w:t xml:space="preserve"> barriers service access and provision</w:t>
      </w:r>
      <w:r w:rsidR="000C1FCF" w:rsidRPr="000E50F1">
        <w:rPr>
          <w:rFonts w:ascii="Times" w:hAnsi="Times" w:cs="Arial"/>
          <w:bCs/>
        </w:rPr>
        <w:t xml:space="preserve"> in health and education</w:t>
      </w:r>
      <w:r w:rsidR="00D53503" w:rsidRPr="000E50F1">
        <w:rPr>
          <w:rFonts w:ascii="Times" w:hAnsi="Times" w:cs="Arial"/>
          <w:bCs/>
        </w:rPr>
        <w:t xml:space="preserve"> (Brar-Josana and Yohani 2019). Culture brokering is defined </w:t>
      </w:r>
      <w:r w:rsidR="000C1FCF" w:rsidRPr="000E50F1">
        <w:rPr>
          <w:rFonts w:ascii="Times" w:hAnsi="Times" w:cs="Arial"/>
          <w:bCs/>
        </w:rPr>
        <w:t xml:space="preserve">in Jezewski and Sotnik (2001) </w:t>
      </w:r>
      <w:r w:rsidR="00D53503" w:rsidRPr="000E50F1">
        <w:rPr>
          <w:rFonts w:ascii="Times" w:hAnsi="Times" w:cs="Arial"/>
          <w:bCs/>
        </w:rPr>
        <w:t>as</w:t>
      </w:r>
      <w:r w:rsidR="000C1FCF" w:rsidRPr="000E50F1">
        <w:rPr>
          <w:rFonts w:ascii="Times" w:hAnsi="Times" w:cs="Arial"/>
          <w:bCs/>
        </w:rPr>
        <w:t xml:space="preserve"> “t</w:t>
      </w:r>
      <w:r w:rsidR="00D53503" w:rsidRPr="000E50F1">
        <w:rPr>
          <w:rFonts w:ascii="Times" w:hAnsi="Times" w:cs="Arial"/>
          <w:bCs/>
        </w:rPr>
        <w:t>he act of bridging, linking or mediating between groups or persons of differing cultural backgrounds for the purpose of reducing conflict or producing change</w:t>
      </w:r>
      <w:r w:rsidR="000C1FCF" w:rsidRPr="000E50F1">
        <w:rPr>
          <w:rFonts w:ascii="Times" w:hAnsi="Times" w:cs="Arial"/>
          <w:bCs/>
        </w:rPr>
        <w:t xml:space="preserve">” and the </w:t>
      </w:r>
      <w:r w:rsidR="00D53503" w:rsidRPr="000E50F1">
        <w:rPr>
          <w:rFonts w:ascii="Times" w:hAnsi="Times" w:cs="Arial"/>
          <w:bCs/>
        </w:rPr>
        <w:t xml:space="preserve">culture broker </w:t>
      </w:r>
      <w:r w:rsidR="000C1FCF" w:rsidRPr="000E50F1">
        <w:rPr>
          <w:rFonts w:ascii="Times" w:hAnsi="Times" w:cs="Arial"/>
          <w:bCs/>
        </w:rPr>
        <w:t>“</w:t>
      </w:r>
      <w:r w:rsidR="00D53503" w:rsidRPr="000E50F1">
        <w:rPr>
          <w:rFonts w:ascii="Times" w:hAnsi="Times" w:cs="Arial"/>
          <w:bCs/>
        </w:rPr>
        <w:t>acts as a go–between, one who advocates or intervenes on behalf of another individual or group</w:t>
      </w:r>
      <w:r w:rsidR="000C1FCF" w:rsidRPr="000E50F1">
        <w:rPr>
          <w:rFonts w:ascii="Times" w:hAnsi="Times" w:cs="Arial"/>
          <w:bCs/>
        </w:rPr>
        <w:t>”</w:t>
      </w:r>
      <w:r w:rsidR="00D53503" w:rsidRPr="000E50F1">
        <w:rPr>
          <w:rFonts w:ascii="Times" w:hAnsi="Times" w:cs="Arial"/>
          <w:bCs/>
        </w:rPr>
        <w:t>.</w:t>
      </w:r>
      <w:r w:rsidR="000C1FCF" w:rsidRPr="000E50F1">
        <w:rPr>
          <w:rFonts w:ascii="Times" w:hAnsi="Times" w:cs="Arial"/>
          <w:bCs/>
        </w:rPr>
        <w:t xml:space="preserve"> </w:t>
      </w:r>
      <w:r w:rsidRPr="000E50F1">
        <w:rPr>
          <w:rFonts w:ascii="Times" w:hAnsi="Times" w:cs="Arial"/>
          <w:bCs/>
        </w:rPr>
        <w:t xml:space="preserve">In a health service setting, cultural brokers have been used to alleviate </w:t>
      </w:r>
      <w:r w:rsidR="00172E0C" w:rsidRPr="000E50F1">
        <w:rPr>
          <w:rFonts w:ascii="Times" w:hAnsi="Times" w:cs="Arial"/>
          <w:bCs/>
        </w:rPr>
        <w:t xml:space="preserve">challenges </w:t>
      </w:r>
      <w:r w:rsidR="009237B5" w:rsidRPr="000E50F1">
        <w:rPr>
          <w:rFonts w:ascii="Times" w:hAnsi="Times" w:cs="Arial"/>
          <w:bCs/>
        </w:rPr>
        <w:t>stemming from</w:t>
      </w:r>
      <w:r w:rsidR="00172E0C" w:rsidRPr="000E50F1">
        <w:rPr>
          <w:rFonts w:ascii="Times" w:hAnsi="Times" w:cs="Arial"/>
          <w:bCs/>
        </w:rPr>
        <w:t xml:space="preserve"> </w:t>
      </w:r>
      <w:r w:rsidR="009237B5" w:rsidRPr="000E50F1">
        <w:rPr>
          <w:rFonts w:ascii="Times" w:hAnsi="Times" w:cs="Arial"/>
          <w:bCs/>
        </w:rPr>
        <w:t xml:space="preserve">systemic and </w:t>
      </w:r>
      <w:r w:rsidR="00172E0C" w:rsidRPr="000E50F1">
        <w:rPr>
          <w:rFonts w:ascii="Times" w:hAnsi="Times" w:cs="Arial"/>
          <w:bCs/>
        </w:rPr>
        <w:t xml:space="preserve">cultural </w:t>
      </w:r>
      <w:r w:rsidR="009237B5" w:rsidRPr="000E50F1">
        <w:rPr>
          <w:rFonts w:ascii="Times" w:hAnsi="Times" w:cs="Arial"/>
          <w:bCs/>
        </w:rPr>
        <w:t xml:space="preserve">barriers </w:t>
      </w:r>
      <w:r w:rsidR="00172E0C" w:rsidRPr="000E50F1">
        <w:rPr>
          <w:rFonts w:ascii="Times" w:hAnsi="Times" w:cs="Arial"/>
          <w:bCs/>
        </w:rPr>
        <w:t>to</w:t>
      </w:r>
      <w:r w:rsidRPr="000E50F1">
        <w:rPr>
          <w:rFonts w:ascii="Times" w:hAnsi="Times" w:cs="Arial"/>
          <w:bCs/>
        </w:rPr>
        <w:t xml:space="preserve"> reduce the gap between providers and clients (Jezewski and Sotnik 2001).</w:t>
      </w:r>
      <w:r w:rsidR="002D338F" w:rsidRPr="000E50F1">
        <w:rPr>
          <w:rFonts w:ascii="Times" w:hAnsi="Times" w:cs="Arial"/>
          <w:bCs/>
        </w:rPr>
        <w:t xml:space="preserve"> </w:t>
      </w:r>
      <w:r w:rsidRPr="000E50F1">
        <w:rPr>
          <w:rFonts w:ascii="Times" w:hAnsi="Times" w:cs="Arial"/>
          <w:bCs/>
        </w:rPr>
        <w:t xml:space="preserve">Based on their skill-level, cultural brokers can take on many different roles with varying impact that </w:t>
      </w:r>
      <w:r w:rsidRPr="000E50F1">
        <w:rPr>
          <w:rFonts w:ascii="Times" w:hAnsi="Times" w:cs="Arial"/>
          <w:bCs/>
        </w:rPr>
        <w:lastRenderedPageBreak/>
        <w:t>can range from bridging linguistic competency, to mediating cultural variations between perceptions of illness and their causes, t</w:t>
      </w:r>
      <w:r w:rsidR="001D7947" w:rsidRPr="000E50F1">
        <w:rPr>
          <w:rFonts w:ascii="Times" w:hAnsi="Times" w:cs="Arial"/>
          <w:bCs/>
        </w:rPr>
        <w:t>o translation contextual and community dimensions of meaning and identify important stressors and sources of support and resilience, t</w:t>
      </w:r>
      <w:r w:rsidRPr="000E50F1">
        <w:rPr>
          <w:rFonts w:ascii="Times" w:hAnsi="Times" w:cs="Arial"/>
          <w:bCs/>
        </w:rPr>
        <w:t>o advocating</w:t>
      </w:r>
      <w:r w:rsidR="008D35D8" w:rsidRPr="000E50F1">
        <w:rPr>
          <w:rFonts w:ascii="Times" w:hAnsi="Times" w:cs="Arial"/>
          <w:bCs/>
        </w:rPr>
        <w:t xml:space="preserve"> for culturally safe and responsive services</w:t>
      </w:r>
      <w:r w:rsidRPr="000E50F1">
        <w:rPr>
          <w:rFonts w:ascii="Times" w:hAnsi="Times" w:cs="Arial"/>
          <w:bCs/>
        </w:rPr>
        <w:t>, and/or serving as a catalyst for change (Heifetz and Laurie 1997</w:t>
      </w:r>
      <w:r w:rsidR="001D7947" w:rsidRPr="000E50F1">
        <w:rPr>
          <w:rFonts w:ascii="Times" w:hAnsi="Times" w:cs="Arial"/>
          <w:bCs/>
        </w:rPr>
        <w:t>; Miklavcic and LeBlanc</w:t>
      </w:r>
      <w:r w:rsidR="00172E0C" w:rsidRPr="000E50F1">
        <w:rPr>
          <w:rFonts w:ascii="Times" w:hAnsi="Times" w:cs="Arial"/>
          <w:bCs/>
        </w:rPr>
        <w:t xml:space="preserve"> </w:t>
      </w:r>
      <w:r w:rsidR="001D7947" w:rsidRPr="000E50F1">
        <w:rPr>
          <w:rFonts w:ascii="Times" w:hAnsi="Times" w:cs="Arial"/>
          <w:bCs/>
        </w:rPr>
        <w:t>2014)</w:t>
      </w:r>
      <w:r w:rsidRPr="000E50F1">
        <w:rPr>
          <w:rFonts w:ascii="Times" w:hAnsi="Times" w:cs="Arial"/>
          <w:bCs/>
        </w:rPr>
        <w:t>. Examples of settlement workers bridging support for newcomer youth and families in a clinical and community health setting ha</w:t>
      </w:r>
      <w:r w:rsidR="00845CC4" w:rsidRPr="000E50F1">
        <w:rPr>
          <w:rFonts w:ascii="Times" w:hAnsi="Times" w:cs="Arial"/>
          <w:bCs/>
        </w:rPr>
        <w:t>s</w:t>
      </w:r>
      <w:r w:rsidRPr="000E50F1">
        <w:rPr>
          <w:rFonts w:ascii="Times" w:hAnsi="Times" w:cs="Arial"/>
          <w:bCs/>
        </w:rPr>
        <w:t xml:space="preserve"> been shown to enhance </w:t>
      </w:r>
      <w:r w:rsidR="008D35D8" w:rsidRPr="000E50F1">
        <w:rPr>
          <w:rFonts w:ascii="Times" w:hAnsi="Times" w:cs="Arial"/>
          <w:bCs/>
        </w:rPr>
        <w:t xml:space="preserve">equity, </w:t>
      </w:r>
      <w:r w:rsidRPr="000E50F1">
        <w:rPr>
          <w:rFonts w:ascii="Times" w:hAnsi="Times" w:cs="Arial"/>
          <w:bCs/>
        </w:rPr>
        <w:t>service provision and client well-being (Kirmayer et al. 2011; Beehler et al. 2012; Brar-Josan and Yohani 201</w:t>
      </w:r>
      <w:r w:rsidR="00D86D86" w:rsidRPr="000E50F1">
        <w:rPr>
          <w:rFonts w:ascii="Times" w:hAnsi="Times" w:cs="Arial"/>
          <w:bCs/>
        </w:rPr>
        <w:t>9</w:t>
      </w:r>
      <w:r w:rsidR="008D35D8" w:rsidRPr="000E50F1">
        <w:rPr>
          <w:rFonts w:ascii="Times" w:hAnsi="Times" w:cs="Arial"/>
          <w:bCs/>
        </w:rPr>
        <w:t xml:space="preserve">; </w:t>
      </w:r>
      <w:r w:rsidR="00845CC4" w:rsidRPr="000E50F1">
        <w:rPr>
          <w:rFonts w:ascii="Times" w:hAnsi="Times" w:cs="Arial"/>
          <w:bCs/>
        </w:rPr>
        <w:t xml:space="preserve">Khanlou et al. 2018; </w:t>
      </w:r>
      <w:r w:rsidR="008D35D8" w:rsidRPr="000E50F1">
        <w:rPr>
          <w:rFonts w:ascii="Times" w:hAnsi="Times" w:cs="Arial"/>
          <w:bCs/>
        </w:rPr>
        <w:t>Kirmayer and Jarvis 2019</w:t>
      </w:r>
      <w:r w:rsidRPr="000E50F1">
        <w:rPr>
          <w:rFonts w:ascii="Times" w:hAnsi="Times" w:cs="Arial"/>
          <w:bCs/>
        </w:rPr>
        <w:t xml:space="preserve">). </w:t>
      </w:r>
    </w:p>
    <w:p w14:paraId="3A4CD02E" w14:textId="789BB9D8" w:rsidR="00400800" w:rsidRPr="000E50F1" w:rsidRDefault="00812859" w:rsidP="00F0293A">
      <w:pPr>
        <w:pStyle w:val="NormalWeb"/>
        <w:rPr>
          <w:rFonts w:ascii="Times" w:hAnsi="Times" w:cs="Arial"/>
          <w:bCs/>
        </w:rPr>
      </w:pPr>
      <w:r w:rsidRPr="000E50F1">
        <w:rPr>
          <w:rFonts w:ascii="Times" w:hAnsi="Times" w:cs="Arial"/>
          <w:bCs/>
        </w:rPr>
        <w:t xml:space="preserve">Using a grounded theory approach, this paper explores strategies used by school-based settlement workers brokering cultural and linguistic gaps between new immigrant and refugee </w:t>
      </w:r>
      <w:r w:rsidR="00F766F4" w:rsidRPr="000E50F1">
        <w:rPr>
          <w:rFonts w:ascii="Times" w:hAnsi="Times" w:cs="Arial"/>
          <w:bCs/>
        </w:rPr>
        <w:t>youth</w:t>
      </w:r>
      <w:r w:rsidRPr="000E50F1">
        <w:rPr>
          <w:rFonts w:ascii="Times" w:hAnsi="Times" w:cs="Arial"/>
          <w:bCs/>
        </w:rPr>
        <w:t xml:space="preserve"> and service providers operating in the area of school-based mental health in one mid-size Canadian city. </w:t>
      </w:r>
      <w:r w:rsidR="00F77478" w:rsidRPr="000E50F1">
        <w:rPr>
          <w:rFonts w:ascii="Times" w:hAnsi="Times" w:cs="Arial"/>
          <w:bCs/>
        </w:rPr>
        <w:t>Interviews</w:t>
      </w:r>
      <w:r w:rsidR="00630BCD" w:rsidRPr="000E50F1">
        <w:rPr>
          <w:rFonts w:ascii="Times" w:hAnsi="Times" w:cs="Arial"/>
          <w:bCs/>
        </w:rPr>
        <w:t xml:space="preserve"> </w:t>
      </w:r>
      <w:r w:rsidR="00F77478" w:rsidRPr="000E50F1">
        <w:rPr>
          <w:rFonts w:ascii="Times" w:hAnsi="Times" w:cs="Arial"/>
          <w:bCs/>
        </w:rPr>
        <w:t>with</w:t>
      </w:r>
      <w:r w:rsidR="00630BCD" w:rsidRPr="000E50F1">
        <w:rPr>
          <w:rFonts w:ascii="Times" w:hAnsi="Times" w:cs="Arial"/>
          <w:bCs/>
        </w:rPr>
        <w:t xml:space="preserve"> nine </w:t>
      </w:r>
      <w:r w:rsidR="00BB497A" w:rsidRPr="000E50F1">
        <w:rPr>
          <w:rFonts w:ascii="Times" w:hAnsi="Times" w:cs="Arial"/>
          <w:bCs/>
        </w:rPr>
        <w:t xml:space="preserve">school-based </w:t>
      </w:r>
      <w:r w:rsidR="00630BCD" w:rsidRPr="000E50F1">
        <w:rPr>
          <w:rFonts w:ascii="Times" w:hAnsi="Times" w:cs="Arial"/>
          <w:bCs/>
        </w:rPr>
        <w:t xml:space="preserve">settlement workers </w:t>
      </w:r>
      <w:r w:rsidR="001A3EEB" w:rsidRPr="000E50F1">
        <w:rPr>
          <w:rFonts w:ascii="Times" w:hAnsi="Times" w:cs="Arial"/>
          <w:bCs/>
        </w:rPr>
        <w:t>illustrates</w:t>
      </w:r>
      <w:r w:rsidR="00BB497A" w:rsidRPr="000E50F1">
        <w:rPr>
          <w:rFonts w:ascii="Times" w:hAnsi="Times" w:cs="Arial"/>
          <w:bCs/>
        </w:rPr>
        <w:t xml:space="preserve"> the</w:t>
      </w:r>
      <w:r w:rsidR="00630BCD" w:rsidRPr="000E50F1">
        <w:rPr>
          <w:rFonts w:ascii="Times" w:hAnsi="Times" w:cs="Arial"/>
          <w:bCs/>
        </w:rPr>
        <w:t xml:space="preserve"> </w:t>
      </w:r>
      <w:r w:rsidR="00BB497A" w:rsidRPr="000E50F1">
        <w:rPr>
          <w:rFonts w:ascii="Times" w:hAnsi="Times" w:cs="Arial"/>
          <w:bCs/>
        </w:rPr>
        <w:t>dynamic</w:t>
      </w:r>
      <w:r w:rsidR="00F77478" w:rsidRPr="000E50F1">
        <w:rPr>
          <w:rFonts w:ascii="Times" w:hAnsi="Times" w:cs="Arial"/>
          <w:bCs/>
        </w:rPr>
        <w:t xml:space="preserve"> and interacting layer of</w:t>
      </w:r>
      <w:r w:rsidR="001A3EEB" w:rsidRPr="000E50F1">
        <w:rPr>
          <w:rFonts w:ascii="Times" w:hAnsi="Times" w:cs="Arial"/>
          <w:bCs/>
        </w:rPr>
        <w:t xml:space="preserve"> mental health</w:t>
      </w:r>
      <w:r w:rsidR="00F77478" w:rsidRPr="000E50F1">
        <w:rPr>
          <w:rFonts w:ascii="Times" w:hAnsi="Times" w:cs="Arial"/>
          <w:bCs/>
        </w:rPr>
        <w:t xml:space="preserve"> inaccess and inaccessibility </w:t>
      </w:r>
      <w:r w:rsidR="00A9682C" w:rsidRPr="000E50F1">
        <w:rPr>
          <w:rFonts w:ascii="Times" w:hAnsi="Times" w:cs="Arial"/>
          <w:bCs/>
        </w:rPr>
        <w:t xml:space="preserve">encountered </w:t>
      </w:r>
      <w:r w:rsidR="00FB0145" w:rsidRPr="000E50F1">
        <w:rPr>
          <w:rFonts w:ascii="Times" w:hAnsi="Times" w:cs="Arial"/>
          <w:bCs/>
        </w:rPr>
        <w:t xml:space="preserve">by these </w:t>
      </w:r>
      <w:r w:rsidR="00F766F4" w:rsidRPr="000E50F1">
        <w:rPr>
          <w:rFonts w:ascii="Times" w:hAnsi="Times" w:cs="Arial"/>
          <w:bCs/>
        </w:rPr>
        <w:t>youth</w:t>
      </w:r>
      <w:r w:rsidR="00FB0145" w:rsidRPr="000E50F1">
        <w:rPr>
          <w:rFonts w:ascii="Times" w:hAnsi="Times" w:cs="Arial"/>
          <w:bCs/>
        </w:rPr>
        <w:t xml:space="preserve"> </w:t>
      </w:r>
      <w:r w:rsidR="00630BCD" w:rsidRPr="000E50F1">
        <w:rPr>
          <w:rFonts w:ascii="Times" w:hAnsi="Times" w:cs="Arial"/>
          <w:bCs/>
        </w:rPr>
        <w:t>in school</w:t>
      </w:r>
      <w:r w:rsidR="00EA2BF9" w:rsidRPr="000E50F1">
        <w:rPr>
          <w:rFonts w:ascii="Times" w:hAnsi="Times" w:cs="Arial"/>
          <w:bCs/>
        </w:rPr>
        <w:t xml:space="preserve"> spaces</w:t>
      </w:r>
      <w:r w:rsidR="00F77478" w:rsidRPr="000E50F1">
        <w:rPr>
          <w:rFonts w:ascii="Times" w:hAnsi="Times" w:cs="Arial"/>
          <w:bCs/>
        </w:rPr>
        <w:t xml:space="preserve">. </w:t>
      </w:r>
      <w:r w:rsidR="000B08EC" w:rsidRPr="000E50F1">
        <w:rPr>
          <w:rFonts w:ascii="Times" w:hAnsi="Times" w:cs="Arial"/>
          <w:bCs/>
        </w:rPr>
        <w:t>This research draws</w:t>
      </w:r>
      <w:r w:rsidR="001A3EEB" w:rsidRPr="000E50F1">
        <w:rPr>
          <w:rFonts w:ascii="Times" w:hAnsi="Times" w:cs="Arial"/>
          <w:bCs/>
        </w:rPr>
        <w:t xml:space="preserve"> upon</w:t>
      </w:r>
      <w:r w:rsidR="00F77478" w:rsidRPr="000E50F1">
        <w:rPr>
          <w:rFonts w:ascii="Times" w:hAnsi="Times" w:cs="Arial"/>
          <w:bCs/>
        </w:rPr>
        <w:t xml:space="preserve"> </w:t>
      </w:r>
      <w:r w:rsidR="00F24458" w:rsidRPr="000E50F1">
        <w:rPr>
          <w:rFonts w:ascii="Times" w:hAnsi="Times" w:cs="Arial"/>
          <w:bCs/>
        </w:rPr>
        <w:t xml:space="preserve">the insight of </w:t>
      </w:r>
      <w:r w:rsidR="00F77478" w:rsidRPr="000E50F1">
        <w:rPr>
          <w:rFonts w:ascii="Times" w:hAnsi="Times" w:cs="Arial"/>
          <w:bCs/>
        </w:rPr>
        <w:t xml:space="preserve">Bronfrenrenner’s (1979) ecological </w:t>
      </w:r>
      <w:r w:rsidR="001A3EEB" w:rsidRPr="000E50F1">
        <w:rPr>
          <w:rFonts w:ascii="Times" w:hAnsi="Times" w:cs="Arial"/>
          <w:bCs/>
        </w:rPr>
        <w:t>systems theory</w:t>
      </w:r>
      <w:r w:rsidR="000B08EC" w:rsidRPr="000E50F1">
        <w:rPr>
          <w:rFonts w:ascii="Times" w:hAnsi="Times" w:cs="Arial"/>
          <w:bCs/>
        </w:rPr>
        <w:t xml:space="preserve"> </w:t>
      </w:r>
      <w:r w:rsidR="00BB497A" w:rsidRPr="000E50F1">
        <w:rPr>
          <w:rFonts w:ascii="Times" w:hAnsi="Times" w:cs="Arial"/>
          <w:bCs/>
        </w:rPr>
        <w:t>of five interconnecting systems</w:t>
      </w:r>
      <w:r w:rsidR="00FB0145" w:rsidRPr="000E50F1">
        <w:rPr>
          <w:rFonts w:ascii="Times" w:hAnsi="Times" w:cs="Arial"/>
          <w:bCs/>
        </w:rPr>
        <w:t xml:space="preserve"> (i.e., individual, microsystem, mesosystem, exosystem, and macrosystem)</w:t>
      </w:r>
      <w:r w:rsidR="000B5EBF" w:rsidRPr="000E50F1">
        <w:rPr>
          <w:rFonts w:ascii="Times" w:hAnsi="Times" w:cs="Arial"/>
          <w:bCs/>
        </w:rPr>
        <w:t>. As s</w:t>
      </w:r>
      <w:r w:rsidR="00FB0145" w:rsidRPr="000E50F1">
        <w:rPr>
          <w:rFonts w:ascii="Times" w:hAnsi="Times" w:cs="Arial"/>
          <w:bCs/>
        </w:rPr>
        <w:t>hown in Figure 5</w:t>
      </w:r>
      <w:r w:rsidR="000B5EBF" w:rsidRPr="000E50F1">
        <w:rPr>
          <w:rFonts w:ascii="Times" w:hAnsi="Times" w:cs="Arial"/>
          <w:bCs/>
        </w:rPr>
        <w:t>, this adapted version of Bronfrenrenner’s model recognizes the geo-sociopolitical environments that account for multiple (and layered) influences in the complex and fluid process of youth development and integration in Canada (Khanlou et al. 2018)</w:t>
      </w:r>
      <w:r w:rsidR="000B765E" w:rsidRPr="000E50F1">
        <w:rPr>
          <w:rFonts w:ascii="Times" w:hAnsi="Times" w:cs="Arial"/>
          <w:bCs/>
        </w:rPr>
        <w:t xml:space="preserve"> beyond a psychosocial only perspective. </w:t>
      </w:r>
    </w:p>
    <w:p w14:paraId="78235143" w14:textId="7E505721" w:rsidR="00BD2EBF" w:rsidRPr="000E50F1" w:rsidRDefault="00BD2EBF" w:rsidP="00F0293A">
      <w:pPr>
        <w:pStyle w:val="NormalWeb"/>
        <w:rPr>
          <w:rFonts w:eastAsia="Times New Roman"/>
          <w:lang w:val="en-CA"/>
        </w:rPr>
      </w:pPr>
      <w:r w:rsidRPr="000E50F1">
        <w:rPr>
          <w:rFonts w:ascii="Times" w:hAnsi="Times" w:cs="Arial"/>
          <w:bCs/>
        </w:rPr>
        <w:t xml:space="preserve">The ecological framework for human development help to contextualizes points of independent and intersecting systems that can restrict youth access and accessibility in a post-migration. This research builds upon the previous research utilizing Bronfrenrenner’s model to expand and strengthen culturally responsive service as a path to equity in mental health care for immigrant and refugee populations by demonstrating strategies used in one community setting to mediate power relations and cultural norms, alleviate system barriers, and facilitate mental health </w:t>
      </w:r>
      <w:r w:rsidR="003E6123" w:rsidRPr="000E50F1">
        <w:rPr>
          <w:rFonts w:ascii="Times" w:hAnsi="Times" w:cs="Arial"/>
          <w:bCs/>
        </w:rPr>
        <w:t>literacy</w:t>
      </w:r>
      <w:r w:rsidRPr="000E50F1">
        <w:rPr>
          <w:rFonts w:ascii="Times" w:hAnsi="Times" w:cs="Arial"/>
          <w:bCs/>
        </w:rPr>
        <w:t xml:space="preserve"> and service use for immigrant and refugee youth across various microsystems in schools (i.e. student: peers; student: family; student: school staff).</w:t>
      </w:r>
    </w:p>
    <w:p w14:paraId="1326A8C7" w14:textId="677FDAAE" w:rsidR="001660AC" w:rsidRPr="000E50F1" w:rsidRDefault="00DA7E04" w:rsidP="00400800">
      <w:pPr>
        <w:pStyle w:val="NormalWeb"/>
        <w:rPr>
          <w:rFonts w:ascii="Times" w:hAnsi="Times" w:cs="Arial"/>
        </w:rPr>
      </w:pPr>
      <w:r w:rsidRPr="000E50F1">
        <w:rPr>
          <w:rFonts w:ascii="Times" w:hAnsi="Times" w:cs="Arial"/>
        </w:rPr>
        <w:t xml:space="preserve">For the purpose of this </w:t>
      </w:r>
      <w:r w:rsidR="00A676D7" w:rsidRPr="000E50F1">
        <w:rPr>
          <w:rFonts w:ascii="Times" w:hAnsi="Times" w:cs="Arial"/>
        </w:rPr>
        <w:t>research, the focus on youth in secondary schools in Canada (</w:t>
      </w:r>
      <w:r w:rsidR="00FF51A9" w:rsidRPr="000E50F1">
        <w:rPr>
          <w:rFonts w:ascii="Times" w:hAnsi="Times" w:cs="Arial"/>
        </w:rPr>
        <w:t>i.e.,</w:t>
      </w:r>
      <w:r w:rsidR="00A676D7" w:rsidRPr="000E50F1">
        <w:rPr>
          <w:rFonts w:ascii="Times" w:hAnsi="Times" w:cs="Arial"/>
        </w:rPr>
        <w:t xml:space="preserve"> grade 9 to 12) highlight</w:t>
      </w:r>
      <w:r w:rsidR="0075026E" w:rsidRPr="000E50F1">
        <w:rPr>
          <w:rFonts w:ascii="Times" w:hAnsi="Times" w:cs="Arial"/>
        </w:rPr>
        <w:t>s</w:t>
      </w:r>
      <w:r w:rsidR="00A676D7" w:rsidRPr="000E50F1">
        <w:rPr>
          <w:rFonts w:ascii="Times" w:hAnsi="Times" w:cs="Arial"/>
        </w:rPr>
        <w:t xml:space="preserve"> </w:t>
      </w:r>
      <w:r w:rsidR="0075026E" w:rsidRPr="000E50F1">
        <w:rPr>
          <w:rFonts w:ascii="Times" w:hAnsi="Times" w:cs="Arial"/>
        </w:rPr>
        <w:t xml:space="preserve">the subset of youth </w:t>
      </w:r>
      <w:r w:rsidR="00A676D7" w:rsidRPr="000E50F1">
        <w:rPr>
          <w:rFonts w:ascii="Times" w:hAnsi="Times" w:cs="Arial"/>
        </w:rPr>
        <w:t>between the age</w:t>
      </w:r>
      <w:r w:rsidR="006C66D9" w:rsidRPr="000E50F1">
        <w:rPr>
          <w:rFonts w:ascii="Times" w:hAnsi="Times" w:cs="Arial"/>
        </w:rPr>
        <w:t>s</w:t>
      </w:r>
      <w:r w:rsidR="00A676D7" w:rsidRPr="000E50F1">
        <w:rPr>
          <w:rFonts w:ascii="Times" w:hAnsi="Times" w:cs="Arial"/>
        </w:rPr>
        <w:t xml:space="preserve"> of </w:t>
      </w:r>
      <w:r w:rsidR="00161935" w:rsidRPr="000E50F1">
        <w:rPr>
          <w:rFonts w:ascii="Times" w:hAnsi="Times" w:cs="Arial"/>
        </w:rPr>
        <w:t>14</w:t>
      </w:r>
      <w:r w:rsidR="00A676D7" w:rsidRPr="000E50F1">
        <w:rPr>
          <w:rFonts w:ascii="Times" w:hAnsi="Times" w:cs="Arial"/>
        </w:rPr>
        <w:t xml:space="preserve"> </w:t>
      </w:r>
      <w:r w:rsidR="00161935" w:rsidRPr="000E50F1">
        <w:rPr>
          <w:rFonts w:ascii="Times" w:hAnsi="Times" w:cs="Arial"/>
        </w:rPr>
        <w:t>to</w:t>
      </w:r>
      <w:r w:rsidR="00A676D7" w:rsidRPr="000E50F1">
        <w:rPr>
          <w:rFonts w:ascii="Times" w:hAnsi="Times" w:cs="Arial"/>
        </w:rPr>
        <w:t xml:space="preserve"> </w:t>
      </w:r>
      <w:r w:rsidR="00161935" w:rsidRPr="000E50F1">
        <w:rPr>
          <w:rFonts w:ascii="Times" w:hAnsi="Times" w:cs="Arial"/>
        </w:rPr>
        <w:t>17</w:t>
      </w:r>
      <w:r w:rsidR="00A676D7" w:rsidRPr="000E50F1">
        <w:rPr>
          <w:rFonts w:ascii="Times" w:hAnsi="Times" w:cs="Arial"/>
        </w:rPr>
        <w:t xml:space="preserve">. </w:t>
      </w:r>
      <w:r w:rsidRPr="000E50F1">
        <w:rPr>
          <w:rFonts w:ascii="Times" w:hAnsi="Times" w:cs="Arial"/>
        </w:rPr>
        <w:t xml:space="preserve"> </w:t>
      </w:r>
    </w:p>
    <w:p w14:paraId="0614DF09" w14:textId="69BD0328" w:rsidR="001660AC" w:rsidRPr="000E50F1" w:rsidRDefault="001660AC" w:rsidP="00400800">
      <w:pPr>
        <w:pStyle w:val="NormalWeb"/>
        <w:rPr>
          <w:rFonts w:ascii="Times" w:hAnsi="Times" w:cs="Arial"/>
        </w:rPr>
      </w:pPr>
    </w:p>
    <w:p w14:paraId="0C316F36" w14:textId="3B835959" w:rsidR="001660AC" w:rsidRPr="000E50F1" w:rsidRDefault="001660AC" w:rsidP="004E19CF">
      <w:pPr>
        <w:pStyle w:val="NormalWeb"/>
        <w:jc w:val="center"/>
        <w:rPr>
          <w:rFonts w:ascii="Times" w:hAnsi="Times" w:cs="Arial"/>
          <w:bCs/>
        </w:rPr>
      </w:pPr>
      <w:r w:rsidRPr="000E50F1">
        <w:rPr>
          <w:rFonts w:ascii="Times" w:hAnsi="Times" w:cs="Arial"/>
          <w:bCs/>
          <w:noProof/>
        </w:rPr>
        <w:lastRenderedPageBreak/>
        <w:drawing>
          <wp:inline distT="0" distB="0" distL="0" distR="0" wp14:anchorId="6AD6ACA3" wp14:editId="44171648">
            <wp:extent cx="4492978" cy="4291276"/>
            <wp:effectExtent l="0" t="0" r="3175" b="190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499948" cy="4297933"/>
                    </a:xfrm>
                    <a:prstGeom prst="rect">
                      <a:avLst/>
                    </a:prstGeom>
                  </pic:spPr>
                </pic:pic>
              </a:graphicData>
            </a:graphic>
          </wp:inline>
        </w:drawing>
      </w:r>
    </w:p>
    <w:p w14:paraId="1CD5E229" w14:textId="6C59CF98" w:rsidR="005D60E2" w:rsidRPr="000E50F1" w:rsidRDefault="005D60E2" w:rsidP="005D60E2">
      <w:pPr>
        <w:pStyle w:val="Caption"/>
        <w:rPr>
          <w:rFonts w:ascii="Times" w:hAnsi="Times" w:cs="Arial"/>
          <w:b/>
          <w:sz w:val="24"/>
          <w:szCs w:val="20"/>
        </w:rPr>
      </w:pPr>
      <w:bookmarkStart w:id="30" w:name="_Toc54020235"/>
      <w:r w:rsidRPr="000E50F1">
        <w:rPr>
          <w:i/>
          <w:iCs w:val="0"/>
          <w:sz w:val="24"/>
          <w:szCs w:val="20"/>
        </w:rPr>
        <w:t xml:space="preserve">Figure </w:t>
      </w:r>
      <w:r w:rsidRPr="000E50F1">
        <w:rPr>
          <w:i/>
          <w:iCs w:val="0"/>
          <w:sz w:val="24"/>
          <w:szCs w:val="20"/>
        </w:rPr>
        <w:fldChar w:fldCharType="begin"/>
      </w:r>
      <w:r w:rsidRPr="000E50F1">
        <w:rPr>
          <w:i/>
          <w:iCs w:val="0"/>
          <w:sz w:val="24"/>
          <w:szCs w:val="20"/>
        </w:rPr>
        <w:instrText xml:space="preserve"> SEQ Figure \* ARABIC </w:instrText>
      </w:r>
      <w:r w:rsidRPr="000E50F1">
        <w:rPr>
          <w:i/>
          <w:iCs w:val="0"/>
          <w:sz w:val="24"/>
          <w:szCs w:val="20"/>
        </w:rPr>
        <w:fldChar w:fldCharType="separate"/>
      </w:r>
      <w:r w:rsidRPr="000E50F1">
        <w:rPr>
          <w:i/>
          <w:iCs w:val="0"/>
          <w:noProof/>
          <w:sz w:val="24"/>
          <w:szCs w:val="20"/>
        </w:rPr>
        <w:t>5</w:t>
      </w:r>
      <w:r w:rsidRPr="000E50F1">
        <w:rPr>
          <w:i/>
          <w:iCs w:val="0"/>
          <w:sz w:val="24"/>
          <w:szCs w:val="20"/>
        </w:rPr>
        <w:fldChar w:fldCharType="end"/>
      </w:r>
      <w:r w:rsidRPr="000E50F1">
        <w:rPr>
          <w:sz w:val="24"/>
          <w:szCs w:val="20"/>
        </w:rPr>
        <w:t>. Ecological systems model (Khanlou et al. 2018; 59)</w:t>
      </w:r>
      <w:bookmarkEnd w:id="30"/>
    </w:p>
    <w:p w14:paraId="6A892D1E" w14:textId="77777777" w:rsidR="005D60E2" w:rsidRPr="000E50F1" w:rsidRDefault="005D60E2" w:rsidP="00812859">
      <w:pPr>
        <w:rPr>
          <w:rFonts w:ascii="Times" w:hAnsi="Times" w:cs="Arial"/>
          <w:b/>
        </w:rPr>
      </w:pPr>
    </w:p>
    <w:p w14:paraId="470B66EF" w14:textId="0A2DDF22" w:rsidR="00812859" w:rsidRPr="000E50F1" w:rsidRDefault="00812859" w:rsidP="00812859">
      <w:pPr>
        <w:rPr>
          <w:rFonts w:ascii="Times" w:hAnsi="Times" w:cs="Arial"/>
          <w:b/>
        </w:rPr>
      </w:pPr>
      <w:r w:rsidRPr="000E50F1">
        <w:rPr>
          <w:rFonts w:ascii="Times" w:hAnsi="Times" w:cs="Arial"/>
          <w:b/>
        </w:rPr>
        <w:t xml:space="preserve">Immigrant and Refugee Youth Pre- and Post-Migration Context  </w:t>
      </w:r>
    </w:p>
    <w:p w14:paraId="04C95B17" w14:textId="1F0D0CB8" w:rsidR="00661B54" w:rsidRPr="000E50F1" w:rsidRDefault="00812859" w:rsidP="00661B54">
      <w:pPr>
        <w:rPr>
          <w:rFonts w:ascii="Times" w:hAnsi="Times" w:cs="Arial"/>
        </w:rPr>
      </w:pPr>
      <w:r w:rsidRPr="000E50F1">
        <w:rPr>
          <w:rFonts w:ascii="Times" w:hAnsi="Times" w:cs="Arial"/>
        </w:rPr>
        <w:t>Immigrant and refugee populations are comprised of those with diverse histories, lived experiences, and migration trajectories that can result in different mental health outcomes. Known as the ‘healthy immigrant effect’ at the time of immigration, immigrants are physically and mentally healthier than their Canadian-born counterpart</w:t>
      </w:r>
      <w:r w:rsidR="00EA12B7" w:rsidRPr="000E50F1">
        <w:rPr>
          <w:rFonts w:ascii="Times" w:hAnsi="Times" w:cs="Arial"/>
        </w:rPr>
        <w:t>s</w:t>
      </w:r>
      <w:r w:rsidRPr="000E50F1">
        <w:rPr>
          <w:rFonts w:ascii="Times" w:hAnsi="Times" w:cs="Arial"/>
        </w:rPr>
        <w:t xml:space="preserve"> due to the vetting process of immigrant selection</w:t>
      </w:r>
      <w:r w:rsidR="00EA12B7" w:rsidRPr="000E50F1">
        <w:rPr>
          <w:rFonts w:ascii="Times" w:hAnsi="Times" w:cs="Arial"/>
        </w:rPr>
        <w:t xml:space="preserve">, </w:t>
      </w:r>
      <w:r w:rsidRPr="000E50F1">
        <w:rPr>
          <w:rFonts w:ascii="Times" w:hAnsi="Times" w:cs="Arial"/>
        </w:rPr>
        <w:t xml:space="preserve"> although </w:t>
      </w:r>
      <w:r w:rsidR="00EA12B7" w:rsidRPr="000E50F1">
        <w:rPr>
          <w:rFonts w:ascii="Times" w:hAnsi="Times" w:cs="Arial"/>
        </w:rPr>
        <w:t xml:space="preserve">a </w:t>
      </w:r>
      <w:r w:rsidRPr="000E50F1">
        <w:rPr>
          <w:rFonts w:ascii="Times" w:hAnsi="Times" w:cs="Arial"/>
        </w:rPr>
        <w:t xml:space="preserve">rapid decline in self-assessed health (physical and mental) </w:t>
      </w:r>
      <w:r w:rsidR="00EA12B7" w:rsidRPr="000E50F1">
        <w:rPr>
          <w:rFonts w:ascii="Times" w:hAnsi="Times" w:cs="Arial"/>
        </w:rPr>
        <w:t xml:space="preserve">is observed </w:t>
      </w:r>
      <w:r w:rsidRPr="000E50F1">
        <w:rPr>
          <w:rFonts w:ascii="Times" w:hAnsi="Times" w:cs="Arial"/>
        </w:rPr>
        <w:t xml:space="preserve">amongst new arrivals in as little as two years after coming to Canada have been reported (Newbold 2006; Newbold 2009). </w:t>
      </w:r>
      <w:r w:rsidR="00EA12B7" w:rsidRPr="000E50F1">
        <w:rPr>
          <w:rFonts w:ascii="Times" w:hAnsi="Times" w:cs="Arial"/>
        </w:rPr>
        <w:t>In comparison</w:t>
      </w:r>
      <w:r w:rsidRPr="000E50F1">
        <w:rPr>
          <w:rFonts w:ascii="Times" w:hAnsi="Times" w:cs="Arial"/>
        </w:rPr>
        <w:t>, refugees arrive in Canada in poorer health</w:t>
      </w:r>
      <w:r w:rsidR="00EA12B7" w:rsidRPr="000E50F1">
        <w:rPr>
          <w:rFonts w:ascii="Times" w:hAnsi="Times" w:cs="Arial"/>
        </w:rPr>
        <w:t>, likely reflecting their more precarious journey to Canada.</w:t>
      </w:r>
      <w:r w:rsidRPr="000E50F1">
        <w:rPr>
          <w:rFonts w:ascii="Times" w:hAnsi="Times" w:cs="Arial"/>
        </w:rPr>
        <w:t xml:space="preserve"> The literature on determinants of mental health among refugee note</w:t>
      </w:r>
      <w:r w:rsidR="00EA12B7" w:rsidRPr="000E50F1">
        <w:rPr>
          <w:rFonts w:ascii="Times" w:hAnsi="Times" w:cs="Arial"/>
        </w:rPr>
        <w:t>s</w:t>
      </w:r>
      <w:r w:rsidRPr="000E50F1">
        <w:rPr>
          <w:rFonts w:ascii="Times" w:hAnsi="Times" w:cs="Arial"/>
        </w:rPr>
        <w:t xml:space="preserve"> several pre-migratory risk factors including exposure to war, persecution and torture, forced migration, family separation, and prolonged refugee encampment, which can lead to poor mental health outcome (Guruge and Butt 2015). </w:t>
      </w:r>
      <w:r w:rsidRPr="000E50F1">
        <w:rPr>
          <w:rFonts w:ascii="Times" w:hAnsi="Times" w:cs="Calibri"/>
        </w:rPr>
        <w:t>Durbin et al. (201</w:t>
      </w:r>
      <w:r w:rsidR="004A2076" w:rsidRPr="000E50F1">
        <w:rPr>
          <w:rFonts w:ascii="Times" w:hAnsi="Times" w:cs="Calibri"/>
        </w:rPr>
        <w:t>1</w:t>
      </w:r>
      <w:r w:rsidRPr="000E50F1">
        <w:rPr>
          <w:rFonts w:ascii="Times" w:hAnsi="Times" w:cs="Calibri"/>
        </w:rPr>
        <w:t xml:space="preserve">) suggest that immigrants are at risk of increased hospitalization for some psychiatric illnesses. In areas with greater proportions of immigrants, admission </w:t>
      </w:r>
      <w:r w:rsidRPr="000E50F1">
        <w:rPr>
          <w:rFonts w:ascii="Times" w:hAnsi="Times" w:cs="Calibri"/>
        </w:rPr>
        <w:lastRenderedPageBreak/>
        <w:t xml:space="preserve">rates were higher for psychotic disorders (e.g., schizophrenia or delusional disorder) but lower for affective disorders (e.g. anxiety or postpartum disorder). </w:t>
      </w:r>
      <w:r w:rsidRPr="000E50F1">
        <w:rPr>
          <w:rFonts w:ascii="Times" w:hAnsi="Times" w:cs="Arial"/>
        </w:rPr>
        <w:t xml:space="preserve">Higher rates of mental health disorders have been reported in various studies with refugees (Kirmayer et al. 2011; Hilario et al. 2015), and the prevalence rates of PTSD and depression in refugees is </w:t>
      </w:r>
      <w:r w:rsidR="00EA12B7" w:rsidRPr="000E50F1">
        <w:rPr>
          <w:rFonts w:ascii="Times" w:hAnsi="Times" w:cs="Arial"/>
        </w:rPr>
        <w:t>approximately</w:t>
      </w:r>
      <w:r w:rsidRPr="000E50F1">
        <w:rPr>
          <w:rFonts w:ascii="Times" w:hAnsi="Times" w:cs="Arial"/>
        </w:rPr>
        <w:t xml:space="preserve"> 15% or </w:t>
      </w:r>
      <w:r w:rsidR="00EA12B7" w:rsidRPr="000E50F1">
        <w:rPr>
          <w:rFonts w:ascii="Times" w:hAnsi="Times" w:cs="Arial"/>
        </w:rPr>
        <w:t>less</w:t>
      </w:r>
      <w:r w:rsidRPr="000E50F1">
        <w:rPr>
          <w:rFonts w:ascii="Times" w:hAnsi="Times" w:cs="Arial"/>
        </w:rPr>
        <w:t xml:space="preserve"> worldwide (Hynie 2018). Among those conflict-affected persons, torture and cumulative exposure to potentially traumatic events (PETs) was the strongest factor associated with PTSD, and for depression factors impacting prevalence included number of PTEs, time since conflict, reported torture, and residency status (Steel et al. 2009). As noted by Steel et al. (2009) methodological factor (e.g., including response rate, sample size and design, diagnostic method) and substantive factors (e.g., socio demographics, place of survey, residency status, time since conflict) play a key role in the variation of reported prevalence rates of mental health disorders among refugees. Higher prevalence is often reported in small-scale community setting with smaller sample size and weaker research methodology (Steel et al. 2009; Kirmayer et al. 2011; Hynie 2018). </w:t>
      </w:r>
    </w:p>
    <w:p w14:paraId="3AC9A1C9" w14:textId="0FD1A05D" w:rsidR="00661B54" w:rsidRPr="000E50F1" w:rsidRDefault="00661B54" w:rsidP="001F440B">
      <w:pPr>
        <w:pStyle w:val="NormalWeb"/>
        <w:rPr>
          <w:rFonts w:eastAsia="Times New Roman"/>
          <w:lang w:val="en-CA"/>
        </w:rPr>
      </w:pPr>
      <w:r w:rsidRPr="000E50F1">
        <w:rPr>
          <w:rFonts w:ascii="Times" w:hAnsi="Times" w:cs="Arial"/>
        </w:rPr>
        <w:t>Overall, the literature on rates of mental illness in immigrant and refugees groups in Canada is diverse and not comprehensive, varying by national origin groups, age, and status in Canada,</w:t>
      </w:r>
      <w:r w:rsidR="001F440B" w:rsidRPr="000E50F1">
        <w:rPr>
          <w:rFonts w:ascii="Times" w:hAnsi="Times" w:cs="Arial"/>
        </w:rPr>
        <w:t xml:space="preserve"> and</w:t>
      </w:r>
      <w:r w:rsidRPr="000E50F1">
        <w:rPr>
          <w:rFonts w:ascii="Times" w:hAnsi="Times" w:cs="Arial"/>
        </w:rPr>
        <w:t xml:space="preserve"> </w:t>
      </w:r>
      <w:r w:rsidR="005F484F" w:rsidRPr="000E50F1">
        <w:rPr>
          <w:rFonts w:ascii="Times" w:hAnsi="Times" w:cs="Arial"/>
        </w:rPr>
        <w:t>have o</w:t>
      </w:r>
      <w:r w:rsidRPr="000E50F1">
        <w:rPr>
          <w:rFonts w:ascii="Times" w:hAnsi="Times" w:cs="Arial"/>
        </w:rPr>
        <w:t xml:space="preserve">ften </w:t>
      </w:r>
      <w:r w:rsidR="001F440B" w:rsidRPr="000E50F1">
        <w:rPr>
          <w:rFonts w:ascii="Times" w:hAnsi="Times" w:cs="Arial"/>
        </w:rPr>
        <w:t xml:space="preserve">focused </w:t>
      </w:r>
      <w:r w:rsidR="007A0BC1" w:rsidRPr="000E50F1">
        <w:rPr>
          <w:rFonts w:ascii="Times" w:hAnsi="Times" w:cs="Arial"/>
        </w:rPr>
        <w:t xml:space="preserve">on </w:t>
      </w:r>
      <w:r w:rsidRPr="000E50F1">
        <w:rPr>
          <w:rFonts w:ascii="Times" w:hAnsi="Times" w:cs="Arial"/>
        </w:rPr>
        <w:t xml:space="preserve">three major </w:t>
      </w:r>
      <w:r w:rsidR="007A0BC1" w:rsidRPr="000E50F1">
        <w:rPr>
          <w:rFonts w:ascii="Times" w:hAnsi="Times" w:cs="Arial"/>
        </w:rPr>
        <w:t>immigrant receiving cit</w:t>
      </w:r>
      <w:r w:rsidR="005F484F" w:rsidRPr="000E50F1">
        <w:rPr>
          <w:rFonts w:ascii="Times" w:hAnsi="Times" w:cs="Arial"/>
        </w:rPr>
        <w:t>ies</w:t>
      </w:r>
      <w:r w:rsidR="001F440B" w:rsidRPr="000E50F1">
        <w:rPr>
          <w:rFonts w:ascii="Times" w:hAnsi="Times" w:cs="Arial"/>
        </w:rPr>
        <w:t xml:space="preserve"> (Hasson et al. 2012). This lack of data can undermine efforts to develop equitable mental health services for all Canadians, particularly for those in communities already challenged by lack of mental health resources and access to care. </w:t>
      </w:r>
      <w:r w:rsidR="00812859" w:rsidRPr="000E50F1">
        <w:rPr>
          <w:rFonts w:ascii="Times" w:hAnsi="Times" w:cs="Arial"/>
        </w:rPr>
        <w:t xml:space="preserve">To date, there has been no study </w:t>
      </w:r>
      <w:r w:rsidR="00EA12B7" w:rsidRPr="000E50F1">
        <w:rPr>
          <w:rFonts w:ascii="Times" w:hAnsi="Times" w:cs="Arial"/>
        </w:rPr>
        <w:t xml:space="preserve">that has </w:t>
      </w:r>
      <w:r w:rsidR="00812859" w:rsidRPr="000E50F1">
        <w:rPr>
          <w:rFonts w:ascii="Times" w:hAnsi="Times" w:cs="Arial"/>
        </w:rPr>
        <w:t>explicitly compared the rates of mental illness among immigrant and refugee youth (Guruge and Butt 2015). Challenges for researchers engaged in the field cite low participation, attrition, vulnerability of group, and sensitivity of topic, making it difficult to draw comparison between groups or assert conclusion (Kataoka et al. 2003; Guruge and Butt 2015).</w:t>
      </w:r>
      <w:r w:rsidR="009B05A4" w:rsidRPr="000E50F1">
        <w:rPr>
          <w:rFonts w:ascii="Times" w:hAnsi="Times" w:cs="Arial"/>
        </w:rPr>
        <w:t xml:space="preserve"> The gap in data reiterates the </w:t>
      </w:r>
      <w:r w:rsidR="00E4084C" w:rsidRPr="000E50F1">
        <w:rPr>
          <w:rFonts w:ascii="Times" w:hAnsi="Times" w:cs="Arial"/>
        </w:rPr>
        <w:t xml:space="preserve">difficulty </w:t>
      </w:r>
      <w:r w:rsidR="009B05A4" w:rsidRPr="000E50F1">
        <w:rPr>
          <w:rFonts w:ascii="Times" w:hAnsi="Times" w:cs="Arial"/>
        </w:rPr>
        <w:t xml:space="preserve">for practitioners to consider </w:t>
      </w:r>
      <w:r w:rsidR="00E4084C" w:rsidRPr="000E50F1">
        <w:rPr>
          <w:rFonts w:ascii="Times" w:hAnsi="Times" w:cs="Arial"/>
        </w:rPr>
        <w:t xml:space="preserve">the </w:t>
      </w:r>
      <w:r w:rsidR="009B05A4" w:rsidRPr="000E50F1">
        <w:rPr>
          <w:rFonts w:ascii="Times" w:hAnsi="Times" w:cs="Arial"/>
        </w:rPr>
        <w:t>regional variations in demography and resources</w:t>
      </w:r>
      <w:r w:rsidR="00E4084C" w:rsidRPr="000E50F1">
        <w:rPr>
          <w:rFonts w:ascii="Times" w:hAnsi="Times" w:cs="Arial"/>
        </w:rPr>
        <w:t>, while</w:t>
      </w:r>
      <w:r w:rsidR="009B05A4" w:rsidRPr="000E50F1">
        <w:rPr>
          <w:rFonts w:ascii="Times" w:hAnsi="Times" w:cs="Arial"/>
        </w:rPr>
        <w:t xml:space="preserve"> emphasi</w:t>
      </w:r>
      <w:r w:rsidR="00E4084C" w:rsidRPr="000E50F1">
        <w:rPr>
          <w:rFonts w:ascii="Times" w:hAnsi="Times" w:cs="Arial"/>
        </w:rPr>
        <w:t>zing the need to adopt a</w:t>
      </w:r>
      <w:r w:rsidR="009B05A4" w:rsidRPr="000E50F1">
        <w:rPr>
          <w:rFonts w:ascii="Times" w:hAnsi="Times" w:cs="Arial"/>
        </w:rPr>
        <w:t xml:space="preserve"> place-based </w:t>
      </w:r>
      <w:r w:rsidR="00E4084C" w:rsidRPr="000E50F1">
        <w:rPr>
          <w:rFonts w:ascii="Times" w:hAnsi="Times" w:cs="Arial"/>
        </w:rPr>
        <w:t>approach</w:t>
      </w:r>
      <w:r w:rsidR="009B05A4" w:rsidRPr="000E50F1">
        <w:rPr>
          <w:rFonts w:ascii="Times" w:hAnsi="Times" w:cs="Arial"/>
        </w:rPr>
        <w:t xml:space="preserve"> </w:t>
      </w:r>
      <w:r w:rsidR="00E4084C" w:rsidRPr="000E50F1">
        <w:rPr>
          <w:rFonts w:ascii="Times" w:hAnsi="Times" w:cs="Arial"/>
        </w:rPr>
        <w:t>when</w:t>
      </w:r>
      <w:r w:rsidR="009B05A4" w:rsidRPr="000E50F1">
        <w:rPr>
          <w:rFonts w:ascii="Times" w:hAnsi="Times" w:cs="Arial"/>
        </w:rPr>
        <w:t xml:space="preserve"> translating policy into practice. </w:t>
      </w:r>
    </w:p>
    <w:p w14:paraId="39CDD0D3" w14:textId="44F3941F" w:rsidR="0001746A" w:rsidRPr="000E50F1" w:rsidRDefault="00812859" w:rsidP="00812859">
      <w:pPr>
        <w:rPr>
          <w:rFonts w:ascii="Times" w:hAnsi="Times" w:cs="Arial"/>
          <w:bCs/>
        </w:rPr>
      </w:pPr>
      <w:r w:rsidRPr="000E50F1">
        <w:rPr>
          <w:rFonts w:ascii="Times" w:eastAsia="Calibri" w:hAnsi="Times" w:cs="Arial"/>
          <w:bCs/>
        </w:rPr>
        <w:t xml:space="preserve">Post-migration determinants of mental health among immigrants and refugees include age, gender, language fluency, ethnicity, knowledge of the health care system, family instability, and family socio-economic status (Guruge and Butt 2015). Lack of access to appropriate </w:t>
      </w:r>
      <w:r w:rsidRPr="000E50F1">
        <w:rPr>
          <w:rFonts w:ascii="Times" w:hAnsi="Times" w:cs="Arial"/>
          <w:bCs/>
        </w:rPr>
        <w:t xml:space="preserve">mental health </w:t>
      </w:r>
      <w:r w:rsidRPr="000E50F1">
        <w:rPr>
          <w:rFonts w:ascii="Times" w:eastAsia="Calibri" w:hAnsi="Times" w:cs="Arial"/>
          <w:bCs/>
        </w:rPr>
        <w:t xml:space="preserve">care and services have been linked to experiences of discrimination and institutional racism reinforcing </w:t>
      </w:r>
      <w:r w:rsidRPr="000E50F1">
        <w:rPr>
          <w:rFonts w:ascii="Times" w:hAnsi="Times" w:cs="Arial"/>
          <w:bCs/>
        </w:rPr>
        <w:t xml:space="preserve">systemic and societal barriers </w:t>
      </w:r>
      <w:r w:rsidRPr="000E50F1">
        <w:rPr>
          <w:rFonts w:ascii="Times" w:eastAsia="Calibri" w:hAnsi="Times" w:cs="Arial"/>
          <w:bCs/>
        </w:rPr>
        <w:t>(McKenzie and Bhui 2007; George et al 2015, Guruge and Butt 2015).</w:t>
      </w:r>
      <w:r w:rsidRPr="000E50F1">
        <w:rPr>
          <w:rFonts w:ascii="Times" w:hAnsi="Times" w:cs="Arial"/>
          <w:bCs/>
        </w:rPr>
        <w:t xml:space="preserve"> The </w:t>
      </w:r>
      <w:r w:rsidRPr="000E50F1">
        <w:rPr>
          <w:rFonts w:ascii="Times" w:eastAsia="Calibri" w:hAnsi="Times" w:cs="Arial"/>
          <w:bCs/>
        </w:rPr>
        <w:t>link between mental health and poverty have also been long realized (Beiser 2005; George et al 2015; Guruge and Butt 2015) As noted by Hynie (2018, 299)</w:t>
      </w:r>
      <w:r w:rsidR="00292C20" w:rsidRPr="000E50F1">
        <w:rPr>
          <w:rFonts w:ascii="Times" w:eastAsia="Calibri" w:hAnsi="Times" w:cs="Arial"/>
          <w:bCs/>
        </w:rPr>
        <w:t>,</w:t>
      </w:r>
      <w:r w:rsidRPr="000E50F1">
        <w:rPr>
          <w:rFonts w:ascii="Times" w:eastAsia="Calibri" w:hAnsi="Times" w:cs="Arial"/>
          <w:bCs/>
        </w:rPr>
        <w:t xml:space="preserve"> “The risks for developing mental disorders and poorer mental health are greater for members of groups with less access to power, material resources and policy making as a result of broader social, political, and economic factors that sustain inequalities.” </w:t>
      </w:r>
      <w:r w:rsidRPr="000E50F1">
        <w:rPr>
          <w:rFonts w:ascii="Times" w:hAnsi="Times" w:cs="Arial"/>
          <w:bCs/>
        </w:rPr>
        <w:t xml:space="preserve">Social stratification and chronic </w:t>
      </w:r>
      <w:r w:rsidRPr="000E50F1">
        <w:rPr>
          <w:rFonts w:ascii="Times" w:hAnsi="Times" w:cs="Arial"/>
          <w:bCs/>
        </w:rPr>
        <w:lastRenderedPageBreak/>
        <w:t xml:space="preserve">conditions of economic and health disparities among immigrants and refugees reflect concerns of social and health injustice (Hansson et al. 2009). Hilario et al. (2015) note that the mental health of young people is strongly connected to the settlement experiences of their parent’s, with parental depression consistently associated with poorer mental health of their children. </w:t>
      </w:r>
    </w:p>
    <w:p w14:paraId="4D339E0C" w14:textId="55240CC3" w:rsidR="0079473A" w:rsidRPr="000E50F1" w:rsidRDefault="00ED4235" w:rsidP="00130F1B">
      <w:pPr>
        <w:pStyle w:val="NormalWeb"/>
        <w:rPr>
          <w:rFonts w:eastAsia="Times New Roman"/>
          <w:lang w:val="en-CA"/>
        </w:rPr>
      </w:pPr>
      <w:r w:rsidRPr="000E50F1">
        <w:rPr>
          <w:rFonts w:ascii="Times" w:hAnsi="Times" w:cs="Arial"/>
          <w:bCs/>
        </w:rPr>
        <w:t xml:space="preserve">Poor mental health youth is influenced by the interconnectedness of determinants and their social relations. McNeely et al. (2010) found that immigrant and refugee </w:t>
      </w:r>
      <w:r w:rsidR="00F766F4" w:rsidRPr="000E50F1">
        <w:rPr>
          <w:rFonts w:ascii="Times" w:hAnsi="Times" w:cs="Arial"/>
          <w:bCs/>
        </w:rPr>
        <w:t>youth</w:t>
      </w:r>
      <w:r w:rsidRPr="000E50F1">
        <w:rPr>
          <w:rFonts w:ascii="Times" w:hAnsi="Times" w:cs="Arial"/>
          <w:bCs/>
        </w:rPr>
        <w:t xml:space="preserve"> in the U.S. were challenged by four sets of emotional distress in resettlement: trauma; parenting and children’s behaviour; acculturative stress; and economic, language and academic challenges. When </w:t>
      </w:r>
      <w:r w:rsidR="00F766F4" w:rsidRPr="000E50F1">
        <w:rPr>
          <w:rFonts w:ascii="Times" w:hAnsi="Times" w:cs="Arial"/>
          <w:bCs/>
        </w:rPr>
        <w:t>youth</w:t>
      </w:r>
      <w:r w:rsidRPr="000E50F1">
        <w:rPr>
          <w:rFonts w:ascii="Times" w:hAnsi="Times" w:cs="Arial"/>
          <w:bCs/>
        </w:rPr>
        <w:t xml:space="preserve"> faced a multiplicity of challenges, it was more difficult for them to cope with each set of challenges individually, and challenges exacerbated each other to compound their difficulties. By and large, research on immigrant and youth mental health cite acculturative stress—the difficulties faced in relation to the process of adapting to the host society—as critical among youth in post-migration (George et al. 2015). Factors inducing acculturative stress include learning a new language, negotiating one’s cultural identity, family conflict, social isolation, racism, and discrimination (Kirmayer et al. 2011). The evidence for cultural identity and its connection to mental health and well-being among immigrants is well documented (Khanlou et al 2018). As noted in Khanlou et al 2018, cultural identity in acculturation research is conceptualized as an immigrant’s sense of self, which is a complex and changing concept particularly for youth carrying out their lives in culturally plural societies. Referencing Berry et al 2006, Khanlou et al</w:t>
      </w:r>
      <w:r w:rsidR="00B92C64" w:rsidRPr="000E50F1">
        <w:rPr>
          <w:rFonts w:ascii="Times" w:hAnsi="Times" w:cs="Arial"/>
          <w:bCs/>
        </w:rPr>
        <w:t>.</w:t>
      </w:r>
      <w:r w:rsidRPr="000E50F1">
        <w:rPr>
          <w:rFonts w:ascii="Times" w:hAnsi="Times" w:cs="Arial"/>
          <w:bCs/>
        </w:rPr>
        <w:t xml:space="preserve"> 2018 point out that immigrant youth are challenged by the need to negotiate and “work out how to live together</w:t>
      </w:r>
      <w:r w:rsidR="00C64C21" w:rsidRPr="000E50F1">
        <w:rPr>
          <w:rFonts w:ascii="Times" w:hAnsi="Times" w:cs="Arial"/>
          <w:bCs/>
        </w:rPr>
        <w:t xml:space="preserve"> by</w:t>
      </w:r>
      <w:r w:rsidRPr="000E50F1">
        <w:rPr>
          <w:rFonts w:ascii="Times" w:hAnsi="Times" w:cs="Arial"/>
          <w:bCs/>
        </w:rPr>
        <w:t>, adopting various strategies that will allow them to achieve a reasonably successful adaptation to living interculturally”.</w:t>
      </w:r>
      <w:r w:rsidRPr="000E50F1">
        <w:rPr>
          <w:sz w:val="20"/>
          <w:szCs w:val="20"/>
        </w:rPr>
        <w:t xml:space="preserve"> </w:t>
      </w:r>
      <w:r w:rsidRPr="000E50F1">
        <w:rPr>
          <w:rFonts w:ascii="Times" w:hAnsi="Times" w:cs="Arial"/>
          <w:bCs/>
        </w:rPr>
        <w:t>S</w:t>
      </w:r>
      <w:r w:rsidR="00C64C21" w:rsidRPr="000E50F1">
        <w:rPr>
          <w:rFonts w:ascii="Times" w:hAnsi="Times" w:cs="Arial"/>
          <w:bCs/>
        </w:rPr>
        <w:t>imilarly, s</w:t>
      </w:r>
      <w:r w:rsidRPr="000E50F1">
        <w:rPr>
          <w:rFonts w:ascii="Times" w:hAnsi="Times" w:cs="Arial"/>
          <w:bCs/>
        </w:rPr>
        <w:t xml:space="preserve">trategies encouraging </w:t>
      </w:r>
      <w:r w:rsidRPr="000E50F1">
        <w:rPr>
          <w:rFonts w:ascii="Times" w:eastAsia="Calibri" w:hAnsi="Times" w:cs="Arial"/>
          <w:bCs/>
        </w:rPr>
        <w:t xml:space="preserve">adaptive acculturation such as helping youth to negotiate </w:t>
      </w:r>
      <w:r w:rsidRPr="000E50F1">
        <w:rPr>
          <w:rFonts w:ascii="Times" w:hAnsi="Times" w:cs="Arial"/>
          <w:bCs/>
        </w:rPr>
        <w:t xml:space="preserve">cultural identity, supporting family relationships, and increasing social support have </w:t>
      </w:r>
      <w:r w:rsidRPr="000E50F1">
        <w:rPr>
          <w:rFonts w:ascii="Times" w:eastAsia="Calibri" w:hAnsi="Times" w:cs="Arial"/>
          <w:bCs/>
        </w:rPr>
        <w:t xml:space="preserve">been shown to mediate negative impact for youth in post migration </w:t>
      </w:r>
      <w:r w:rsidRPr="000E50F1">
        <w:rPr>
          <w:rFonts w:ascii="Times" w:hAnsi="Times" w:cs="Arial"/>
          <w:bCs/>
        </w:rPr>
        <w:t>(</w:t>
      </w:r>
      <w:r w:rsidRPr="000E50F1">
        <w:rPr>
          <w:rFonts w:ascii="Times" w:eastAsia="Calibri" w:hAnsi="Times" w:cs="Arial"/>
          <w:bCs/>
        </w:rPr>
        <w:t>Jorden et al. 2009; Khawaja et al. 2014; Guruge and Butt 2015; Khawaja et al. 2017;</w:t>
      </w:r>
      <w:r w:rsidRPr="000E50F1">
        <w:rPr>
          <w:rFonts w:ascii="Times" w:hAnsi="Times" w:cs="Arial"/>
          <w:bCs/>
        </w:rPr>
        <w:t xml:space="preserve"> Hynie 2018). </w:t>
      </w:r>
    </w:p>
    <w:p w14:paraId="4DF3FBA5" w14:textId="77777777" w:rsidR="00812859" w:rsidRPr="000E50F1" w:rsidRDefault="00812859" w:rsidP="00812859">
      <w:pPr>
        <w:rPr>
          <w:rFonts w:ascii="Times" w:eastAsia="Calibri" w:hAnsi="Times" w:cs="Arial"/>
          <w:b/>
        </w:rPr>
      </w:pPr>
      <w:r w:rsidRPr="000E50F1">
        <w:rPr>
          <w:rFonts w:ascii="Times" w:eastAsia="Calibri" w:hAnsi="Times" w:cs="Arial"/>
          <w:b/>
        </w:rPr>
        <w:t xml:space="preserve">Providing Mental Health Access </w:t>
      </w:r>
    </w:p>
    <w:p w14:paraId="2409C987" w14:textId="52E6C01D" w:rsidR="00812859" w:rsidRPr="000E50F1" w:rsidRDefault="00812859" w:rsidP="00812859">
      <w:pPr>
        <w:ind w:right="4"/>
        <w:rPr>
          <w:rFonts w:ascii="Times" w:hAnsi="Times" w:cs="Arial"/>
          <w:bCs/>
        </w:rPr>
      </w:pPr>
      <w:r w:rsidRPr="000E50F1">
        <w:rPr>
          <w:rFonts w:ascii="Times" w:hAnsi="Times" w:cs="Arial"/>
          <w:bCs/>
        </w:rPr>
        <w:t>Research ha</w:t>
      </w:r>
      <w:r w:rsidR="00EA12B7" w:rsidRPr="000E50F1">
        <w:rPr>
          <w:rFonts w:ascii="Times" w:hAnsi="Times" w:cs="Arial"/>
          <w:bCs/>
        </w:rPr>
        <w:t>s</w:t>
      </w:r>
      <w:r w:rsidRPr="000E50F1">
        <w:rPr>
          <w:rFonts w:ascii="Times" w:hAnsi="Times" w:cs="Arial"/>
          <w:bCs/>
        </w:rPr>
        <w:t xml:space="preserve"> shown that immigrant and refugee children and youth face systemic barriers in accessing both formal and informal mental health support (Rickwood et al. 2007; Ellis et al. 2011). Archie et al. (2010) found that ethnic minority groups disproportionately overutilized emergency response (ER) services as their first point of contact for a first episode of psychosis. ER exposure was also linked to increased future hospitalization and deterred outpatient engagement (Archie et al. 2010). Low utilization rates of </w:t>
      </w:r>
      <w:r w:rsidRPr="000E50F1">
        <w:rPr>
          <w:rFonts w:ascii="Times" w:eastAsia="Calibri" w:hAnsi="Times" w:cs="Arial"/>
          <w:bCs/>
        </w:rPr>
        <w:t xml:space="preserve">existing </w:t>
      </w:r>
      <w:r w:rsidRPr="000E50F1">
        <w:rPr>
          <w:rFonts w:ascii="Times" w:hAnsi="Times" w:cs="Arial"/>
          <w:bCs/>
        </w:rPr>
        <w:t xml:space="preserve">mental health services have been linked to lack of awareness of services, language </w:t>
      </w:r>
      <w:r w:rsidRPr="000E50F1">
        <w:rPr>
          <w:rFonts w:ascii="Times" w:eastAsia="Calibri" w:hAnsi="Times" w:cs="Arial"/>
          <w:bCs/>
        </w:rPr>
        <w:t>incompatibility</w:t>
      </w:r>
      <w:r w:rsidRPr="000E50F1">
        <w:rPr>
          <w:rFonts w:ascii="Times" w:hAnsi="Times" w:cs="Arial"/>
          <w:bCs/>
        </w:rPr>
        <w:t>, transportation, cost, and differences in sociocultural beliefs that can limit and/or restrict access and service use, and stigma (</w:t>
      </w:r>
      <w:r w:rsidRPr="000E50F1">
        <w:rPr>
          <w:rFonts w:ascii="Times" w:eastAsia="Calibri" w:hAnsi="Times" w:cs="Arial"/>
          <w:bCs/>
        </w:rPr>
        <w:t xml:space="preserve">Sanchez and Gaw 2007; </w:t>
      </w:r>
      <w:r w:rsidRPr="000E50F1">
        <w:rPr>
          <w:rFonts w:ascii="Times" w:hAnsi="Times" w:cs="Arial"/>
          <w:bCs/>
        </w:rPr>
        <w:t>Yang et al</w:t>
      </w:r>
      <w:r w:rsidR="00B92C64" w:rsidRPr="000E50F1">
        <w:rPr>
          <w:rFonts w:ascii="Times" w:hAnsi="Times" w:cs="Arial"/>
          <w:bCs/>
        </w:rPr>
        <w:t>.</w:t>
      </w:r>
      <w:r w:rsidRPr="000E50F1">
        <w:rPr>
          <w:rFonts w:ascii="Times" w:hAnsi="Times" w:cs="Arial"/>
          <w:bCs/>
        </w:rPr>
        <w:t xml:space="preserve"> 2007; Hansson et al. 2010; Azuero 2012; Wood and Newbold, 2012; Han and Pong 2015). The </w:t>
      </w:r>
      <w:r w:rsidRPr="000E50F1">
        <w:rPr>
          <w:rFonts w:ascii="Times" w:hAnsi="Times" w:cs="Arial"/>
          <w:bCs/>
        </w:rPr>
        <w:lastRenderedPageBreak/>
        <w:t xml:space="preserve">underuse of mental health services by racially and ethnically diverse populations may not necessarily reflect a lack of need but rather point to sociocultural factors that constrain group engagement and/or reinforce restrictive access, which remains poorly understood (Edge et al. 2014). Similarly, other scholars have suggested that the underutilization of health care services overall but may point to the institutional influences that inhabit the degree of care received (Asanin and Wilson, 2010). According to Ricketts (2009, 529) </w:t>
      </w:r>
      <w:r w:rsidR="006F4E39" w:rsidRPr="000E50F1">
        <w:rPr>
          <w:rFonts w:ascii="Times" w:hAnsi="Times" w:cs="Arial"/>
          <w:bCs/>
        </w:rPr>
        <w:t>“</w:t>
      </w:r>
      <w:r w:rsidRPr="000E50F1">
        <w:rPr>
          <w:rFonts w:ascii="Times" w:hAnsi="Times" w:cs="Arial"/>
          <w:bCs/>
        </w:rPr>
        <w:t>Access is the ability of a person to utilize health care given a need and/or desire to obtain it while accessibility is really the degree to which a person needing and seeking care actually receives care.</w:t>
      </w:r>
      <w:r w:rsidR="006F4E39" w:rsidRPr="000E50F1">
        <w:rPr>
          <w:rFonts w:ascii="Times" w:hAnsi="Times" w:cs="Arial"/>
          <w:bCs/>
        </w:rPr>
        <w:t>”</w:t>
      </w:r>
      <w:r w:rsidRPr="000E50F1">
        <w:rPr>
          <w:rFonts w:ascii="Times" w:hAnsi="Times" w:cs="Arial"/>
          <w:bCs/>
        </w:rPr>
        <w:t xml:space="preserve"> These complexities call for deeper exploration into experiences of immigrant and refugee youth mental health inaccess before accessibility and health equity can be adequately addressed.</w:t>
      </w:r>
      <w:r w:rsidR="00B15B12" w:rsidRPr="000E50F1">
        <w:rPr>
          <w:rFonts w:ascii="Times" w:hAnsi="Times" w:cs="Arial"/>
          <w:bCs/>
        </w:rPr>
        <w:t xml:space="preserve"> </w:t>
      </w:r>
    </w:p>
    <w:p w14:paraId="2684F8B1" w14:textId="77777777" w:rsidR="00812859" w:rsidRPr="000E50F1" w:rsidRDefault="00812859" w:rsidP="00812859">
      <w:pPr>
        <w:rPr>
          <w:rFonts w:ascii="Times" w:hAnsi="Times" w:cs="Arial"/>
          <w:bCs/>
        </w:rPr>
      </w:pPr>
    </w:p>
    <w:p w14:paraId="56455E10" w14:textId="77777777" w:rsidR="00812859" w:rsidRPr="000E50F1" w:rsidRDefault="00812859" w:rsidP="00812859">
      <w:pPr>
        <w:rPr>
          <w:rFonts w:ascii="Times" w:eastAsia="Calibri" w:hAnsi="Times" w:cs="Arial"/>
          <w:b/>
        </w:rPr>
      </w:pPr>
      <w:r w:rsidRPr="000E50F1">
        <w:rPr>
          <w:rFonts w:ascii="Times" w:eastAsia="Calibri" w:hAnsi="Times" w:cs="Arial"/>
          <w:b/>
        </w:rPr>
        <w:t xml:space="preserve">Promoting Mental Health in Schools </w:t>
      </w:r>
    </w:p>
    <w:p w14:paraId="3E367BC1" w14:textId="2D72CAFE" w:rsidR="00812859" w:rsidRPr="000E50F1" w:rsidRDefault="00812859" w:rsidP="00812859">
      <w:pPr>
        <w:rPr>
          <w:rFonts w:ascii="Times" w:hAnsi="Times" w:cs="Arial"/>
          <w:bCs/>
        </w:rPr>
      </w:pPr>
      <w:r w:rsidRPr="000E50F1">
        <w:rPr>
          <w:rFonts w:ascii="Times" w:hAnsi="Times" w:cs="Arial"/>
          <w:bCs/>
        </w:rPr>
        <w:t>The ongoing expansion of mental health care in the community to strengthen the response to the needs of diverse populations reflect the efforts to bring health promotion and prevention strategies into everyday spaces. Schools in particular have been identified as a critical site for health access and service integration (Rones and Hoagwood 2000). According to Kutcher et al. (2015), schools can connect mental health education and strategies to other aspects of learning</w:t>
      </w:r>
      <w:r w:rsidR="00EA12B7" w:rsidRPr="000E50F1">
        <w:rPr>
          <w:rFonts w:ascii="Times" w:hAnsi="Times" w:cs="Arial"/>
          <w:bCs/>
        </w:rPr>
        <w:t xml:space="preserve"> and</w:t>
      </w:r>
      <w:r w:rsidRPr="000E50F1">
        <w:rPr>
          <w:rFonts w:ascii="Times" w:hAnsi="Times" w:cs="Arial"/>
          <w:bCs/>
        </w:rPr>
        <w:t xml:space="preserve"> decrease the stigma associated with mental disorders in addition to being cost-effective environments to reach </w:t>
      </w:r>
      <w:r w:rsidR="00F766F4" w:rsidRPr="000E50F1">
        <w:rPr>
          <w:rFonts w:ascii="Times" w:hAnsi="Times" w:cs="Arial"/>
          <w:bCs/>
        </w:rPr>
        <w:t>youth</w:t>
      </w:r>
      <w:r w:rsidRPr="000E50F1">
        <w:rPr>
          <w:rFonts w:ascii="Times" w:hAnsi="Times" w:cs="Arial"/>
          <w:bCs/>
        </w:rPr>
        <w:t>. In light of this, a significant body of work has emerged around school-based mental health promotion and intervention in the last three decades. The literature on school-based mental health promotion and intervention can be found under ‘social and emotional learning’, ‘emotional literacy’, ‘emotional intelligence’, ‘resilience’, ‘life skills’ and ‘character education’ (Weare and Nind 2011). Features of successful interventions have focused on mental health education and skills development while balancing universal (e.g., developing positive school mental health culture and embedding mental health teaching within curricula) and targeted approaches (Weare and Nind 2011).</w:t>
      </w:r>
    </w:p>
    <w:p w14:paraId="4B368330" w14:textId="77777777" w:rsidR="00812859" w:rsidRPr="000E50F1" w:rsidRDefault="00812859" w:rsidP="00812859">
      <w:pPr>
        <w:rPr>
          <w:rFonts w:ascii="Times" w:hAnsi="Times" w:cs="Arial"/>
          <w:bCs/>
        </w:rPr>
      </w:pPr>
    </w:p>
    <w:p w14:paraId="0553ADBF" w14:textId="4FE47BB3" w:rsidR="00812859" w:rsidRPr="000E50F1" w:rsidRDefault="00812859" w:rsidP="00812859">
      <w:pPr>
        <w:rPr>
          <w:rFonts w:ascii="Times" w:hAnsi="Times" w:cs="Arial"/>
          <w:bCs/>
        </w:rPr>
      </w:pPr>
      <w:r w:rsidRPr="000E50F1">
        <w:rPr>
          <w:rFonts w:ascii="Times" w:hAnsi="Times" w:cs="Arial"/>
          <w:bCs/>
        </w:rPr>
        <w:t xml:space="preserve">Although schools have helped </w:t>
      </w:r>
      <w:r w:rsidR="00F766F4" w:rsidRPr="000E50F1">
        <w:rPr>
          <w:rFonts w:ascii="Times" w:hAnsi="Times" w:cs="Arial"/>
          <w:bCs/>
        </w:rPr>
        <w:t>youth</w:t>
      </w:r>
      <w:r w:rsidRPr="000E50F1">
        <w:rPr>
          <w:rFonts w:ascii="Times" w:hAnsi="Times" w:cs="Arial"/>
          <w:bCs/>
        </w:rPr>
        <w:t xml:space="preserve"> to increase health literacy, identify risks, and become sites for mental health care delivery, it remains nuanced and unstable for immigrant and refugee youth given the challenge in translating interventions for this group of </w:t>
      </w:r>
      <w:r w:rsidR="00F766F4" w:rsidRPr="000E50F1">
        <w:rPr>
          <w:rFonts w:ascii="Times" w:hAnsi="Times" w:cs="Arial"/>
          <w:bCs/>
        </w:rPr>
        <w:t>youth</w:t>
      </w:r>
      <w:r w:rsidRPr="000E50F1">
        <w:rPr>
          <w:rFonts w:ascii="Times" w:hAnsi="Times" w:cs="Arial"/>
          <w:bCs/>
        </w:rPr>
        <w:t xml:space="preserve">. According to Khanlou (2010) mental health promotion models and approaches can be limited when they fail to consider multiple cultural, linguistic, and systemic barriers to maintaining and promoting mental health in a post-migration and resettlement context. The lack of policy direction specifically for immigrant youth can make it difficult for those in the field to apply them (Mental Health Commission of Canada 2016). Albeit few in number, limited research examining school-based interventions for immigrant and refugee </w:t>
      </w:r>
      <w:r w:rsidR="00F766F4" w:rsidRPr="000E50F1">
        <w:rPr>
          <w:rFonts w:ascii="Times" w:hAnsi="Times" w:cs="Arial"/>
          <w:bCs/>
        </w:rPr>
        <w:t>youth</w:t>
      </w:r>
      <w:r w:rsidRPr="000E50F1">
        <w:rPr>
          <w:rFonts w:ascii="Times" w:hAnsi="Times" w:cs="Arial"/>
          <w:bCs/>
        </w:rPr>
        <w:t xml:space="preserve"> ha</w:t>
      </w:r>
      <w:r w:rsidR="00FC250E" w:rsidRPr="000E50F1">
        <w:rPr>
          <w:rFonts w:ascii="Times" w:hAnsi="Times" w:cs="Arial"/>
          <w:bCs/>
        </w:rPr>
        <w:t>s</w:t>
      </w:r>
      <w:r w:rsidRPr="000E50F1">
        <w:rPr>
          <w:rFonts w:ascii="Times" w:hAnsi="Times" w:cs="Arial"/>
          <w:bCs/>
        </w:rPr>
        <w:t xml:space="preserve"> been noted in Canada</w:t>
      </w:r>
      <w:r w:rsidR="00FC250E" w:rsidRPr="000E50F1">
        <w:rPr>
          <w:rFonts w:ascii="Times" w:hAnsi="Times" w:cs="Arial"/>
          <w:bCs/>
        </w:rPr>
        <w:t xml:space="preserve"> with the research</w:t>
      </w:r>
      <w:r w:rsidRPr="000E50F1">
        <w:rPr>
          <w:rFonts w:ascii="Times" w:hAnsi="Times" w:cs="Arial"/>
          <w:bCs/>
        </w:rPr>
        <w:t xml:space="preserve"> revealing promising practice</w:t>
      </w:r>
      <w:r w:rsidR="00FC250E" w:rsidRPr="000E50F1">
        <w:rPr>
          <w:rFonts w:ascii="Times" w:hAnsi="Times" w:cs="Arial"/>
          <w:bCs/>
        </w:rPr>
        <w:t>s</w:t>
      </w:r>
      <w:r w:rsidRPr="000E50F1">
        <w:rPr>
          <w:rFonts w:ascii="Times" w:hAnsi="Times" w:cs="Arial"/>
          <w:bCs/>
        </w:rPr>
        <w:t xml:space="preserve"> to reduce emotional and behavioural symptoms, particularly within the first year of </w:t>
      </w:r>
      <w:r w:rsidRPr="000E50F1">
        <w:rPr>
          <w:rFonts w:ascii="Times" w:hAnsi="Times" w:cs="Arial"/>
          <w:bCs/>
        </w:rPr>
        <w:lastRenderedPageBreak/>
        <w:t xml:space="preserve">arrival in Canada (Guruge and Butt 2015). In a recent review, Reynolds and Bacon (2018) found that school-based programs looking to deliver interventions serving refugee </w:t>
      </w:r>
      <w:r w:rsidR="00F766F4" w:rsidRPr="000E50F1">
        <w:rPr>
          <w:rFonts w:ascii="Times" w:hAnsi="Times" w:cs="Arial"/>
          <w:bCs/>
        </w:rPr>
        <w:t>youth</w:t>
      </w:r>
      <w:r w:rsidRPr="000E50F1">
        <w:rPr>
          <w:rFonts w:ascii="Times" w:hAnsi="Times" w:cs="Arial"/>
          <w:bCs/>
        </w:rPr>
        <w:t xml:space="preserve"> are forced to choose between evidence-based programs designed for the mainstream </w:t>
      </w:r>
      <w:r w:rsidR="00F766F4" w:rsidRPr="000E50F1">
        <w:rPr>
          <w:rFonts w:ascii="Times" w:hAnsi="Times" w:cs="Arial"/>
          <w:bCs/>
        </w:rPr>
        <w:t>youth</w:t>
      </w:r>
      <w:r w:rsidRPr="000E50F1">
        <w:rPr>
          <w:rFonts w:ascii="Times" w:hAnsi="Times" w:cs="Arial"/>
          <w:bCs/>
        </w:rPr>
        <w:t xml:space="preserve"> and developing new programs from the cultural framework of their </w:t>
      </w:r>
      <w:r w:rsidR="00F766F4" w:rsidRPr="000E50F1">
        <w:rPr>
          <w:rFonts w:ascii="Times" w:hAnsi="Times" w:cs="Arial"/>
          <w:bCs/>
        </w:rPr>
        <w:t>youth</w:t>
      </w:r>
      <w:r w:rsidRPr="000E50F1">
        <w:rPr>
          <w:rFonts w:ascii="Times" w:hAnsi="Times" w:cs="Arial"/>
          <w:bCs/>
        </w:rPr>
        <w:t xml:space="preserve">. For example, one group of researchers using group cognitive-behavioral therapy (CBT) approach, found </w:t>
      </w:r>
      <w:r w:rsidR="00C8349B" w:rsidRPr="000E50F1">
        <w:rPr>
          <w:rFonts w:ascii="Times" w:hAnsi="Times" w:cs="Arial"/>
          <w:bCs/>
        </w:rPr>
        <w:t xml:space="preserve">a </w:t>
      </w:r>
      <w:r w:rsidRPr="000E50F1">
        <w:rPr>
          <w:rFonts w:ascii="Times" w:hAnsi="Times" w:cs="Arial"/>
          <w:bCs/>
        </w:rPr>
        <w:t>modest decline in trauma-related mental health problems amongst traumatized Latino immigrant students in the U.S. at 3-month follow-up (Kataoka et al. 2003). Similarly, Ehntholt et al. (2005) found clinically modest improvements following the intervention in overall behavioural difficulties and emotional symptoms in the U.K.</w:t>
      </w:r>
      <w:r w:rsidR="001E33BD" w:rsidRPr="000E50F1">
        <w:rPr>
          <w:rFonts w:ascii="Times" w:hAnsi="Times" w:cs="Arial"/>
          <w:bCs/>
        </w:rPr>
        <w:t xml:space="preserve">, </w:t>
      </w:r>
      <w:r w:rsidRPr="000E50F1">
        <w:rPr>
          <w:rFonts w:ascii="Times" w:hAnsi="Times" w:cs="Arial"/>
          <w:bCs/>
        </w:rPr>
        <w:t>but these gains were not maintained at 2-month follow-up. In the absence of a socio and cultural framework on barriers to care access that contextualizes various forms and expression of interpersonal or transactional stigma, it can be difficult for researcher</w:t>
      </w:r>
      <w:r w:rsidR="001E33BD" w:rsidRPr="000E50F1">
        <w:rPr>
          <w:rFonts w:ascii="Times" w:hAnsi="Times" w:cs="Arial"/>
          <w:bCs/>
        </w:rPr>
        <w:t>s</w:t>
      </w:r>
      <w:r w:rsidRPr="000E50F1">
        <w:rPr>
          <w:rFonts w:ascii="Times" w:hAnsi="Times" w:cs="Arial"/>
          <w:bCs/>
        </w:rPr>
        <w:t xml:space="preserve"> to improve program intervention or health outcomes.</w:t>
      </w:r>
    </w:p>
    <w:p w14:paraId="763D1BAD" w14:textId="77777777" w:rsidR="00812859" w:rsidRPr="000E50F1" w:rsidRDefault="00812859" w:rsidP="00812859">
      <w:pPr>
        <w:ind w:right="4"/>
        <w:rPr>
          <w:rFonts w:ascii="Times" w:hAnsi="Times" w:cs="Arial"/>
          <w:b/>
          <w:lang w:val="en-US"/>
        </w:rPr>
      </w:pPr>
    </w:p>
    <w:p w14:paraId="54B7CE29" w14:textId="7B8DED85" w:rsidR="00812859" w:rsidRPr="000E50F1" w:rsidRDefault="00EA74C0" w:rsidP="00812859">
      <w:pPr>
        <w:ind w:right="4"/>
        <w:rPr>
          <w:rFonts w:ascii="Times" w:hAnsi="Times" w:cs="Arial"/>
          <w:b/>
          <w:lang w:val="en-US"/>
        </w:rPr>
      </w:pPr>
      <w:r w:rsidRPr="000E50F1">
        <w:rPr>
          <w:rFonts w:ascii="Times" w:hAnsi="Times" w:cs="Arial"/>
          <w:b/>
          <w:lang w:val="en-US"/>
        </w:rPr>
        <w:t>Study Background</w:t>
      </w:r>
    </w:p>
    <w:p w14:paraId="2A6CD2DD" w14:textId="77777777" w:rsidR="00812859" w:rsidRPr="000E50F1" w:rsidRDefault="00812859" w:rsidP="00812859">
      <w:pPr>
        <w:rPr>
          <w:rFonts w:ascii="Times" w:hAnsi="Times" w:cs="Arial"/>
          <w:bCs/>
          <w:shd w:val="clear" w:color="auto" w:fill="FFFFFF"/>
        </w:rPr>
      </w:pPr>
      <w:r w:rsidRPr="000E50F1">
        <w:rPr>
          <w:rFonts w:ascii="Times" w:hAnsi="Times" w:cs="Arial"/>
        </w:rPr>
        <w:t xml:space="preserve">In this study, we examine schools as spaces of care and spaces of mental health access for immigrant and refugee students and their families. We explore these experiences at depth drawing from the narratives of nine </w:t>
      </w:r>
      <w:r w:rsidRPr="000E50F1">
        <w:rPr>
          <w:rFonts w:ascii="Times" w:hAnsi="Times" w:cs="Arial"/>
          <w:bCs/>
          <w:lang w:val="en-US"/>
        </w:rPr>
        <w:t xml:space="preserve">school-based </w:t>
      </w:r>
      <w:r w:rsidRPr="000E50F1">
        <w:rPr>
          <w:rFonts w:ascii="Times" w:hAnsi="Times" w:cs="Arial"/>
          <w:bCs/>
        </w:rPr>
        <w:t xml:space="preserve">settlement workers </w:t>
      </w:r>
      <w:r w:rsidRPr="000E50F1">
        <w:rPr>
          <w:rFonts w:ascii="Times" w:hAnsi="Times" w:cs="Arial"/>
        </w:rPr>
        <w:t xml:space="preserve">brokering these spaces and relationships. </w:t>
      </w:r>
    </w:p>
    <w:p w14:paraId="2BE22534" w14:textId="77777777" w:rsidR="00812859" w:rsidRPr="000E50F1" w:rsidRDefault="00812859" w:rsidP="00812859">
      <w:pPr>
        <w:ind w:right="4"/>
        <w:rPr>
          <w:rFonts w:ascii="Times" w:hAnsi="Times" w:cs="Arial"/>
          <w:b/>
          <w:lang w:val="en-US"/>
        </w:rPr>
      </w:pPr>
    </w:p>
    <w:p w14:paraId="1DBA0938" w14:textId="77777777" w:rsidR="00812859" w:rsidRPr="000E50F1" w:rsidRDefault="00812859" w:rsidP="00812859">
      <w:pPr>
        <w:ind w:right="4"/>
        <w:rPr>
          <w:rFonts w:ascii="Times" w:hAnsi="Times" w:cs="Arial"/>
          <w:bCs/>
          <w:i/>
          <w:iCs/>
        </w:rPr>
      </w:pPr>
      <w:r w:rsidRPr="000E50F1">
        <w:rPr>
          <w:rFonts w:ascii="Times" w:hAnsi="Times" w:cs="Arial"/>
          <w:b/>
          <w:i/>
          <w:iCs/>
          <w:lang w:val="en-US"/>
        </w:rPr>
        <w:t>The Community of Study</w:t>
      </w:r>
    </w:p>
    <w:p w14:paraId="05006E35" w14:textId="09358C08" w:rsidR="00812859" w:rsidRPr="000E50F1" w:rsidRDefault="00812859" w:rsidP="00812859">
      <w:pPr>
        <w:rPr>
          <w:rFonts w:ascii="Times" w:hAnsi="Times" w:cs="Arial"/>
          <w:bCs/>
          <w:shd w:val="clear" w:color="auto" w:fill="FFFFFF"/>
        </w:rPr>
      </w:pPr>
      <w:r w:rsidRPr="000E50F1">
        <w:rPr>
          <w:rFonts w:ascii="Times" w:hAnsi="Times" w:cs="Arial"/>
          <w:bCs/>
          <w:shd w:val="clear" w:color="auto" w:fill="FFFFFF"/>
        </w:rPr>
        <w:t xml:space="preserve">Located in </w:t>
      </w:r>
      <w:r w:rsidR="00BA3824" w:rsidRPr="000E50F1">
        <w:rPr>
          <w:rFonts w:ascii="Times" w:hAnsi="Times" w:cs="Arial"/>
          <w:bCs/>
          <w:shd w:val="clear" w:color="auto" w:fill="FFFFFF"/>
        </w:rPr>
        <w:t xml:space="preserve">Hamilton, </w:t>
      </w:r>
      <w:r w:rsidRPr="000E50F1">
        <w:rPr>
          <w:rFonts w:ascii="Times" w:hAnsi="Times" w:cs="Arial"/>
          <w:bCs/>
          <w:shd w:val="clear" w:color="auto" w:fill="FFFFFF"/>
        </w:rPr>
        <w:t xml:space="preserve">Ontario, Canada this mid-size Canadian city </w:t>
      </w:r>
      <w:r w:rsidR="00BA3824" w:rsidRPr="000E50F1">
        <w:rPr>
          <w:rFonts w:ascii="Times" w:hAnsi="Times" w:cs="Arial"/>
          <w:bCs/>
          <w:shd w:val="clear" w:color="auto" w:fill="FFFFFF"/>
        </w:rPr>
        <w:t>is</w:t>
      </w:r>
      <w:r w:rsidRPr="000E50F1">
        <w:rPr>
          <w:rFonts w:ascii="Times" w:hAnsi="Times" w:cs="Arial"/>
          <w:bCs/>
          <w:shd w:val="clear" w:color="auto" w:fill="FFFFFF"/>
        </w:rPr>
        <w:t xml:space="preserve"> home to over 500,000 persons (Statistics Canada 2016). Between 2,000 to 4,000 immigrants arrive each year from all immigration classes—e.g. economic, family, and refugee—and between  200 to 400 are settling annually as government-assisted refugees. In </w:t>
      </w:r>
      <w:r w:rsidR="00BA3824" w:rsidRPr="000E50F1">
        <w:rPr>
          <w:rFonts w:ascii="Times" w:hAnsi="Times" w:cs="Arial"/>
          <w:bCs/>
          <w:shd w:val="clear" w:color="auto" w:fill="FFFFFF"/>
        </w:rPr>
        <w:t>Hamilton</w:t>
      </w:r>
      <w:r w:rsidRPr="000E50F1">
        <w:rPr>
          <w:rFonts w:ascii="Times" w:hAnsi="Times" w:cs="Arial"/>
          <w:bCs/>
          <w:shd w:val="clear" w:color="auto" w:fill="FFFFFF"/>
        </w:rPr>
        <w:t xml:space="preserve">, refugee and family class remain proportionately higher compared to the class proportions coming to Canada as a whole. </w:t>
      </w:r>
    </w:p>
    <w:p w14:paraId="7C9097F4" w14:textId="77777777" w:rsidR="00812859" w:rsidRPr="000E50F1" w:rsidRDefault="00812859" w:rsidP="00812859">
      <w:pPr>
        <w:rPr>
          <w:rFonts w:ascii="Times" w:hAnsi="Times" w:cs="Arial"/>
          <w:bCs/>
          <w:shd w:val="clear" w:color="auto" w:fill="FFFFFF"/>
        </w:rPr>
      </w:pPr>
    </w:p>
    <w:p w14:paraId="52226E64" w14:textId="77777777" w:rsidR="00812859" w:rsidRPr="000E50F1" w:rsidRDefault="00812859" w:rsidP="00812859">
      <w:pPr>
        <w:rPr>
          <w:rFonts w:ascii="Times" w:hAnsi="Times" w:cs="Arial"/>
          <w:b/>
          <w:i/>
          <w:iCs/>
          <w:shd w:val="clear" w:color="auto" w:fill="FFFFFF"/>
        </w:rPr>
      </w:pPr>
      <w:r w:rsidRPr="000E50F1">
        <w:rPr>
          <w:rFonts w:ascii="Times" w:hAnsi="Times" w:cs="Arial"/>
          <w:b/>
          <w:i/>
          <w:iCs/>
          <w:shd w:val="clear" w:color="auto" w:fill="FFFFFF"/>
        </w:rPr>
        <w:t>The Settlement Workers in Schools Program</w:t>
      </w:r>
    </w:p>
    <w:p w14:paraId="0DF1CAD2" w14:textId="467BB2B3" w:rsidR="00812859" w:rsidRPr="000E50F1" w:rsidRDefault="00812859" w:rsidP="00812859">
      <w:pPr>
        <w:rPr>
          <w:rFonts w:ascii="Times" w:hAnsi="Times" w:cs="Arial"/>
          <w:bCs/>
          <w:shd w:val="clear" w:color="auto" w:fill="FFFFFF"/>
        </w:rPr>
      </w:pPr>
      <w:r w:rsidRPr="000E50F1">
        <w:rPr>
          <w:rFonts w:ascii="Times" w:hAnsi="Times" w:cs="Arial"/>
          <w:bCs/>
          <w:shd w:val="clear" w:color="auto" w:fill="FFFFFF"/>
        </w:rPr>
        <w:t xml:space="preserve">In Canada, the Settlement Workers in Schools (SWIS) </w:t>
      </w:r>
      <w:r w:rsidR="003C65B0" w:rsidRPr="000E50F1">
        <w:rPr>
          <w:rFonts w:ascii="Times" w:hAnsi="Times" w:cs="Arial"/>
          <w:bCs/>
          <w:shd w:val="clear" w:color="auto" w:fill="FFFFFF"/>
        </w:rPr>
        <w:t>p</w:t>
      </w:r>
      <w:r w:rsidRPr="000E50F1">
        <w:rPr>
          <w:rFonts w:ascii="Times" w:hAnsi="Times" w:cs="Arial"/>
          <w:bCs/>
          <w:shd w:val="clear" w:color="auto" w:fill="FFFFFF"/>
        </w:rPr>
        <w:t xml:space="preserve">rogram is a school-based settlement service for youth and families who have recently immigrated to Canada. The SWIS program is located across all 10 provinces in Canada, and settlement workers from this program are referred to as “SWIS workers”. The role of a SWIS worker is to help facilitate the integration of newly arrived immigrant and refugee youth into the local education system and boarder the community. SWIS workers help to connect students to services by providing referrals, filling out forms for services, and linking students and families to community resources. SWIS workers often provide support in multiple languages. </w:t>
      </w:r>
    </w:p>
    <w:p w14:paraId="0FFEA1A0" w14:textId="77777777" w:rsidR="00812859" w:rsidRPr="000E50F1" w:rsidRDefault="00812859" w:rsidP="00812859">
      <w:pPr>
        <w:ind w:right="4"/>
        <w:rPr>
          <w:rFonts w:ascii="Times" w:hAnsi="Times" w:cs="Arial"/>
          <w:b/>
          <w:shd w:val="clear" w:color="auto" w:fill="FFFFFF"/>
        </w:rPr>
      </w:pPr>
    </w:p>
    <w:p w14:paraId="368B279B" w14:textId="15B75969" w:rsidR="00812859" w:rsidRPr="000E50F1" w:rsidRDefault="00812859" w:rsidP="00812859">
      <w:pPr>
        <w:rPr>
          <w:rFonts w:ascii="Times" w:hAnsi="Times" w:cs="Arial"/>
        </w:rPr>
      </w:pPr>
      <w:r w:rsidRPr="000E50F1">
        <w:rPr>
          <w:rFonts w:ascii="Times" w:hAnsi="Times" w:cs="Arial"/>
          <w:bCs/>
          <w:shd w:val="clear" w:color="auto" w:fill="FFFFFF"/>
        </w:rPr>
        <w:t xml:space="preserve">At the time of data collection, SWIS workers </w:t>
      </w:r>
      <w:r w:rsidR="00BA3824" w:rsidRPr="000E50F1">
        <w:rPr>
          <w:rFonts w:ascii="Times" w:hAnsi="Times" w:cs="Arial"/>
          <w:bCs/>
          <w:shd w:val="clear" w:color="auto" w:fill="FFFFFF"/>
        </w:rPr>
        <w:t xml:space="preserve">in Hamilton </w:t>
      </w:r>
      <w:r w:rsidRPr="000E50F1">
        <w:rPr>
          <w:rFonts w:ascii="Times" w:hAnsi="Times" w:cs="Arial"/>
          <w:bCs/>
          <w:shd w:val="clear" w:color="auto" w:fill="FFFFFF"/>
        </w:rPr>
        <w:t xml:space="preserve">reported an increase in mental health needs amongst their students citing an increase in emotional and behavioural problems, depression, suicide attempts, and episodes of panic attacks occurring at schools. As a result, </w:t>
      </w:r>
      <w:r w:rsidRPr="000E50F1">
        <w:rPr>
          <w:rFonts w:ascii="Times" w:hAnsi="Times" w:cs="Arial"/>
          <w:bCs/>
        </w:rPr>
        <w:t xml:space="preserve">SWIS workers began to refer students to </w:t>
      </w:r>
      <w:r w:rsidRPr="000E50F1">
        <w:rPr>
          <w:rFonts w:ascii="Times" w:hAnsi="Times" w:cs="Arial"/>
        </w:rPr>
        <w:lastRenderedPageBreak/>
        <w:t>counselling services in the community</w:t>
      </w:r>
      <w:r w:rsidRPr="000E50F1">
        <w:rPr>
          <w:rFonts w:ascii="Times" w:hAnsi="Times" w:cs="Arial"/>
          <w:bCs/>
        </w:rPr>
        <w:t xml:space="preserve"> but concerns around service access began to emerge. </w:t>
      </w:r>
      <w:r w:rsidRPr="000E50F1">
        <w:rPr>
          <w:rFonts w:ascii="Times" w:hAnsi="Times" w:cs="Arial"/>
        </w:rPr>
        <w:t xml:space="preserve">SWIS workers reached out to a local </w:t>
      </w:r>
      <w:r w:rsidRPr="000E50F1">
        <w:rPr>
          <w:rFonts w:ascii="Times" w:hAnsi="Times" w:cs="Arial"/>
          <w:bCs/>
          <w:shd w:val="clear" w:color="auto" w:fill="FFFFFF"/>
        </w:rPr>
        <w:t xml:space="preserve">child and youth trauma service provider </w:t>
      </w:r>
      <w:r w:rsidRPr="000E50F1">
        <w:rPr>
          <w:rFonts w:ascii="Times" w:hAnsi="Times" w:cs="Arial"/>
        </w:rPr>
        <w:t xml:space="preserve">(referred to in this study as </w:t>
      </w:r>
      <w:r w:rsidR="00C122B5" w:rsidRPr="000E50F1">
        <w:rPr>
          <w:rFonts w:ascii="Times" w:hAnsi="Times" w:cs="Arial"/>
        </w:rPr>
        <w:t>OASIS</w:t>
      </w:r>
      <w:r w:rsidRPr="000E50F1">
        <w:rPr>
          <w:rFonts w:ascii="Times" w:hAnsi="Times" w:cs="Arial"/>
        </w:rPr>
        <w:t xml:space="preserve">. See description below) to bring mental health </w:t>
      </w:r>
      <w:r w:rsidRPr="000E50F1">
        <w:rPr>
          <w:rFonts w:ascii="Times" w:hAnsi="Times" w:cs="Arial"/>
          <w:bCs/>
          <w:shd w:val="clear" w:color="auto" w:fill="FFFFFF"/>
        </w:rPr>
        <w:t>counseling services into</w:t>
      </w:r>
      <w:r w:rsidRPr="000E50F1">
        <w:rPr>
          <w:rFonts w:ascii="Times" w:hAnsi="Times" w:cs="Arial"/>
        </w:rPr>
        <w:t xml:space="preserve"> schools. </w:t>
      </w:r>
    </w:p>
    <w:p w14:paraId="137B2CCB" w14:textId="77777777" w:rsidR="00812859" w:rsidRPr="000E50F1" w:rsidRDefault="00812859" w:rsidP="00812859">
      <w:pPr>
        <w:ind w:right="4"/>
        <w:rPr>
          <w:rFonts w:ascii="Times" w:hAnsi="Times" w:cs="Arial"/>
          <w:b/>
          <w:shd w:val="clear" w:color="auto" w:fill="FFFFFF"/>
        </w:rPr>
      </w:pPr>
    </w:p>
    <w:p w14:paraId="77722629" w14:textId="147C616F" w:rsidR="00812859" w:rsidRPr="000E50F1" w:rsidRDefault="00BA3824" w:rsidP="00812859">
      <w:pPr>
        <w:ind w:right="4"/>
        <w:rPr>
          <w:rFonts w:ascii="Times" w:hAnsi="Times" w:cs="Arial"/>
          <w:b/>
          <w:i/>
          <w:iCs/>
          <w:lang w:val="en-US"/>
        </w:rPr>
      </w:pPr>
      <w:r w:rsidRPr="000E50F1">
        <w:rPr>
          <w:rFonts w:ascii="Times" w:hAnsi="Times" w:cs="Arial"/>
          <w:b/>
          <w:i/>
          <w:iCs/>
          <w:shd w:val="clear" w:color="auto" w:fill="FFFFFF"/>
        </w:rPr>
        <w:t>Child and Youth Trauma Service</w:t>
      </w:r>
    </w:p>
    <w:p w14:paraId="06E970EF" w14:textId="11DC31D5" w:rsidR="00DB0E27" w:rsidRPr="000E50F1" w:rsidRDefault="00DB0E27" w:rsidP="00DB0E27">
      <w:pPr>
        <w:rPr>
          <w:shd w:val="clear" w:color="auto" w:fill="FFFFFF"/>
        </w:rPr>
      </w:pPr>
      <w:r w:rsidRPr="000E50F1">
        <w:rPr>
          <w:shd w:val="clear" w:color="auto" w:fill="FFFFFF"/>
        </w:rPr>
        <w:t>The Outreach, Assessment, and Specialized Intervention Services (known as ‘OASIS’ for short) is a specialized program for immigrant and refugee children, youth, and their families who have experienced trauma in another country, while on their journey to Canada, or while in Canada. OASIS</w:t>
      </w:r>
      <w:r w:rsidR="00812859" w:rsidRPr="000E50F1">
        <w:rPr>
          <w:shd w:val="clear" w:color="auto" w:fill="FFFFFF"/>
        </w:rPr>
        <w:t xml:space="preserve"> was designed specifically to meet the unique needs of children and youth who have experienced trauma, abuse, and/or</w:t>
      </w:r>
      <w:r w:rsidR="00894DF7" w:rsidRPr="000E50F1">
        <w:rPr>
          <w:shd w:val="clear" w:color="auto" w:fill="FFFFFF"/>
        </w:rPr>
        <w:t xml:space="preserve"> have been</w:t>
      </w:r>
      <w:r w:rsidR="00812859" w:rsidRPr="000E50F1">
        <w:rPr>
          <w:shd w:val="clear" w:color="auto" w:fill="FFFFFF"/>
        </w:rPr>
        <w:t xml:space="preserve"> impacted by resettlement and acculturation-related stressors. Screening, assessment, and counseling supports are provided by a registered psychotherapist at no cost to clients. The psychotherapist works with the child/youth</w:t>
      </w:r>
      <w:r w:rsidR="00894DF7" w:rsidRPr="000E50F1">
        <w:rPr>
          <w:shd w:val="clear" w:color="auto" w:fill="FFFFFF"/>
        </w:rPr>
        <w:t>,</w:t>
      </w:r>
      <w:r w:rsidR="00812859" w:rsidRPr="000E50F1">
        <w:rPr>
          <w:shd w:val="clear" w:color="auto" w:fill="FFFFFF"/>
        </w:rPr>
        <w:t xml:space="preserve"> and their families, and other professionals, to identify specific recommendations for treatment with possible intervention strategies while operating from a culturally sensitive and competent lens. Psychoeducational sessions for parents are provided and parental involvement and support are critical to the success of program and child/youth outcome. Trained interpreters are available when needed</w:t>
      </w:r>
      <w:r w:rsidRPr="000E50F1">
        <w:rPr>
          <w:shd w:val="clear" w:color="auto" w:fill="FFFFFF"/>
        </w:rPr>
        <w:t xml:space="preserve"> (Thrive Child and Youth Trauma Service 2016). </w:t>
      </w:r>
    </w:p>
    <w:p w14:paraId="4E2D0964" w14:textId="2445205B" w:rsidR="00812859" w:rsidRPr="000E50F1" w:rsidRDefault="00DB0E27" w:rsidP="00DB0E27">
      <w:r w:rsidRPr="000E50F1">
        <w:rPr>
          <w:shd w:val="clear" w:color="auto" w:fill="FFFFFF"/>
        </w:rPr>
        <w:t xml:space="preserve"> </w:t>
      </w:r>
    </w:p>
    <w:p w14:paraId="30CE2AFA" w14:textId="5851B952" w:rsidR="00812859" w:rsidRPr="000E50F1" w:rsidRDefault="00EA74C0" w:rsidP="00812859">
      <w:pPr>
        <w:rPr>
          <w:rFonts w:ascii="Times" w:hAnsi="Times" w:cs="Arial"/>
          <w:b/>
          <w:lang w:val="en-US"/>
        </w:rPr>
      </w:pPr>
      <w:r w:rsidRPr="000E50F1">
        <w:rPr>
          <w:rFonts w:ascii="Times" w:hAnsi="Times" w:cs="Arial"/>
          <w:b/>
          <w:lang w:val="en-US"/>
        </w:rPr>
        <w:t>Methods</w:t>
      </w:r>
    </w:p>
    <w:p w14:paraId="70539701" w14:textId="77777777" w:rsidR="00812859" w:rsidRPr="000E50F1" w:rsidRDefault="00812859" w:rsidP="00812859">
      <w:pPr>
        <w:ind w:right="4"/>
        <w:rPr>
          <w:rFonts w:ascii="Times" w:hAnsi="Times" w:cs="Arial"/>
          <w:bCs/>
          <w:lang w:val="en-US"/>
        </w:rPr>
      </w:pPr>
    </w:p>
    <w:p w14:paraId="51D4E791" w14:textId="77777777" w:rsidR="00812859" w:rsidRPr="000E50F1" w:rsidRDefault="00812859" w:rsidP="00812859">
      <w:pPr>
        <w:rPr>
          <w:rFonts w:ascii="Times" w:hAnsi="Times" w:cs="Arial"/>
          <w:b/>
          <w:i/>
          <w:iCs/>
          <w:shd w:val="clear" w:color="auto" w:fill="FFFFFF"/>
        </w:rPr>
      </w:pPr>
      <w:r w:rsidRPr="000E50F1">
        <w:rPr>
          <w:rFonts w:ascii="Times" w:hAnsi="Times" w:cs="Arial"/>
          <w:b/>
          <w:i/>
          <w:iCs/>
          <w:shd w:val="clear" w:color="auto" w:fill="FFFFFF"/>
        </w:rPr>
        <w:t>Data Collection, Recruitment and Sample</w:t>
      </w:r>
    </w:p>
    <w:p w14:paraId="2D16CB8C" w14:textId="2123A6AC" w:rsidR="00C91522" w:rsidRPr="000E50F1" w:rsidRDefault="00812859" w:rsidP="00C91522">
      <w:pPr>
        <w:ind w:right="4"/>
        <w:rPr>
          <w:rFonts w:ascii="Times" w:hAnsi="Times" w:cs="Arial"/>
          <w:bCs/>
          <w:shd w:val="clear" w:color="auto" w:fill="FFFFFF"/>
        </w:rPr>
      </w:pPr>
      <w:r w:rsidRPr="000E50F1">
        <w:rPr>
          <w:rFonts w:ascii="Times" w:hAnsi="Times" w:cs="Arial"/>
          <w:bCs/>
          <w:shd w:val="clear" w:color="auto" w:fill="FFFFFF"/>
        </w:rPr>
        <w:t>Upon clearance from the author’s institution ethics board, permission to access the school district’s SWIS workers was granted by the settlement organization overseeing the SWIS program in the region. The contact information of all nine SWIS workers employed in 2014/2015 was obtained and recruitment emails were distributed. In total, eight female and one male SWIS worker participated. A semi-structured, in-depth interview guide was used to explore themes of mental health education in schools, cultural perception of mental health, mental health disorder, stigma, safe spaces, health needs, and student access to services. Data collection spanned between 2014 and 2015. The interviews were audio-recorded and transcribed verbatim. One interview was conducted without audio recording</w:t>
      </w:r>
      <w:r w:rsidR="00C91522" w:rsidRPr="000E50F1">
        <w:rPr>
          <w:rFonts w:ascii="Times" w:hAnsi="Times" w:cs="Arial"/>
          <w:bCs/>
          <w:shd w:val="clear" w:color="auto" w:fill="FFFFFF"/>
        </w:rPr>
        <w:t xml:space="preserve"> at the request of the individual being interviewed.</w:t>
      </w:r>
    </w:p>
    <w:p w14:paraId="5EF84CA9" w14:textId="77777777" w:rsidR="00812859" w:rsidRPr="000E50F1" w:rsidRDefault="00812859" w:rsidP="00812859">
      <w:pPr>
        <w:ind w:right="4"/>
        <w:rPr>
          <w:rFonts w:ascii="Times" w:hAnsi="Times" w:cs="Arial"/>
          <w:bCs/>
          <w:shd w:val="clear" w:color="auto" w:fill="FFFFFF"/>
        </w:rPr>
      </w:pPr>
    </w:p>
    <w:p w14:paraId="76A1D538" w14:textId="42A5B352" w:rsidR="00812859" w:rsidRPr="000E50F1" w:rsidRDefault="00812859" w:rsidP="00812859">
      <w:pPr>
        <w:ind w:right="4"/>
        <w:rPr>
          <w:rFonts w:ascii="Times" w:hAnsi="Times" w:cs="Arial"/>
          <w:bCs/>
          <w:shd w:val="clear" w:color="auto" w:fill="FFFFFF"/>
        </w:rPr>
      </w:pPr>
      <w:r w:rsidRPr="000E50F1">
        <w:rPr>
          <w:rFonts w:ascii="Times" w:hAnsi="Times" w:cs="Arial"/>
          <w:bCs/>
          <w:shd w:val="clear" w:color="auto" w:fill="FFFFFF"/>
        </w:rPr>
        <w:t>At the time of the data collection, SWIS workers were integrated across the public and Catholic board</w:t>
      </w:r>
      <w:r w:rsidR="00C91522" w:rsidRPr="000E50F1">
        <w:rPr>
          <w:rFonts w:ascii="Times" w:hAnsi="Times" w:cs="Arial"/>
          <w:bCs/>
          <w:shd w:val="clear" w:color="auto" w:fill="FFFFFF"/>
        </w:rPr>
        <w:t xml:space="preserve">s </w:t>
      </w:r>
      <w:r w:rsidR="00DC5453" w:rsidRPr="000E50F1">
        <w:rPr>
          <w:rFonts w:ascii="Times" w:hAnsi="Times" w:cs="Arial"/>
          <w:bCs/>
          <w:shd w:val="clear" w:color="auto" w:fill="FFFFFF"/>
        </w:rPr>
        <w:t xml:space="preserve">to support </w:t>
      </w:r>
      <w:r w:rsidR="00433B21" w:rsidRPr="000E50F1">
        <w:rPr>
          <w:rFonts w:ascii="Times" w:hAnsi="Times" w:cs="Arial"/>
          <w:bCs/>
          <w:shd w:val="clear" w:color="auto" w:fill="FFFFFF"/>
        </w:rPr>
        <w:t xml:space="preserve">newcomer </w:t>
      </w:r>
      <w:r w:rsidR="00DC5453" w:rsidRPr="000E50F1">
        <w:rPr>
          <w:rFonts w:ascii="Times" w:hAnsi="Times" w:cs="Arial"/>
          <w:bCs/>
          <w:shd w:val="clear" w:color="auto" w:fill="FFFFFF"/>
        </w:rPr>
        <w:t xml:space="preserve">youth and families </w:t>
      </w:r>
      <w:r w:rsidR="00090320" w:rsidRPr="000E50F1">
        <w:rPr>
          <w:rFonts w:ascii="Times" w:hAnsi="Times" w:cs="Arial"/>
          <w:bCs/>
          <w:shd w:val="clear" w:color="auto" w:fill="FFFFFF"/>
        </w:rPr>
        <w:t>via the public education system</w:t>
      </w:r>
      <w:r w:rsidRPr="000E50F1">
        <w:rPr>
          <w:rFonts w:ascii="Times" w:hAnsi="Times" w:cs="Arial"/>
          <w:bCs/>
          <w:shd w:val="clear" w:color="auto" w:fill="FFFFFF"/>
        </w:rPr>
        <w:t xml:space="preserve">. In total, SWIS workers operated in </w:t>
      </w:r>
      <w:r w:rsidR="00161935" w:rsidRPr="000E50F1">
        <w:rPr>
          <w:rFonts w:ascii="Times" w:hAnsi="Times" w:cs="Arial"/>
          <w:bCs/>
          <w:shd w:val="clear" w:color="auto" w:fill="FFFFFF"/>
        </w:rPr>
        <w:t>11</w:t>
      </w:r>
      <w:r w:rsidRPr="000E50F1">
        <w:rPr>
          <w:rFonts w:ascii="Times" w:hAnsi="Times" w:cs="Arial"/>
          <w:bCs/>
          <w:shd w:val="clear" w:color="auto" w:fill="FFFFFF"/>
        </w:rPr>
        <w:t xml:space="preserve"> </w:t>
      </w:r>
      <w:r w:rsidR="00161935" w:rsidRPr="000E50F1">
        <w:rPr>
          <w:rFonts w:ascii="Times" w:hAnsi="Times" w:cs="Arial"/>
          <w:bCs/>
          <w:shd w:val="clear" w:color="auto" w:fill="FFFFFF"/>
        </w:rPr>
        <w:t>elementary</w:t>
      </w:r>
      <w:r w:rsidRPr="000E50F1">
        <w:rPr>
          <w:rFonts w:ascii="Times" w:hAnsi="Times" w:cs="Arial"/>
          <w:bCs/>
          <w:shd w:val="clear" w:color="auto" w:fill="FFFFFF"/>
        </w:rPr>
        <w:t xml:space="preserve"> </w:t>
      </w:r>
      <w:r w:rsidR="003B724D" w:rsidRPr="000E50F1">
        <w:rPr>
          <w:rFonts w:ascii="Times" w:hAnsi="Times" w:cs="Arial"/>
          <w:bCs/>
          <w:shd w:val="clear" w:color="auto" w:fill="FFFFFF"/>
        </w:rPr>
        <w:t>(i.e. junior kindergarten to grade</w:t>
      </w:r>
      <w:r w:rsidR="00161935" w:rsidRPr="000E50F1">
        <w:rPr>
          <w:rFonts w:ascii="Times" w:hAnsi="Times" w:cs="Arial"/>
          <w:bCs/>
          <w:shd w:val="clear" w:color="auto" w:fill="FFFFFF"/>
        </w:rPr>
        <w:t xml:space="preserve"> 8)</w:t>
      </w:r>
      <w:r w:rsidR="003B724D" w:rsidRPr="000E50F1">
        <w:rPr>
          <w:rFonts w:ascii="Times" w:hAnsi="Times" w:cs="Arial"/>
          <w:bCs/>
          <w:shd w:val="clear" w:color="auto" w:fill="FFFFFF"/>
        </w:rPr>
        <w:t xml:space="preserve"> </w:t>
      </w:r>
      <w:r w:rsidRPr="000E50F1">
        <w:rPr>
          <w:rFonts w:ascii="Times" w:hAnsi="Times" w:cs="Arial"/>
          <w:bCs/>
          <w:shd w:val="clear" w:color="auto" w:fill="FFFFFF"/>
        </w:rPr>
        <w:t xml:space="preserve">and nine </w:t>
      </w:r>
      <w:r w:rsidR="00161935" w:rsidRPr="000E50F1">
        <w:rPr>
          <w:rFonts w:ascii="Times" w:hAnsi="Times" w:cs="Arial"/>
          <w:bCs/>
          <w:shd w:val="clear" w:color="auto" w:fill="FFFFFF"/>
        </w:rPr>
        <w:t>secondary</w:t>
      </w:r>
      <w:r w:rsidRPr="000E50F1">
        <w:rPr>
          <w:rFonts w:ascii="Times" w:hAnsi="Times" w:cs="Arial"/>
          <w:bCs/>
          <w:shd w:val="clear" w:color="auto" w:fill="FFFFFF"/>
        </w:rPr>
        <w:t xml:space="preserve"> schools across the district. In the </w:t>
      </w:r>
      <w:r w:rsidR="00161935" w:rsidRPr="000E50F1">
        <w:rPr>
          <w:rFonts w:ascii="Times" w:hAnsi="Times" w:cs="Arial"/>
          <w:bCs/>
          <w:shd w:val="clear" w:color="auto" w:fill="FFFFFF"/>
        </w:rPr>
        <w:t>secondary</w:t>
      </w:r>
      <w:r w:rsidRPr="000E50F1">
        <w:rPr>
          <w:rFonts w:ascii="Times" w:hAnsi="Times" w:cs="Arial"/>
          <w:bCs/>
          <w:shd w:val="clear" w:color="auto" w:fill="FFFFFF"/>
        </w:rPr>
        <w:t xml:space="preserve"> schools, SWIS workers worked closely with </w:t>
      </w:r>
      <w:r w:rsidR="00F766F4" w:rsidRPr="000E50F1">
        <w:rPr>
          <w:rFonts w:ascii="Times" w:hAnsi="Times" w:cs="Arial"/>
          <w:bCs/>
          <w:shd w:val="clear" w:color="auto" w:fill="FFFFFF"/>
        </w:rPr>
        <w:t>youth</w:t>
      </w:r>
      <w:r w:rsidRPr="000E50F1">
        <w:rPr>
          <w:rFonts w:ascii="Times" w:hAnsi="Times" w:cs="Arial"/>
          <w:bCs/>
          <w:shd w:val="clear" w:color="auto" w:fill="FFFFFF"/>
        </w:rPr>
        <w:t xml:space="preserve"> but exclusively with parents/guardians in the primary setting. SWIS workers worked in teams in each school but each case load consisted of approximately 100 students and/or families. In addition to English, thirteen languages were spoken between the nine </w:t>
      </w:r>
      <w:r w:rsidRPr="000E50F1">
        <w:rPr>
          <w:rFonts w:ascii="Times" w:hAnsi="Times" w:cs="Arial"/>
          <w:bCs/>
          <w:shd w:val="clear" w:color="auto" w:fill="FFFFFF"/>
        </w:rPr>
        <w:lastRenderedPageBreak/>
        <w:t xml:space="preserve">settlement </w:t>
      </w:r>
      <w:r w:rsidR="00FF51A9" w:rsidRPr="000E50F1">
        <w:rPr>
          <w:rFonts w:ascii="Times" w:hAnsi="Times" w:cs="Arial"/>
          <w:bCs/>
          <w:shd w:val="clear" w:color="auto" w:fill="FFFFFF"/>
        </w:rPr>
        <w:t>workers:</w:t>
      </w:r>
      <w:r w:rsidRPr="000E50F1">
        <w:rPr>
          <w:rFonts w:ascii="Times" w:hAnsi="Times" w:cs="Arial"/>
          <w:bCs/>
          <w:shd w:val="clear" w:color="auto" w:fill="FFFFFF"/>
        </w:rPr>
        <w:t xml:space="preserve"> with four workers speaking two languages, three speaking three, one speaking four, and one speaking five languages. Language spoken amongst SWIS workers included Arabic, Cantonese, Tagalog, Hindi, Korean, Portuguese, and Punjabi, reflecting the need and diversity of the major immigrating groups to this region. SWIS workers ranged in age and all identified as first-generation immigrants. Many SWIS workers stated that had been employed in the settlement sector for more than four years. </w:t>
      </w:r>
    </w:p>
    <w:p w14:paraId="397DBFC7" w14:textId="77777777" w:rsidR="00812859" w:rsidRPr="000E50F1" w:rsidRDefault="00812859" w:rsidP="00812859">
      <w:pPr>
        <w:rPr>
          <w:rFonts w:ascii="Times" w:hAnsi="Times" w:cs="Arial"/>
          <w:bCs/>
          <w:shd w:val="clear" w:color="auto" w:fill="FFFFFF"/>
        </w:rPr>
      </w:pPr>
    </w:p>
    <w:p w14:paraId="283307A4" w14:textId="77777777" w:rsidR="00812859" w:rsidRPr="000E50F1" w:rsidRDefault="00812859" w:rsidP="00812859">
      <w:pPr>
        <w:rPr>
          <w:rFonts w:ascii="Times" w:hAnsi="Times" w:cs="Arial"/>
          <w:b/>
          <w:i/>
          <w:iCs/>
          <w:shd w:val="clear" w:color="auto" w:fill="FFFFFF"/>
        </w:rPr>
      </w:pPr>
      <w:r w:rsidRPr="000E50F1">
        <w:rPr>
          <w:rFonts w:ascii="Times" w:hAnsi="Times" w:cs="Arial"/>
          <w:b/>
          <w:i/>
          <w:iCs/>
          <w:shd w:val="clear" w:color="auto" w:fill="FFFFFF"/>
        </w:rPr>
        <w:t xml:space="preserve">Data Analysis </w:t>
      </w:r>
    </w:p>
    <w:p w14:paraId="187BF31D" w14:textId="1BE81F0C" w:rsidR="000B3DC1" w:rsidRPr="000E50F1" w:rsidRDefault="00C61A27" w:rsidP="00812859">
      <w:pPr>
        <w:ind w:right="4"/>
        <w:rPr>
          <w:rFonts w:ascii="Times" w:hAnsi="Times" w:cs="Arial"/>
          <w:b/>
        </w:rPr>
      </w:pPr>
      <w:r w:rsidRPr="000E50F1">
        <w:t xml:space="preserve">Data analysis occurred concurrently with data collection and informed subsequent interviews. </w:t>
      </w:r>
      <w:r w:rsidR="00812859" w:rsidRPr="000E50F1">
        <w:rPr>
          <w:rFonts w:ascii="Times" w:hAnsi="Times" w:cs="Arial"/>
        </w:rPr>
        <w:t xml:space="preserve">Qualitative techniques were employed using a constructivist grounded theory approach (Charmaz 2006) to develop a conceptual analysis of barriers and facilitators to care. This allowed </w:t>
      </w:r>
      <w:r w:rsidR="00812859" w:rsidRPr="000E50F1">
        <w:rPr>
          <w:rFonts w:ascii="Times" w:hAnsi="Times" w:cs="Arial"/>
          <w:bCs/>
          <w:lang w:val="en-US"/>
        </w:rPr>
        <w:t>analytical codes and categories t</w:t>
      </w:r>
      <w:r w:rsidR="00812859" w:rsidRPr="000E50F1">
        <w:rPr>
          <w:rFonts w:ascii="Times" w:hAnsi="Times" w:cs="Arial"/>
        </w:rPr>
        <w:t xml:space="preserve">o inductively emerge from knowledge grounded in the SWIS workers’ experience of bridging and mediating between students and various school staff, administrators, and professionals. Each transcript was examined </w:t>
      </w:r>
      <w:r w:rsidR="00812859" w:rsidRPr="000E50F1">
        <w:rPr>
          <w:rFonts w:ascii="Times" w:hAnsi="Times" w:cs="Arial"/>
          <w:bCs/>
          <w:lang w:val="en-US"/>
        </w:rPr>
        <w:t xml:space="preserve">using initial, axial, and theoretical coding as prescribed by the methodological literature. Line-by-line coding was completed with the aid of Dedoose, a qualitative software to help organize data. Written and integrated memos allowed categories to be developed and frame theoretical ideas. </w:t>
      </w:r>
      <w:r w:rsidRPr="000E50F1">
        <w:t xml:space="preserve">Initial codes were compared between the researchers with themes identified and discussed through an inter-rater group coding process to increase rigour. Consensus was achieved and overarching themes were finalized. </w:t>
      </w:r>
      <w:r w:rsidR="00812859" w:rsidRPr="000E50F1">
        <w:rPr>
          <w:rFonts w:ascii="Times" w:hAnsi="Times" w:cs="Arial"/>
          <w:bCs/>
          <w:lang w:val="en-US"/>
        </w:rPr>
        <w:t>Constant comparison between transcripts helped to link categorizes between participants into the following salient themes: 1) barriers to MHP; 2) strategies initiated to tailor MHP for immigrant students; 3) mental health inaccessibility; and 4) boarder implications of stigma on mental health accessibility.</w:t>
      </w:r>
      <w:r w:rsidRPr="000E50F1">
        <w:rPr>
          <w:rFonts w:ascii="Times" w:hAnsi="Times" w:cs="Arial"/>
          <w:b/>
        </w:rPr>
        <w:t xml:space="preserve"> </w:t>
      </w:r>
      <w:r w:rsidR="000B3DC1" w:rsidRPr="000E50F1">
        <w:t>The exploration of convergence, complementarity, and dissonance in the emerging themes contributed to the triangulation of the data (Farmer et al. 2006) to gain</w:t>
      </w:r>
      <w:r w:rsidR="006743B0" w:rsidRPr="000E50F1">
        <w:t xml:space="preserve"> a deepened</w:t>
      </w:r>
      <w:r w:rsidR="000B3DC1" w:rsidRPr="000E50F1">
        <w:t xml:space="preserve"> understanding of </w:t>
      </w:r>
      <w:r w:rsidRPr="000E50F1">
        <w:t xml:space="preserve">mental health inaccess and </w:t>
      </w:r>
      <w:r w:rsidR="00FF51A9" w:rsidRPr="000E50F1">
        <w:t>inaccessibility</w:t>
      </w:r>
      <w:r w:rsidR="000B3DC1" w:rsidRPr="000E50F1">
        <w:t xml:space="preserve">. </w:t>
      </w:r>
    </w:p>
    <w:p w14:paraId="42B744F0" w14:textId="77777777" w:rsidR="00BD2EBF" w:rsidRPr="000E50F1" w:rsidRDefault="00BD2EBF" w:rsidP="00812859">
      <w:pPr>
        <w:rPr>
          <w:rFonts w:ascii="Times" w:hAnsi="Times" w:cs="Arial"/>
          <w:b/>
          <w:lang w:val="en-US"/>
        </w:rPr>
      </w:pPr>
    </w:p>
    <w:p w14:paraId="31A8A6E4" w14:textId="33BDEA6E" w:rsidR="0090544B" w:rsidRPr="000E50F1" w:rsidRDefault="00EA74C0" w:rsidP="00812859">
      <w:pPr>
        <w:rPr>
          <w:rFonts w:ascii="Times" w:hAnsi="Times" w:cs="Arial"/>
          <w:b/>
          <w:lang w:val="en-US"/>
        </w:rPr>
      </w:pPr>
      <w:r w:rsidRPr="000E50F1">
        <w:rPr>
          <w:rFonts w:ascii="Times" w:hAnsi="Times" w:cs="Arial"/>
          <w:b/>
          <w:lang w:val="en-US"/>
        </w:rPr>
        <w:t>Findings</w:t>
      </w:r>
    </w:p>
    <w:p w14:paraId="75AA131E" w14:textId="28E931DF" w:rsidR="00812859" w:rsidRPr="000E50F1" w:rsidRDefault="00812859" w:rsidP="00812859">
      <w:pPr>
        <w:rPr>
          <w:rFonts w:ascii="Times" w:hAnsi="Times" w:cs="Arial"/>
          <w:bCs/>
          <w:lang w:val="en-US"/>
        </w:rPr>
      </w:pPr>
      <w:r w:rsidRPr="000E50F1">
        <w:rPr>
          <w:rFonts w:ascii="Times" w:hAnsi="Times" w:cs="Arial"/>
          <w:bCs/>
          <w:lang w:val="en-US"/>
        </w:rPr>
        <w:t xml:space="preserve">The analysis is divided into the following three sections. First, individual-level barriers to mental health </w:t>
      </w:r>
      <w:r w:rsidR="004A74B7" w:rsidRPr="000E50F1">
        <w:rPr>
          <w:rFonts w:ascii="Times" w:hAnsi="Times" w:cs="Arial"/>
          <w:bCs/>
          <w:lang w:val="en-US"/>
        </w:rPr>
        <w:t>education</w:t>
      </w:r>
      <w:r w:rsidRPr="000E50F1">
        <w:rPr>
          <w:rFonts w:ascii="Times" w:hAnsi="Times" w:cs="Arial"/>
          <w:bCs/>
          <w:lang w:val="en-US"/>
        </w:rPr>
        <w:t xml:space="preserve"> are identified alongside strategies tailored by some individual SWIS workers to promote student engagement. Next, interpersonal-level barriers (</w:t>
      </w:r>
      <w:r w:rsidR="00FF51A9" w:rsidRPr="000E50F1">
        <w:rPr>
          <w:rFonts w:ascii="Times" w:hAnsi="Times" w:cs="Arial"/>
          <w:bCs/>
          <w:lang w:val="en-US"/>
        </w:rPr>
        <w:t>e.g.,</w:t>
      </w:r>
      <w:r w:rsidRPr="000E50F1">
        <w:rPr>
          <w:rFonts w:ascii="Times" w:hAnsi="Times" w:cs="Arial"/>
          <w:bCs/>
          <w:lang w:val="en-US"/>
        </w:rPr>
        <w:t xml:space="preserve"> family constraints) and strategies initiated by some SWIS </w:t>
      </w:r>
      <w:r w:rsidR="00433B21" w:rsidRPr="000E50F1">
        <w:rPr>
          <w:rFonts w:ascii="Times" w:hAnsi="Times" w:cs="Arial"/>
          <w:bCs/>
          <w:lang w:val="en-US"/>
        </w:rPr>
        <w:t xml:space="preserve">workers </w:t>
      </w:r>
      <w:r w:rsidRPr="000E50F1">
        <w:rPr>
          <w:rFonts w:ascii="Times" w:hAnsi="Times" w:cs="Arial"/>
          <w:bCs/>
          <w:lang w:val="en-US"/>
        </w:rPr>
        <w:t>to reduce social stigma in mental health access are examined. In the final section</w:t>
      </w:r>
      <w:r w:rsidR="001752C0" w:rsidRPr="000E50F1">
        <w:rPr>
          <w:rFonts w:ascii="Times" w:hAnsi="Times" w:cs="Arial"/>
          <w:bCs/>
          <w:lang w:val="en-US"/>
        </w:rPr>
        <w:t>,</w:t>
      </w:r>
      <w:r w:rsidRPr="000E50F1">
        <w:rPr>
          <w:rFonts w:ascii="Times" w:hAnsi="Times" w:cs="Arial"/>
          <w:bCs/>
          <w:lang w:val="en-US"/>
        </w:rPr>
        <w:t xml:space="preserve"> institutional-level barriers during service use are examined. Additionally, some SWIS worker’s own stigmatization of mental health highlighting societal-level factors that limited mental health promotion and service connections are discussed.</w:t>
      </w:r>
    </w:p>
    <w:p w14:paraId="18AC5CE3" w14:textId="77777777" w:rsidR="00812859" w:rsidRPr="000E50F1" w:rsidRDefault="00812859" w:rsidP="00812859">
      <w:pPr>
        <w:rPr>
          <w:rFonts w:ascii="Times" w:hAnsi="Times" w:cs="Arial"/>
          <w:b/>
          <w:iCs/>
          <w:lang w:val="en-US"/>
        </w:rPr>
      </w:pPr>
    </w:p>
    <w:p w14:paraId="27743507" w14:textId="77777777" w:rsidR="00812859" w:rsidRPr="000E50F1" w:rsidRDefault="00812859" w:rsidP="00812859">
      <w:pPr>
        <w:rPr>
          <w:rFonts w:ascii="Times" w:hAnsi="Times" w:cs="Arial"/>
          <w:b/>
          <w:i/>
          <w:lang w:val="en-US"/>
        </w:rPr>
      </w:pPr>
      <w:r w:rsidRPr="000E50F1">
        <w:rPr>
          <w:rFonts w:ascii="Times" w:hAnsi="Times" w:cs="Arial"/>
          <w:b/>
          <w:i/>
          <w:lang w:val="en-US"/>
        </w:rPr>
        <w:t xml:space="preserve">Individual-level Barriers in Mental Health Promotion </w:t>
      </w:r>
    </w:p>
    <w:p w14:paraId="302308BD" w14:textId="3A422828" w:rsidR="00812859" w:rsidRPr="000E50F1" w:rsidRDefault="00812859" w:rsidP="00812859">
      <w:pPr>
        <w:rPr>
          <w:rFonts w:ascii="Times" w:hAnsi="Times" w:cs="Arial"/>
          <w:bCs/>
          <w:lang w:val="en-US"/>
        </w:rPr>
      </w:pPr>
      <w:r w:rsidRPr="000E50F1">
        <w:rPr>
          <w:rFonts w:ascii="Times" w:hAnsi="Times" w:cs="Arial"/>
          <w:bCs/>
          <w:lang w:val="en-US"/>
        </w:rPr>
        <w:t xml:space="preserve">Some SWIS </w:t>
      </w:r>
      <w:r w:rsidR="00433B21" w:rsidRPr="000E50F1">
        <w:rPr>
          <w:rFonts w:ascii="Times" w:hAnsi="Times" w:cs="Arial"/>
          <w:bCs/>
          <w:lang w:val="en-US"/>
        </w:rPr>
        <w:t xml:space="preserve">workers </w:t>
      </w:r>
      <w:r w:rsidRPr="000E50F1">
        <w:rPr>
          <w:rFonts w:ascii="Times" w:hAnsi="Times" w:cs="Arial"/>
          <w:bCs/>
          <w:lang w:val="en-US"/>
        </w:rPr>
        <w:t>identified MHP as a need to help students develop an understanding of mental health challenges and the resources available</w:t>
      </w:r>
      <w:r w:rsidR="001752C0" w:rsidRPr="000E50F1">
        <w:rPr>
          <w:rFonts w:ascii="Times" w:hAnsi="Times" w:cs="Arial"/>
          <w:bCs/>
          <w:lang w:val="en-US"/>
        </w:rPr>
        <w:t xml:space="preserve"> to them</w:t>
      </w:r>
      <w:r w:rsidRPr="000E50F1">
        <w:rPr>
          <w:rFonts w:ascii="Times" w:hAnsi="Times" w:cs="Arial"/>
          <w:bCs/>
          <w:lang w:val="en-US"/>
        </w:rPr>
        <w:t xml:space="preserve">. </w:t>
      </w:r>
      <w:r w:rsidRPr="000E50F1">
        <w:rPr>
          <w:rFonts w:ascii="Times" w:hAnsi="Times" w:cs="Arial"/>
          <w:bCs/>
          <w:lang w:val="en-US"/>
        </w:rPr>
        <w:lastRenderedPageBreak/>
        <w:t xml:space="preserve">Working in partnership with public health nurses, SWIS </w:t>
      </w:r>
      <w:r w:rsidR="00433B21" w:rsidRPr="000E50F1">
        <w:rPr>
          <w:rFonts w:ascii="Times" w:hAnsi="Times" w:cs="Arial"/>
          <w:bCs/>
          <w:lang w:val="en-US"/>
        </w:rPr>
        <w:t xml:space="preserve">workers </w:t>
      </w:r>
      <w:r w:rsidRPr="000E50F1">
        <w:rPr>
          <w:rFonts w:ascii="Times" w:hAnsi="Times" w:cs="Arial"/>
          <w:bCs/>
          <w:lang w:val="en-US"/>
        </w:rPr>
        <w:t xml:space="preserve">initially delivered mental health education to immigrant students using training modules from public health. According to multiple SWIS </w:t>
      </w:r>
      <w:r w:rsidR="00433B21" w:rsidRPr="000E50F1">
        <w:rPr>
          <w:rFonts w:ascii="Times" w:hAnsi="Times" w:cs="Arial"/>
          <w:bCs/>
          <w:lang w:val="en-US"/>
        </w:rPr>
        <w:t>workers</w:t>
      </w:r>
      <w:r w:rsidRPr="000E50F1">
        <w:rPr>
          <w:rFonts w:ascii="Times" w:hAnsi="Times" w:cs="Arial"/>
          <w:bCs/>
          <w:lang w:val="en-US"/>
        </w:rPr>
        <w:t>, mental health education was often met with resistance and distancing from students. Students held stigmatizing views of mental health and often described mental health as ‘crazy’ reflecting cultural ideas of mental health as ‘not normal’, highly shamed, and something to avoid. Additionally, students perceived mental health problems amongst Canadians as differences in group behaviour:</w:t>
      </w:r>
    </w:p>
    <w:p w14:paraId="4B13012B" w14:textId="77777777" w:rsidR="00812859" w:rsidRPr="000E50F1" w:rsidRDefault="00812859" w:rsidP="00812859">
      <w:pPr>
        <w:rPr>
          <w:rFonts w:ascii="Times" w:hAnsi="Times" w:cs="Arial"/>
          <w:bCs/>
          <w:lang w:val="en-US"/>
        </w:rPr>
      </w:pPr>
    </w:p>
    <w:p w14:paraId="3320A58A" w14:textId="77777777" w:rsidR="00812859" w:rsidRPr="000E50F1" w:rsidRDefault="00812859" w:rsidP="00812859">
      <w:pPr>
        <w:ind w:left="567" w:right="571"/>
        <w:rPr>
          <w:rFonts w:ascii="Times" w:hAnsi="Times" w:cs="Arial"/>
          <w:bCs/>
        </w:rPr>
      </w:pPr>
      <w:r w:rsidRPr="000E50F1">
        <w:rPr>
          <w:rFonts w:ascii="Times" w:hAnsi="Times" w:cs="Arial"/>
          <w:bCs/>
        </w:rPr>
        <w:t>…so, the first question that we ask is, ‘what is mental health?’ and we get responses anywhere from ‘crazy’ to ‘mental’. They think ‘mental’ and associate ‘mental’ with being ‘crazy’, ‘unstable’ or say ‘we don’t talk about that’…P1</w:t>
      </w:r>
    </w:p>
    <w:p w14:paraId="067B6D96" w14:textId="77777777" w:rsidR="00812859" w:rsidRPr="000E50F1" w:rsidRDefault="00812859" w:rsidP="00812859">
      <w:pPr>
        <w:rPr>
          <w:rFonts w:ascii="Times" w:hAnsi="Times" w:cs="Arial"/>
          <w:bCs/>
          <w:lang w:val="en-US"/>
        </w:rPr>
      </w:pPr>
    </w:p>
    <w:p w14:paraId="4827CDC9" w14:textId="77777777" w:rsidR="00812859" w:rsidRPr="000E50F1" w:rsidRDefault="00812859" w:rsidP="00812859">
      <w:pPr>
        <w:ind w:left="567" w:right="571"/>
        <w:rPr>
          <w:rFonts w:ascii="Times" w:hAnsi="Times" w:cs="Arial"/>
          <w:bCs/>
        </w:rPr>
      </w:pPr>
      <w:r w:rsidRPr="000E50F1">
        <w:rPr>
          <w:rFonts w:ascii="Times" w:hAnsi="Times" w:cs="Arial"/>
          <w:bCs/>
        </w:rPr>
        <w:t>…‘that is b.s.’, ‘there is no depression’…‘people are just lonely here’, ‘[Canadians] don’t like to make friends’. Back home we are always happy. We like to make friends and say hello to the neighbours so we don’t have depression…You will find all kinds of people that believe that it doesn’t exist, or they don’t want to talk about it, or a lot of people think it’s ‘crazy’… -P8</w:t>
      </w:r>
    </w:p>
    <w:p w14:paraId="3A0E7DFF" w14:textId="77777777" w:rsidR="00812859" w:rsidRPr="000E50F1" w:rsidRDefault="00812859" w:rsidP="00812859">
      <w:pPr>
        <w:pStyle w:val="NormalWeb"/>
        <w:shd w:val="clear" w:color="auto" w:fill="FFFFFF"/>
        <w:spacing w:before="0" w:beforeAutospacing="0" w:after="0" w:afterAutospacing="0"/>
        <w:rPr>
          <w:rFonts w:ascii="Times" w:hAnsi="Times" w:cs="Arial"/>
          <w:bCs/>
        </w:rPr>
      </w:pPr>
    </w:p>
    <w:p w14:paraId="590481A4" w14:textId="708FCAED" w:rsidR="00812859" w:rsidRPr="000E50F1" w:rsidRDefault="00812859" w:rsidP="00812859">
      <w:pPr>
        <w:pStyle w:val="NormalWeb"/>
        <w:shd w:val="clear" w:color="auto" w:fill="FFFFFF"/>
        <w:spacing w:before="0" w:beforeAutospacing="0" w:after="0" w:afterAutospacing="0"/>
        <w:rPr>
          <w:rFonts w:ascii="Times" w:eastAsia="Calibri" w:hAnsi="Times" w:cs="Arial"/>
          <w:bCs/>
        </w:rPr>
      </w:pPr>
      <w:r w:rsidRPr="000E50F1">
        <w:rPr>
          <w:rFonts w:ascii="Times" w:hAnsi="Times" w:cs="Arial"/>
          <w:bCs/>
        </w:rPr>
        <w:t xml:space="preserve">Many SWIS </w:t>
      </w:r>
      <w:r w:rsidR="00433B21" w:rsidRPr="000E50F1">
        <w:rPr>
          <w:rFonts w:ascii="Times" w:hAnsi="Times" w:cs="Arial"/>
          <w:bCs/>
        </w:rPr>
        <w:t xml:space="preserve">workers </w:t>
      </w:r>
      <w:r w:rsidRPr="000E50F1">
        <w:rPr>
          <w:rFonts w:ascii="Times" w:hAnsi="Times" w:cs="Arial"/>
          <w:bCs/>
        </w:rPr>
        <w:t>noted that students</w:t>
      </w:r>
      <w:r w:rsidR="00F766F4" w:rsidRPr="000E50F1">
        <w:rPr>
          <w:rFonts w:ascii="Times" w:hAnsi="Times" w:cs="Arial"/>
          <w:bCs/>
        </w:rPr>
        <w:t xml:space="preserve"> were</w:t>
      </w:r>
      <w:r w:rsidRPr="000E50F1">
        <w:rPr>
          <w:rFonts w:ascii="Times" w:hAnsi="Times" w:cs="Arial"/>
          <w:bCs/>
        </w:rPr>
        <w:t xml:space="preserve"> hesita</w:t>
      </w:r>
      <w:r w:rsidR="00F766F4" w:rsidRPr="000E50F1">
        <w:rPr>
          <w:rFonts w:ascii="Times" w:hAnsi="Times" w:cs="Arial"/>
          <w:bCs/>
        </w:rPr>
        <w:t>nt</w:t>
      </w:r>
      <w:r w:rsidRPr="000E50F1">
        <w:rPr>
          <w:rFonts w:ascii="Times" w:hAnsi="Times" w:cs="Arial"/>
          <w:bCs/>
        </w:rPr>
        <w:t xml:space="preserve"> engage in MHP was connected to the lack of rapport students had with the public health nurse, whom often probed students in taboo discussions (</w:t>
      </w:r>
      <w:r w:rsidR="00FF51A9" w:rsidRPr="000E50F1">
        <w:rPr>
          <w:rFonts w:ascii="Times" w:hAnsi="Times" w:cs="Arial"/>
          <w:bCs/>
        </w:rPr>
        <w:t>e.g.,</w:t>
      </w:r>
      <w:r w:rsidRPr="000E50F1">
        <w:rPr>
          <w:rFonts w:ascii="Times" w:hAnsi="Times" w:cs="Arial"/>
          <w:bCs/>
        </w:rPr>
        <w:t xml:space="preserve"> sex education, depression, self-harm, etc.). Resistance to engage by students was cited by some SWIS </w:t>
      </w:r>
      <w:r w:rsidR="00433B21" w:rsidRPr="000E50F1">
        <w:rPr>
          <w:rFonts w:ascii="Times" w:hAnsi="Times" w:cs="Arial"/>
          <w:bCs/>
        </w:rPr>
        <w:t xml:space="preserve">workers </w:t>
      </w:r>
      <w:r w:rsidRPr="000E50F1">
        <w:rPr>
          <w:rFonts w:ascii="Times" w:hAnsi="Times" w:cs="Arial"/>
          <w:bCs/>
        </w:rPr>
        <w:t xml:space="preserve">as a perceived lack of sensitivity by MHP facilitators for students’ religious beliefs, values, and social norms. SWIS </w:t>
      </w:r>
      <w:r w:rsidR="00433B21" w:rsidRPr="000E50F1">
        <w:rPr>
          <w:rFonts w:ascii="Times" w:hAnsi="Times" w:cs="Arial"/>
          <w:bCs/>
        </w:rPr>
        <w:t xml:space="preserve">workers </w:t>
      </w:r>
      <w:r w:rsidRPr="000E50F1">
        <w:rPr>
          <w:rFonts w:ascii="Times" w:hAnsi="Times" w:cs="Arial"/>
          <w:bCs/>
        </w:rPr>
        <w:t>saw this as a limitation that was perpetuated by the prescriptive design of modules used to facilitate training, which resulted in students’ difficulty to openly talk about mental health-related problems:</w:t>
      </w:r>
    </w:p>
    <w:p w14:paraId="1CEE60E6" w14:textId="77777777" w:rsidR="00812859" w:rsidRPr="000E50F1" w:rsidRDefault="00812859" w:rsidP="00812859">
      <w:pPr>
        <w:tabs>
          <w:tab w:val="left" w:pos="5400"/>
        </w:tabs>
        <w:ind w:left="567" w:right="571"/>
        <w:rPr>
          <w:rFonts w:ascii="Times" w:hAnsi="Times" w:cs="Arial"/>
          <w:bCs/>
          <w:lang w:val="en-US"/>
        </w:rPr>
      </w:pPr>
    </w:p>
    <w:p w14:paraId="000815C0" w14:textId="77777777" w:rsidR="00812859" w:rsidRPr="000E50F1" w:rsidRDefault="00812859" w:rsidP="00812859">
      <w:pPr>
        <w:tabs>
          <w:tab w:val="left" w:pos="5400"/>
        </w:tabs>
        <w:ind w:left="567" w:right="571"/>
        <w:rPr>
          <w:rFonts w:ascii="Times" w:hAnsi="Times" w:cs="Arial"/>
          <w:bCs/>
          <w:lang w:val="en-US"/>
        </w:rPr>
      </w:pPr>
      <w:r w:rsidRPr="000E50F1">
        <w:rPr>
          <w:rFonts w:ascii="Times" w:hAnsi="Times" w:cs="Arial"/>
          <w:bCs/>
          <w:lang w:val="en-US"/>
        </w:rPr>
        <w:t>…because of their culture and their religion, they couldn’t engage…I understood it but the public health nurse said, ‘this is something that we need to know’…‘we need them to know but we have to go a different way about it’…I would put in my own way of thinking in terms of making them feel comfortable. And I would say, ‘well in our culture that’s not allowed but we are in a country where it is possible for things like that to happen. You know life changes, the person change’ so I put in it into a different perspective so they can be like, ‘oh yeah, you’re right. We don’t talk about it but it doesn’t mean that we’re not thinking about it… -P3</w:t>
      </w:r>
    </w:p>
    <w:p w14:paraId="51371115" w14:textId="77777777" w:rsidR="00812859" w:rsidRPr="000E50F1" w:rsidRDefault="00812859" w:rsidP="00812859">
      <w:pPr>
        <w:rPr>
          <w:rFonts w:ascii="Times" w:hAnsi="Times" w:cs="Arial"/>
          <w:b/>
          <w:iCs/>
          <w:lang w:val="en-US"/>
        </w:rPr>
      </w:pPr>
    </w:p>
    <w:p w14:paraId="6E2C8D63" w14:textId="12AA60DC" w:rsidR="00812859" w:rsidRPr="000E50F1" w:rsidRDefault="00812859" w:rsidP="00812859">
      <w:pPr>
        <w:rPr>
          <w:rFonts w:ascii="Times" w:hAnsi="Times" w:cs="Arial"/>
          <w:bCs/>
          <w:lang w:val="en-US"/>
        </w:rPr>
      </w:pPr>
      <w:r w:rsidRPr="000E50F1">
        <w:rPr>
          <w:rFonts w:ascii="Times" w:hAnsi="Times" w:cs="Arial"/>
          <w:bCs/>
        </w:rPr>
        <w:t>Most SWIS</w:t>
      </w:r>
      <w:r w:rsidR="00433B21" w:rsidRPr="000E50F1">
        <w:rPr>
          <w:rFonts w:ascii="Times" w:hAnsi="Times" w:cs="Arial"/>
          <w:bCs/>
        </w:rPr>
        <w:t xml:space="preserve"> workers</w:t>
      </w:r>
      <w:r w:rsidRPr="000E50F1">
        <w:rPr>
          <w:rFonts w:ascii="Times" w:hAnsi="Times" w:cs="Arial"/>
          <w:bCs/>
        </w:rPr>
        <w:t xml:space="preserve"> understood the fear students had in MHP as connecting to mental health-related stigma and students’ fear of engaging in activities that were </w:t>
      </w:r>
      <w:r w:rsidRPr="000E50F1">
        <w:rPr>
          <w:rFonts w:ascii="Times" w:hAnsi="Times" w:cs="Arial"/>
          <w:bCs/>
        </w:rPr>
        <w:lastRenderedPageBreak/>
        <w:t xml:space="preserve">contrary to their social norms. Openly exposing oneself or disclosing in a classroom setting in front of their peers was seen as risky. SWIS </w:t>
      </w:r>
      <w:r w:rsidR="00433B21" w:rsidRPr="000E50F1">
        <w:rPr>
          <w:rFonts w:ascii="Times" w:hAnsi="Times" w:cs="Arial"/>
          <w:bCs/>
        </w:rPr>
        <w:t xml:space="preserve">workers </w:t>
      </w:r>
      <w:r w:rsidRPr="000E50F1">
        <w:rPr>
          <w:rFonts w:ascii="Times" w:hAnsi="Times" w:cs="Arial"/>
          <w:bCs/>
        </w:rPr>
        <w:t xml:space="preserve">needed to adapt strategies to mediate and broker both sides to achieve MHP objectives with student safety in engagement, which was important to do when encouraging students to adhere to behaviours that were socially unaccepted and countercultural. </w:t>
      </w:r>
      <w:r w:rsidRPr="000E50F1">
        <w:rPr>
          <w:rFonts w:ascii="Times" w:hAnsi="Times" w:cs="Arial"/>
          <w:bCs/>
          <w:lang w:val="en-US"/>
        </w:rPr>
        <w:t xml:space="preserve">SWIS </w:t>
      </w:r>
      <w:r w:rsidR="00433B21" w:rsidRPr="000E50F1">
        <w:rPr>
          <w:rFonts w:ascii="Times" w:hAnsi="Times" w:cs="Arial"/>
          <w:bCs/>
          <w:lang w:val="en-US"/>
        </w:rPr>
        <w:t xml:space="preserve">workers </w:t>
      </w:r>
      <w:r w:rsidRPr="000E50F1">
        <w:rPr>
          <w:rFonts w:ascii="Times" w:hAnsi="Times" w:cs="Arial"/>
          <w:bCs/>
          <w:lang w:val="en-US"/>
        </w:rPr>
        <w:t>focused on emphasizing students’ need based on an immigration trajectory to link students’ social context to health impact, and some also used creative ways to provoke health discussion that included photovoice and other art-based projects which was seen as beneficial in minimizing students’ language barriers:</w:t>
      </w:r>
    </w:p>
    <w:p w14:paraId="22B84020" w14:textId="77777777" w:rsidR="009E6096" w:rsidRPr="000E50F1" w:rsidRDefault="009E6096" w:rsidP="00812859">
      <w:pPr>
        <w:rPr>
          <w:rFonts w:ascii="Times" w:hAnsi="Times" w:cs="Arial"/>
          <w:bCs/>
          <w:lang w:val="en-US"/>
        </w:rPr>
      </w:pPr>
    </w:p>
    <w:p w14:paraId="3E38FE75" w14:textId="77777777" w:rsidR="00812859" w:rsidRPr="000E50F1" w:rsidRDefault="00812859" w:rsidP="00812859">
      <w:pPr>
        <w:ind w:left="567" w:right="571"/>
        <w:rPr>
          <w:rFonts w:ascii="Times" w:hAnsi="Times" w:cs="Arial"/>
          <w:bCs/>
          <w:lang w:val="en-US"/>
        </w:rPr>
      </w:pPr>
      <w:r w:rsidRPr="000E50F1">
        <w:rPr>
          <w:rFonts w:ascii="Times" w:hAnsi="Times" w:cs="Arial"/>
          <w:bCs/>
          <w:lang w:val="en-US"/>
        </w:rPr>
        <w:t>Some of the modules that we talked about is feeling sad. What do you do when you feel sad? How has coming to Canada affected you? How has that affected your relationship with you parents?...Last year we had them draw a picture of a girl and then we said, ‘so what are some of the physical things that you can see that happens to somebody that has stress?’…a lot of them say, ‘my hair falls out’…we put post-it notes on the girl’s body…‘you clench your fist’, or ‘your heart starts pumping’, or ‘you get acne’…‘oh I can’t sleep at night’ or ‘I start having different thoughts’, or ‘I start thinning [losing weight]’ or ‘I start thinking this is my fault that this is all happening to me’, ‘I can’t learn English’, ‘I’m stupid’…so we categorize how this affects your mental health. So that is how we really break it down. We don’t necessarily say ‘this is mental health’. -P1</w:t>
      </w:r>
    </w:p>
    <w:p w14:paraId="2B86B322" w14:textId="77777777" w:rsidR="00812859" w:rsidRPr="000E50F1" w:rsidRDefault="00812859" w:rsidP="00812859">
      <w:pPr>
        <w:ind w:left="567" w:right="571"/>
        <w:rPr>
          <w:rFonts w:ascii="Times" w:hAnsi="Times" w:cs="Arial"/>
          <w:bCs/>
          <w:lang w:val="en-US"/>
        </w:rPr>
      </w:pPr>
    </w:p>
    <w:p w14:paraId="6992F704" w14:textId="316E40BF" w:rsidR="00812859" w:rsidRPr="000E50F1" w:rsidRDefault="00812859" w:rsidP="00812859">
      <w:pPr>
        <w:rPr>
          <w:rFonts w:ascii="Times" w:hAnsi="Times" w:cs="Arial"/>
          <w:bCs/>
        </w:rPr>
      </w:pPr>
      <w:r w:rsidRPr="000E50F1">
        <w:rPr>
          <w:rFonts w:ascii="Times" w:hAnsi="Times" w:cs="Arial"/>
          <w:bCs/>
          <w:lang w:val="en-US"/>
        </w:rPr>
        <w:t>Helping students to contextualize mental health-related issues within migration and settlement helped students to connect psychosomatic symptoms of ill-health within a post-migration context. Avoiding the use of the word  “mental” in mental health discussion was cited by many SWIS</w:t>
      </w:r>
      <w:r w:rsidR="00433B21" w:rsidRPr="000E50F1">
        <w:rPr>
          <w:rFonts w:ascii="Times" w:hAnsi="Times" w:cs="Arial"/>
          <w:bCs/>
          <w:lang w:val="en-US"/>
        </w:rPr>
        <w:t xml:space="preserve"> workers</w:t>
      </w:r>
      <w:r w:rsidRPr="000E50F1">
        <w:rPr>
          <w:rFonts w:ascii="Times" w:hAnsi="Times" w:cs="Arial"/>
          <w:bCs/>
          <w:lang w:val="en-US"/>
        </w:rPr>
        <w:t xml:space="preserve"> as a strategy employed to reduce stigma to deter students from early disengagement while focusing the conversation on aspects achieving well-being. </w:t>
      </w:r>
      <w:r w:rsidRPr="000E50F1">
        <w:rPr>
          <w:rFonts w:ascii="Times" w:hAnsi="Times" w:cs="Arial"/>
          <w:bCs/>
        </w:rPr>
        <w:t xml:space="preserve">Shifting to a student-centred approach that integrated cultural sensitivity was effective. </w:t>
      </w:r>
      <w:r w:rsidRPr="000E50F1">
        <w:rPr>
          <w:rFonts w:ascii="Times" w:hAnsi="Times" w:cs="Arial"/>
          <w:bCs/>
          <w:lang w:val="en-US"/>
        </w:rPr>
        <w:t xml:space="preserve">Strategies adapted by SWIS </w:t>
      </w:r>
      <w:r w:rsidR="00433B21" w:rsidRPr="000E50F1">
        <w:rPr>
          <w:rFonts w:ascii="Times" w:hAnsi="Times" w:cs="Arial"/>
          <w:bCs/>
          <w:lang w:val="en-US"/>
        </w:rPr>
        <w:t xml:space="preserve">workers </w:t>
      </w:r>
      <w:r w:rsidRPr="000E50F1">
        <w:rPr>
          <w:rFonts w:ascii="Times" w:hAnsi="Times" w:cs="Arial"/>
          <w:bCs/>
          <w:lang w:val="en-US"/>
        </w:rPr>
        <w:t>overall aimed to give students greater autonomy, enabling them to initiate and direct the discussion:</w:t>
      </w:r>
    </w:p>
    <w:p w14:paraId="461B4239" w14:textId="77777777" w:rsidR="00812859" w:rsidRPr="000E50F1" w:rsidRDefault="00812859" w:rsidP="00812859">
      <w:pPr>
        <w:tabs>
          <w:tab w:val="left" w:pos="5400"/>
        </w:tabs>
        <w:ind w:right="571"/>
        <w:rPr>
          <w:rFonts w:ascii="Times" w:hAnsi="Times" w:cs="Arial"/>
          <w:bCs/>
          <w:lang w:val="en-US"/>
        </w:rPr>
      </w:pPr>
    </w:p>
    <w:p w14:paraId="1EC86285" w14:textId="77777777" w:rsidR="00812859" w:rsidRPr="000E50F1" w:rsidRDefault="00812859" w:rsidP="00812859">
      <w:pPr>
        <w:tabs>
          <w:tab w:val="left" w:pos="5400"/>
        </w:tabs>
        <w:ind w:left="567" w:right="571"/>
        <w:rPr>
          <w:rFonts w:ascii="Times" w:hAnsi="Times" w:cs="Arial"/>
          <w:bCs/>
          <w:lang w:val="en-US"/>
        </w:rPr>
      </w:pPr>
      <w:r w:rsidRPr="000E50F1">
        <w:rPr>
          <w:rFonts w:ascii="Times" w:hAnsi="Times" w:cs="Arial"/>
          <w:bCs/>
          <w:lang w:val="en-US"/>
        </w:rPr>
        <w:t>…they weren’t so expressive I found so I said, ‘okay guys, we are not using the binder anymore, so you guys tell me what you want to talk about’ and surprisingly, relationships, healthy relationships, what’s not a healthy relationship, those kinds of topics…They wanted to talk about it but they didn’t feel comfortable with the manual…so I kind of tweaked and I kind of put it into their hands and said, ‘okay you tell me what the issue is and what you want to talk about and tell me how I can help you.’ -P3</w:t>
      </w:r>
    </w:p>
    <w:p w14:paraId="08784BAE" w14:textId="77777777" w:rsidR="00812859" w:rsidRPr="000E50F1" w:rsidRDefault="00812859" w:rsidP="00812859">
      <w:pPr>
        <w:rPr>
          <w:rFonts w:ascii="Times" w:hAnsi="Times" w:cs="Arial"/>
          <w:bCs/>
          <w:lang w:val="en-US"/>
        </w:rPr>
      </w:pPr>
    </w:p>
    <w:p w14:paraId="09FC1101" w14:textId="796F33A8" w:rsidR="00812859" w:rsidRPr="000E50F1" w:rsidRDefault="00812859" w:rsidP="00812859">
      <w:pPr>
        <w:rPr>
          <w:rFonts w:ascii="Times" w:hAnsi="Times" w:cs="Arial"/>
          <w:bCs/>
        </w:rPr>
      </w:pPr>
      <w:r w:rsidRPr="000E50F1">
        <w:rPr>
          <w:rFonts w:ascii="Times" w:hAnsi="Times" w:cs="Arial"/>
          <w:bCs/>
          <w:lang w:val="en-US"/>
        </w:rPr>
        <w:lastRenderedPageBreak/>
        <w:t xml:space="preserve">SWIS </w:t>
      </w:r>
      <w:r w:rsidR="00433B21" w:rsidRPr="000E50F1">
        <w:rPr>
          <w:rFonts w:ascii="Times" w:hAnsi="Times" w:cs="Arial"/>
          <w:bCs/>
          <w:lang w:val="en-US"/>
        </w:rPr>
        <w:t xml:space="preserve">workers </w:t>
      </w:r>
      <w:r w:rsidRPr="000E50F1">
        <w:rPr>
          <w:rFonts w:ascii="Times" w:hAnsi="Times" w:cs="Arial"/>
          <w:bCs/>
          <w:lang w:val="en-US"/>
        </w:rPr>
        <w:t xml:space="preserve">established safe dialogue practices to facilitate MHP engagement, which helped to normalize discussion around sensitive topics. For example, the use of ground rules and written contracts were implemented by some SWIS </w:t>
      </w:r>
      <w:r w:rsidR="00433B21" w:rsidRPr="000E50F1">
        <w:rPr>
          <w:rFonts w:ascii="Times" w:hAnsi="Times" w:cs="Arial"/>
          <w:bCs/>
          <w:lang w:val="en-US"/>
        </w:rPr>
        <w:t xml:space="preserve">workers </w:t>
      </w:r>
      <w:r w:rsidRPr="000E50F1">
        <w:rPr>
          <w:rFonts w:ascii="Times" w:hAnsi="Times" w:cs="Arial"/>
          <w:bCs/>
          <w:lang w:val="en-US"/>
        </w:rPr>
        <w:t xml:space="preserve">to create a safe space for students to talk amongst their peers. Establishing safeguards helped students to build group cohesion and </w:t>
      </w:r>
      <w:r w:rsidRPr="000E50F1">
        <w:rPr>
          <w:rFonts w:ascii="Times" w:hAnsi="Times" w:cs="Arial"/>
          <w:bCs/>
        </w:rPr>
        <w:t>relationships. Adherence to ethical conduct helped to reduce interpersonal-stigma and fostered an environment that allowed students to safely disclose:</w:t>
      </w:r>
    </w:p>
    <w:p w14:paraId="26250F15" w14:textId="77777777" w:rsidR="00812859" w:rsidRPr="000E50F1" w:rsidRDefault="00812859" w:rsidP="00812859">
      <w:pPr>
        <w:rPr>
          <w:rFonts w:ascii="Times" w:hAnsi="Times" w:cs="Arial"/>
          <w:bCs/>
        </w:rPr>
      </w:pPr>
    </w:p>
    <w:p w14:paraId="76C0698C" w14:textId="77777777" w:rsidR="00812859" w:rsidRPr="000E50F1" w:rsidRDefault="00812859" w:rsidP="00812859">
      <w:pPr>
        <w:ind w:left="567" w:right="571"/>
        <w:rPr>
          <w:rFonts w:ascii="Times" w:hAnsi="Times" w:cs="Arial"/>
          <w:bCs/>
          <w:lang w:val="en-US"/>
        </w:rPr>
      </w:pPr>
      <w:r w:rsidRPr="000E50F1">
        <w:rPr>
          <w:rFonts w:ascii="Times" w:hAnsi="Times" w:cs="Arial"/>
          <w:bCs/>
        </w:rPr>
        <w:t>One of the first things that we do is lay down ground rules…We all sign a contract. We all come with this code of conduct of what is expected…what happens in this groups stays in this group so we all kind of shared our experiences. And it takes a long time, like a couple of sessions before we start talking about mental health because what we do is we try to build a cohesion between all the of them first…what are some of your similarities?...differences? We kind of try to bring those out first and then we start talking about other stuff…a lot of them say we’ve learned that we have a lot of the same problems. We’ve learned that</w:t>
      </w:r>
      <w:r w:rsidRPr="000E50F1">
        <w:rPr>
          <w:rFonts w:ascii="Times" w:hAnsi="Times" w:cs="Arial"/>
          <w:bCs/>
          <w:lang w:val="en-US"/>
        </w:rPr>
        <w:t xml:space="preserve"> we all share the same challenges and barriers. -P1</w:t>
      </w:r>
    </w:p>
    <w:p w14:paraId="4E9E26A8" w14:textId="77777777" w:rsidR="00812859" w:rsidRPr="000E50F1" w:rsidRDefault="00812859" w:rsidP="00812859">
      <w:pPr>
        <w:pStyle w:val="CommentText"/>
        <w:rPr>
          <w:rFonts w:ascii="Times" w:hAnsi="Times" w:cs="Arial"/>
          <w:bCs/>
          <w:color w:val="auto"/>
          <w:sz w:val="24"/>
          <w:szCs w:val="24"/>
        </w:rPr>
      </w:pPr>
    </w:p>
    <w:p w14:paraId="243DCC2E" w14:textId="3EC4C84B" w:rsidR="00812859" w:rsidRPr="000E50F1" w:rsidRDefault="00812859" w:rsidP="00812859">
      <w:pPr>
        <w:pStyle w:val="CommentText"/>
        <w:rPr>
          <w:rFonts w:ascii="Times" w:hAnsi="Times" w:cs="Arial"/>
          <w:bCs/>
          <w:color w:val="auto"/>
          <w:sz w:val="24"/>
          <w:szCs w:val="24"/>
        </w:rPr>
      </w:pPr>
      <w:r w:rsidRPr="000E50F1">
        <w:rPr>
          <w:rFonts w:ascii="Times" w:hAnsi="Times" w:cs="Arial"/>
          <w:bCs/>
          <w:color w:val="auto"/>
          <w:sz w:val="24"/>
          <w:szCs w:val="24"/>
        </w:rPr>
        <w:t xml:space="preserve">With improved MHP strategies, SWIS </w:t>
      </w:r>
      <w:r w:rsidR="00433B21" w:rsidRPr="000E50F1">
        <w:rPr>
          <w:rFonts w:ascii="Times" w:hAnsi="Times" w:cs="Arial"/>
          <w:bCs/>
          <w:color w:val="auto"/>
          <w:sz w:val="24"/>
          <w:szCs w:val="24"/>
        </w:rPr>
        <w:t xml:space="preserve">workers </w:t>
      </w:r>
      <w:r w:rsidRPr="000E50F1">
        <w:rPr>
          <w:rFonts w:ascii="Times" w:hAnsi="Times" w:cs="Arial"/>
          <w:bCs/>
          <w:color w:val="auto"/>
          <w:sz w:val="24"/>
          <w:szCs w:val="24"/>
        </w:rPr>
        <w:t xml:space="preserve">were able to tackle highly sensitive topics such as suicide and self-harm. As a result, SWIS </w:t>
      </w:r>
      <w:r w:rsidR="00433B21" w:rsidRPr="000E50F1">
        <w:rPr>
          <w:rFonts w:ascii="Times" w:hAnsi="Times" w:cs="Arial"/>
          <w:bCs/>
          <w:color w:val="auto"/>
          <w:sz w:val="24"/>
          <w:szCs w:val="24"/>
        </w:rPr>
        <w:t xml:space="preserve">workers </w:t>
      </w:r>
      <w:r w:rsidRPr="000E50F1">
        <w:rPr>
          <w:rFonts w:ascii="Times" w:hAnsi="Times" w:cs="Arial"/>
          <w:bCs/>
          <w:color w:val="auto"/>
          <w:sz w:val="24"/>
          <w:szCs w:val="24"/>
        </w:rPr>
        <w:t>cited increases in students disclosing their own mental health challenges, as well as needs within their family:</w:t>
      </w:r>
    </w:p>
    <w:p w14:paraId="71CECFAF" w14:textId="77777777" w:rsidR="00812859" w:rsidRPr="000E50F1" w:rsidRDefault="00812859" w:rsidP="00812859">
      <w:pPr>
        <w:pStyle w:val="CommentText"/>
        <w:rPr>
          <w:rFonts w:ascii="Times" w:hAnsi="Times" w:cs="Arial"/>
          <w:bCs/>
          <w:color w:val="auto"/>
          <w:sz w:val="24"/>
          <w:szCs w:val="24"/>
        </w:rPr>
      </w:pPr>
    </w:p>
    <w:p w14:paraId="260257A6" w14:textId="77777777" w:rsidR="00812859" w:rsidRPr="000E50F1" w:rsidRDefault="00812859" w:rsidP="00812859">
      <w:pPr>
        <w:ind w:left="567" w:right="855"/>
        <w:rPr>
          <w:rFonts w:ascii="Times" w:hAnsi="Times" w:cs="Arial"/>
          <w:bCs/>
          <w:lang w:val="en-US"/>
        </w:rPr>
      </w:pPr>
      <w:r w:rsidRPr="000E50F1">
        <w:rPr>
          <w:rFonts w:ascii="Times" w:hAnsi="Times" w:cs="Arial"/>
          <w:bCs/>
          <w:lang w:val="en-US"/>
        </w:rPr>
        <w:t>…because we also talk about suicide and hurting yourself…we did have one student who came to us after and told us, ‘ I’ve been feeling really lonely and I have been feeling very isolated from my family. I feel like I can’t connect with them and I can’t talk to them about stuff’ and she even told us that one time she tried to end her life, so we’ve had a lot of instances where girls would come up to us and say we need help… -P1</w:t>
      </w:r>
    </w:p>
    <w:p w14:paraId="42E94483" w14:textId="77777777" w:rsidR="00812859" w:rsidRPr="000E50F1" w:rsidRDefault="00812859" w:rsidP="00812859">
      <w:pPr>
        <w:ind w:right="855"/>
        <w:rPr>
          <w:rFonts w:ascii="Times" w:hAnsi="Times" w:cs="Arial"/>
          <w:bCs/>
          <w:lang w:val="en-US"/>
        </w:rPr>
      </w:pPr>
    </w:p>
    <w:p w14:paraId="09F61AD4" w14:textId="77777777" w:rsidR="00812859" w:rsidRPr="000E50F1" w:rsidRDefault="00812859" w:rsidP="00812859">
      <w:pPr>
        <w:tabs>
          <w:tab w:val="left" w:pos="6711"/>
        </w:tabs>
        <w:ind w:left="567" w:right="571"/>
        <w:rPr>
          <w:rFonts w:ascii="Times" w:hAnsi="Times" w:cs="Arial"/>
          <w:bCs/>
          <w:lang w:val="en-US"/>
        </w:rPr>
      </w:pPr>
      <w:r w:rsidRPr="000E50F1">
        <w:rPr>
          <w:rFonts w:ascii="Times" w:hAnsi="Times" w:cs="Arial"/>
          <w:bCs/>
          <w:lang w:val="en-US"/>
        </w:rPr>
        <w:t xml:space="preserve">They will tell you if they need help if they want the further step to be taken so they will tell you if they want it. We have informed them about COAST and the crisis help line in general… because it is important for newcomers to know about those services…if the student is aware of the service that is in the community, and if they feel that they are very close to get to a situation where they need support, they will come. But if they don’t want any further steps to be taken, they won’t come. For example, I had a student that said, ‘my mom in planning to commit suicide’. She knew that I would call COAST. She knew. It’s by law. I needed to…she wanted me to call. She wasn’t </w:t>
      </w:r>
      <w:r w:rsidRPr="000E50F1">
        <w:rPr>
          <w:rFonts w:ascii="Times" w:hAnsi="Times" w:cs="Arial"/>
          <w:bCs/>
          <w:lang w:val="en-US"/>
        </w:rPr>
        <w:lastRenderedPageBreak/>
        <w:t>able to make that phone call herself…So they will come if they know something and they want something to be done... -P6</w:t>
      </w:r>
    </w:p>
    <w:p w14:paraId="416FE433" w14:textId="77777777" w:rsidR="00812859" w:rsidRPr="000E50F1" w:rsidRDefault="00812859" w:rsidP="00812859">
      <w:pPr>
        <w:ind w:right="855"/>
        <w:rPr>
          <w:rFonts w:ascii="Times" w:hAnsi="Times" w:cs="Arial"/>
          <w:bCs/>
          <w:lang w:val="en-US"/>
        </w:rPr>
      </w:pPr>
    </w:p>
    <w:p w14:paraId="7DB50DB0" w14:textId="1D4AE1A2" w:rsidR="009E6096" w:rsidRPr="000E50F1" w:rsidRDefault="00812859" w:rsidP="00812859">
      <w:pPr>
        <w:rPr>
          <w:rFonts w:ascii="Times" w:hAnsi="Times" w:cs="Arial"/>
          <w:bCs/>
          <w:lang w:val="en-US"/>
        </w:rPr>
      </w:pPr>
      <w:r w:rsidRPr="000E50F1">
        <w:rPr>
          <w:rFonts w:ascii="Times" w:hAnsi="Times" w:cs="Arial"/>
          <w:bCs/>
          <w:lang w:val="en-US"/>
        </w:rPr>
        <w:t>By connecting barriers to engagement in MHP to individual-level constraints (</w:t>
      </w:r>
      <w:r w:rsidR="00FF51A9" w:rsidRPr="000E50F1">
        <w:rPr>
          <w:rFonts w:ascii="Times" w:hAnsi="Times" w:cs="Arial"/>
          <w:bCs/>
          <w:lang w:val="en-US"/>
        </w:rPr>
        <w:t>e.g.,</w:t>
      </w:r>
      <w:r w:rsidRPr="000E50F1">
        <w:rPr>
          <w:rFonts w:ascii="Times" w:hAnsi="Times" w:cs="Arial"/>
          <w:bCs/>
          <w:lang w:val="en-US"/>
        </w:rPr>
        <w:t xml:space="preserve"> religious beliefs, sociocultural norms, personal-stigma) many SWIS </w:t>
      </w:r>
      <w:r w:rsidR="00433B21" w:rsidRPr="000E50F1">
        <w:rPr>
          <w:rFonts w:ascii="Times" w:hAnsi="Times" w:cs="Arial"/>
          <w:bCs/>
          <w:lang w:val="en-US"/>
        </w:rPr>
        <w:t xml:space="preserve">workers </w:t>
      </w:r>
      <w:r w:rsidRPr="000E50F1">
        <w:rPr>
          <w:rFonts w:ascii="Times" w:hAnsi="Times" w:cs="Arial"/>
          <w:bCs/>
          <w:lang w:val="en-US"/>
        </w:rPr>
        <w:t xml:space="preserve">employed strategies to promote safety in MHP participation that included framing mental health from a settlement trajectory, avoiding the word “mental”, focusing on well-being and integration, building trust between students by using written contracts, etc. These strategies enabled students to successfully participate in MHP and gain health literacy as a result. Additionally, encouraging student autonomy in MHP was vital in helping immigrant students to challenge socially unaccepted and </w:t>
      </w:r>
      <w:r w:rsidRPr="000E50F1">
        <w:rPr>
          <w:rFonts w:ascii="Times" w:hAnsi="Times" w:cs="Arial"/>
          <w:bCs/>
        </w:rPr>
        <w:t>countercultural</w:t>
      </w:r>
      <w:r w:rsidRPr="000E50F1">
        <w:rPr>
          <w:rFonts w:ascii="Times" w:hAnsi="Times" w:cs="Arial"/>
          <w:bCs/>
          <w:lang w:val="en-US"/>
        </w:rPr>
        <w:t xml:space="preserve"> behaviours in MHP.</w:t>
      </w:r>
    </w:p>
    <w:p w14:paraId="53772D6E" w14:textId="77777777" w:rsidR="00056F37" w:rsidRPr="000E50F1" w:rsidRDefault="00056F37" w:rsidP="00812859">
      <w:pPr>
        <w:rPr>
          <w:rFonts w:ascii="Times" w:hAnsi="Times" w:cs="Arial"/>
          <w:b/>
          <w:i/>
          <w:lang w:val="en-US"/>
        </w:rPr>
      </w:pPr>
    </w:p>
    <w:p w14:paraId="255EEF1B" w14:textId="57B4F065" w:rsidR="00812859" w:rsidRPr="000E50F1" w:rsidRDefault="00812859" w:rsidP="00812859">
      <w:pPr>
        <w:rPr>
          <w:rFonts w:ascii="Times" w:hAnsi="Times" w:cs="Arial"/>
          <w:b/>
          <w:i/>
          <w:lang w:val="en-US"/>
        </w:rPr>
      </w:pPr>
      <w:r w:rsidRPr="000E50F1">
        <w:rPr>
          <w:rFonts w:ascii="Times" w:hAnsi="Times" w:cs="Arial"/>
          <w:b/>
          <w:i/>
          <w:lang w:val="en-US"/>
        </w:rPr>
        <w:t xml:space="preserve">Interpersonal-level Barriers in Mental Health Promotion </w:t>
      </w:r>
    </w:p>
    <w:p w14:paraId="4607A671" w14:textId="344BFD81" w:rsidR="00812859" w:rsidRPr="000E50F1" w:rsidRDefault="00812859" w:rsidP="00812859">
      <w:pPr>
        <w:tabs>
          <w:tab w:val="left" w:pos="3690"/>
          <w:tab w:val="left" w:pos="5220"/>
          <w:tab w:val="left" w:pos="6840"/>
          <w:tab w:val="left" w:pos="6930"/>
          <w:tab w:val="left" w:pos="8190"/>
        </w:tabs>
        <w:rPr>
          <w:rFonts w:ascii="Times" w:hAnsi="Times" w:cs="Arial"/>
          <w:bCs/>
        </w:rPr>
      </w:pPr>
      <w:r w:rsidRPr="000E50F1">
        <w:rPr>
          <w:rFonts w:ascii="Times" w:hAnsi="Times" w:cs="Arial"/>
          <w:bCs/>
        </w:rPr>
        <w:t>The need to help students locate and access resources in the community was a vital next step, which was an important role of any SWIS. Many SWIS</w:t>
      </w:r>
      <w:r w:rsidR="00433B21" w:rsidRPr="000E50F1">
        <w:rPr>
          <w:rFonts w:ascii="Times" w:hAnsi="Times" w:cs="Arial"/>
          <w:bCs/>
        </w:rPr>
        <w:t xml:space="preserve"> workers</w:t>
      </w:r>
      <w:r w:rsidRPr="000E50F1">
        <w:rPr>
          <w:rFonts w:ascii="Times" w:hAnsi="Times" w:cs="Arial"/>
          <w:bCs/>
        </w:rPr>
        <w:t xml:space="preserve"> explained that students were hesitant to access support citing geographical distance from school to service location as a barrier in students accessing support, “if it’s too far the students won’t go; if they have to take a bus, it’s too far” (P7). Other factors centred on students’ fear of family and friends finding out about their access to, or use of, mental health services. The aim to bridge students to services led SWIS</w:t>
      </w:r>
      <w:r w:rsidR="00DE3330" w:rsidRPr="000E50F1">
        <w:rPr>
          <w:rFonts w:ascii="Times" w:hAnsi="Times" w:cs="Arial"/>
          <w:bCs/>
        </w:rPr>
        <w:t xml:space="preserve"> workers</w:t>
      </w:r>
      <w:r w:rsidRPr="000E50F1">
        <w:rPr>
          <w:rFonts w:ascii="Times" w:hAnsi="Times" w:cs="Arial"/>
          <w:bCs/>
        </w:rPr>
        <w:t xml:space="preserve"> to bring services into schools to mitigate the risk of student</w:t>
      </w:r>
      <w:r w:rsidR="001752C0" w:rsidRPr="000E50F1">
        <w:rPr>
          <w:rFonts w:ascii="Times" w:hAnsi="Times" w:cs="Arial"/>
          <w:bCs/>
        </w:rPr>
        <w:t>s</w:t>
      </w:r>
      <w:r w:rsidRPr="000E50F1">
        <w:rPr>
          <w:rFonts w:ascii="Times" w:hAnsi="Times" w:cs="Arial"/>
          <w:bCs/>
        </w:rPr>
        <w:t xml:space="preserve"> being seen in accessing help. A plan was initiated by SWIS </w:t>
      </w:r>
      <w:r w:rsidR="00DE3330" w:rsidRPr="000E50F1">
        <w:rPr>
          <w:rFonts w:ascii="Times" w:hAnsi="Times" w:cs="Arial"/>
          <w:bCs/>
        </w:rPr>
        <w:t xml:space="preserve">workers </w:t>
      </w:r>
      <w:r w:rsidRPr="000E50F1">
        <w:rPr>
          <w:rFonts w:ascii="Times" w:hAnsi="Times" w:cs="Arial"/>
          <w:bCs/>
        </w:rPr>
        <w:t xml:space="preserve">to bring a registered psychotherapist from </w:t>
      </w:r>
      <w:r w:rsidR="00DB0E27" w:rsidRPr="000E50F1">
        <w:rPr>
          <w:rFonts w:ascii="Times" w:hAnsi="Times" w:cs="Arial"/>
          <w:bCs/>
        </w:rPr>
        <w:t>OASIS</w:t>
      </w:r>
      <w:r w:rsidRPr="000E50F1">
        <w:rPr>
          <w:rFonts w:ascii="Times" w:hAnsi="Times" w:cs="Arial"/>
          <w:bCs/>
        </w:rPr>
        <w:t xml:space="preserve"> into schools weekly to help students access counselling on campus. By bringing the services to schools, this allowed </w:t>
      </w:r>
      <w:r w:rsidR="00DB0E27" w:rsidRPr="000E50F1">
        <w:rPr>
          <w:rFonts w:ascii="Times" w:hAnsi="Times" w:cs="Arial"/>
          <w:bCs/>
        </w:rPr>
        <w:t xml:space="preserve">OASIS </w:t>
      </w:r>
      <w:r w:rsidRPr="000E50F1">
        <w:rPr>
          <w:rFonts w:ascii="Times" w:hAnsi="Times" w:cs="Arial"/>
          <w:bCs/>
        </w:rPr>
        <w:t>to bring free screening, assessment, and counseling supports to students; however, concerns were later raised about students being seen on onsite accessing support:</w:t>
      </w:r>
    </w:p>
    <w:p w14:paraId="2E890967" w14:textId="77777777" w:rsidR="00812859" w:rsidRPr="000E50F1" w:rsidRDefault="00812859" w:rsidP="00812859">
      <w:pPr>
        <w:rPr>
          <w:rFonts w:ascii="Times" w:hAnsi="Times" w:cs="Arial"/>
          <w:bCs/>
        </w:rPr>
      </w:pPr>
    </w:p>
    <w:p w14:paraId="5A3A91C7" w14:textId="0ADB3CCB" w:rsidR="00812859" w:rsidRPr="000E50F1" w:rsidRDefault="00812859" w:rsidP="00812859">
      <w:pPr>
        <w:ind w:left="567" w:right="571"/>
        <w:rPr>
          <w:rFonts w:ascii="Times" w:hAnsi="Times" w:cs="Arial"/>
          <w:bCs/>
        </w:rPr>
      </w:pPr>
      <w:r w:rsidRPr="000E50F1">
        <w:rPr>
          <w:rFonts w:ascii="Times" w:hAnsi="Times" w:cs="Arial"/>
          <w:bCs/>
        </w:rPr>
        <w:t xml:space="preserve">…she didn’t want her parents to know…her parents where very controlling and they wouldn’t let her do anything or take part in any sports because I guess they didn’t want her to get involved with the wrong crowd. They were very protective. And the working hours of </w:t>
      </w:r>
      <w:r w:rsidR="00DB0E27" w:rsidRPr="000E50F1">
        <w:rPr>
          <w:rFonts w:ascii="Times" w:hAnsi="Times" w:cs="Arial"/>
          <w:bCs/>
        </w:rPr>
        <w:t xml:space="preserve">OASIS </w:t>
      </w:r>
      <w:r w:rsidRPr="000E50F1">
        <w:rPr>
          <w:rFonts w:ascii="Times" w:hAnsi="Times" w:cs="Arial"/>
          <w:bCs/>
        </w:rPr>
        <w:t>just didn’t suit her so I called and I asked if it was just possible for her to just come to the school and [the therapist] had never done that before… P1</w:t>
      </w:r>
    </w:p>
    <w:p w14:paraId="13F76593" w14:textId="77777777" w:rsidR="00812859" w:rsidRPr="000E50F1" w:rsidRDefault="00812859" w:rsidP="00812859">
      <w:pPr>
        <w:ind w:right="571"/>
        <w:rPr>
          <w:rFonts w:ascii="Times" w:hAnsi="Times" w:cs="Arial"/>
          <w:bCs/>
        </w:rPr>
      </w:pPr>
    </w:p>
    <w:p w14:paraId="1500698F" w14:textId="77777777" w:rsidR="00812859" w:rsidRPr="000E50F1" w:rsidRDefault="00812859" w:rsidP="00812859">
      <w:pPr>
        <w:ind w:left="567" w:right="571"/>
        <w:rPr>
          <w:rFonts w:ascii="Times" w:hAnsi="Times" w:cs="Arial"/>
          <w:bCs/>
          <w:lang w:val="en-US"/>
        </w:rPr>
      </w:pPr>
      <w:r w:rsidRPr="000E50F1">
        <w:rPr>
          <w:rFonts w:ascii="Times" w:hAnsi="Times" w:cs="Arial"/>
          <w:bCs/>
        </w:rPr>
        <w:t>…especially because</w:t>
      </w:r>
      <w:r w:rsidRPr="000E50F1">
        <w:rPr>
          <w:rFonts w:ascii="Times" w:hAnsi="Times" w:cs="Arial"/>
          <w:bCs/>
          <w:lang w:val="en-US"/>
        </w:rPr>
        <w:t xml:space="preserve"> a lot of them don’t want other people knowing that they are taking therapy…they don’t want any of their peers to know and they definitely don’t want any of their family members to know. And this girl actually had a sister that was also at the school so she was very adamant about her sister not knowing because if her sister found out about it, then her parents would find out about it, and her parents would say that she is telling everybody their business at </w:t>
      </w:r>
      <w:r w:rsidRPr="000E50F1">
        <w:rPr>
          <w:rFonts w:ascii="Times" w:hAnsi="Times" w:cs="Arial"/>
          <w:bCs/>
          <w:lang w:val="en-US"/>
        </w:rPr>
        <w:lastRenderedPageBreak/>
        <w:t>home. Because what you do at home is private and even though that may be affecting your mental health, it might be creating an issue. She was very scared that somebody would find out about that. -P1</w:t>
      </w:r>
    </w:p>
    <w:p w14:paraId="4BDE4C6B" w14:textId="77777777" w:rsidR="00812859" w:rsidRPr="000E50F1" w:rsidRDefault="00812859" w:rsidP="00812859">
      <w:pPr>
        <w:tabs>
          <w:tab w:val="left" w:pos="3690"/>
          <w:tab w:val="left" w:pos="5220"/>
          <w:tab w:val="left" w:pos="6840"/>
          <w:tab w:val="left" w:pos="6930"/>
          <w:tab w:val="left" w:pos="8190"/>
        </w:tabs>
        <w:rPr>
          <w:rFonts w:ascii="Times" w:hAnsi="Times" w:cs="Arial"/>
          <w:bCs/>
          <w:lang w:val="en-US"/>
        </w:rPr>
      </w:pPr>
    </w:p>
    <w:p w14:paraId="2A268AED" w14:textId="24B27DB5" w:rsidR="00812859" w:rsidRPr="000E50F1" w:rsidRDefault="00812859" w:rsidP="00812859">
      <w:pPr>
        <w:tabs>
          <w:tab w:val="left" w:pos="3690"/>
          <w:tab w:val="left" w:pos="5220"/>
          <w:tab w:val="left" w:pos="6840"/>
          <w:tab w:val="left" w:pos="6930"/>
          <w:tab w:val="left" w:pos="8190"/>
        </w:tabs>
        <w:rPr>
          <w:rFonts w:ascii="Times" w:hAnsi="Times" w:cs="Arial"/>
          <w:bCs/>
          <w:lang w:val="en-US"/>
        </w:rPr>
      </w:pPr>
      <w:r w:rsidRPr="000E50F1">
        <w:rPr>
          <w:rFonts w:ascii="Times" w:hAnsi="Times" w:cs="Arial"/>
          <w:bCs/>
          <w:lang w:val="en-US"/>
        </w:rPr>
        <w:t xml:space="preserve">Students feared the possibility of friends or siblings finding out about their use of mental health services at schools. Reducing stigma for students accessing care was linked to issues of safety and privacy. Further steps to increase safety and privacy for students included SWIS </w:t>
      </w:r>
      <w:r w:rsidR="00DE3330" w:rsidRPr="000E50F1">
        <w:rPr>
          <w:rFonts w:ascii="Times" w:hAnsi="Times" w:cs="Arial"/>
          <w:bCs/>
          <w:lang w:val="en-US"/>
        </w:rPr>
        <w:t xml:space="preserve">workers </w:t>
      </w:r>
      <w:r w:rsidRPr="000E50F1">
        <w:rPr>
          <w:rFonts w:ascii="Times" w:hAnsi="Times" w:cs="Arial"/>
          <w:bCs/>
          <w:lang w:val="en-US"/>
        </w:rPr>
        <w:t>arranging meetings between students and therapists in the guidance counsellor’s office, arranging therapy sessions to take place in the vice-principal’s office, and scheduling appointments during a student’s spare class. These strategies helped students avoid run-ins with their peers and/or sibling(s):</w:t>
      </w:r>
    </w:p>
    <w:p w14:paraId="23AC68B6" w14:textId="77777777" w:rsidR="00812859" w:rsidRPr="000E50F1" w:rsidRDefault="00812859" w:rsidP="00812859">
      <w:pPr>
        <w:tabs>
          <w:tab w:val="left" w:pos="3690"/>
          <w:tab w:val="left" w:pos="5220"/>
          <w:tab w:val="left" w:pos="6840"/>
          <w:tab w:val="left" w:pos="6930"/>
          <w:tab w:val="left" w:pos="8190"/>
        </w:tabs>
        <w:ind w:right="571"/>
        <w:rPr>
          <w:rFonts w:ascii="Times" w:hAnsi="Times" w:cs="Arial"/>
          <w:bCs/>
        </w:rPr>
      </w:pPr>
    </w:p>
    <w:p w14:paraId="2839D3F4" w14:textId="3DD14F83" w:rsidR="00812859" w:rsidRPr="000E50F1" w:rsidRDefault="00812859" w:rsidP="00812859">
      <w:pPr>
        <w:tabs>
          <w:tab w:val="left" w:pos="3690"/>
          <w:tab w:val="left" w:pos="5220"/>
          <w:tab w:val="left" w:pos="6840"/>
          <w:tab w:val="left" w:pos="6930"/>
          <w:tab w:val="left" w:pos="8190"/>
        </w:tabs>
        <w:ind w:left="567" w:right="571"/>
        <w:rPr>
          <w:rFonts w:ascii="Times" w:hAnsi="Times" w:cs="Arial"/>
          <w:bCs/>
          <w:lang w:val="en-US"/>
        </w:rPr>
      </w:pPr>
      <w:r w:rsidRPr="000E50F1">
        <w:rPr>
          <w:rFonts w:ascii="Times" w:hAnsi="Times" w:cs="Arial"/>
          <w:bCs/>
        </w:rPr>
        <w:t xml:space="preserve">We need to create the positive environment. It’s always that stigma. I find that even in the high </w:t>
      </w:r>
      <w:r w:rsidR="00161935" w:rsidRPr="000E50F1">
        <w:rPr>
          <w:rFonts w:ascii="Times" w:hAnsi="Times" w:cs="Arial"/>
          <w:bCs/>
        </w:rPr>
        <w:t xml:space="preserve">[secondary] </w:t>
      </w:r>
      <w:r w:rsidRPr="000E50F1">
        <w:rPr>
          <w:rFonts w:ascii="Times" w:hAnsi="Times" w:cs="Arial"/>
          <w:bCs/>
        </w:rPr>
        <w:t>school, if the students say, ‘I want to see the nurse, and I want to talk about something’ their friends would say, ‘why do you need to see the nurse? What’s wrong with you?’ I’ve heard students say that in their group, ‘what’s wrong with you?’ Again, in the group I would always say, ‘okay, it’s private, maybe she needs to talk to the nurse about something that she doesn’t want to share’. -P4</w:t>
      </w:r>
    </w:p>
    <w:p w14:paraId="4D84F635" w14:textId="77777777" w:rsidR="00812859" w:rsidRPr="000E50F1" w:rsidRDefault="00812859" w:rsidP="00812859">
      <w:pPr>
        <w:rPr>
          <w:rFonts w:ascii="Times" w:hAnsi="Times" w:cs="Arial"/>
          <w:bCs/>
          <w:lang w:val="en-US"/>
        </w:rPr>
      </w:pPr>
    </w:p>
    <w:p w14:paraId="00E61C6F" w14:textId="43B15173" w:rsidR="00812859" w:rsidRPr="000E50F1" w:rsidRDefault="00812859" w:rsidP="00812859">
      <w:pPr>
        <w:rPr>
          <w:rFonts w:ascii="Times" w:hAnsi="Times" w:cs="Arial"/>
          <w:bCs/>
          <w:lang w:val="en-US"/>
        </w:rPr>
      </w:pPr>
      <w:r w:rsidRPr="000E50F1">
        <w:rPr>
          <w:rFonts w:ascii="Times" w:hAnsi="Times" w:cs="Arial"/>
          <w:bCs/>
          <w:lang w:val="en-US"/>
        </w:rPr>
        <w:t xml:space="preserve">Most SWIS </w:t>
      </w:r>
      <w:r w:rsidR="00DE3330" w:rsidRPr="000E50F1">
        <w:rPr>
          <w:rFonts w:ascii="Times" w:hAnsi="Times" w:cs="Arial"/>
          <w:bCs/>
          <w:lang w:val="en-US"/>
        </w:rPr>
        <w:t xml:space="preserve">workers </w:t>
      </w:r>
      <w:r w:rsidRPr="000E50F1">
        <w:rPr>
          <w:rFonts w:ascii="Times" w:hAnsi="Times" w:cs="Arial"/>
          <w:bCs/>
          <w:lang w:val="en-US"/>
        </w:rPr>
        <w:t xml:space="preserve">also stated that obtaining parental/guardian consent was a major obstacle in getting students to services, particularly for those 16 and under with parents who were opposed to students accessing mental health services. Given these challenges, SWIS </w:t>
      </w:r>
      <w:r w:rsidR="00DE3330" w:rsidRPr="000E50F1">
        <w:rPr>
          <w:rFonts w:ascii="Times" w:hAnsi="Times" w:cs="Arial"/>
          <w:bCs/>
          <w:lang w:val="en-US"/>
        </w:rPr>
        <w:t xml:space="preserve">workers </w:t>
      </w:r>
      <w:r w:rsidRPr="000E50F1">
        <w:rPr>
          <w:rFonts w:ascii="Times" w:hAnsi="Times" w:cs="Arial"/>
          <w:bCs/>
          <w:lang w:val="en-US"/>
        </w:rPr>
        <w:t xml:space="preserve">helped to advocate for the school administration to adopted </w:t>
      </w:r>
      <w:r w:rsidR="00DB0E27" w:rsidRPr="000E50F1">
        <w:rPr>
          <w:rFonts w:ascii="Times" w:hAnsi="Times" w:cs="Arial"/>
          <w:bCs/>
          <w:lang w:val="en-US"/>
        </w:rPr>
        <w:t>OASIS’s</w:t>
      </w:r>
      <w:r w:rsidRPr="000E50F1">
        <w:rPr>
          <w:rFonts w:ascii="Times" w:hAnsi="Times" w:cs="Arial"/>
          <w:bCs/>
          <w:lang w:val="en-US"/>
        </w:rPr>
        <w:t xml:space="preserve"> age of consent (</w:t>
      </w:r>
      <w:r w:rsidR="00FF51A9" w:rsidRPr="000E50F1">
        <w:rPr>
          <w:rFonts w:ascii="Times" w:hAnsi="Times" w:cs="Arial"/>
          <w:bCs/>
          <w:lang w:val="en-US"/>
        </w:rPr>
        <w:t>i.e.,</w:t>
      </w:r>
      <w:r w:rsidRPr="000E50F1">
        <w:rPr>
          <w:rFonts w:ascii="Times" w:hAnsi="Times" w:cs="Arial"/>
          <w:bCs/>
          <w:lang w:val="en-US"/>
        </w:rPr>
        <w:t xml:space="preserve"> 12 and older) to allow students to make the decision to access services on their own. In spite of the strategy to increase health agency for students, family structure remained critical in some cases and not having family approval deterred some students from accessing support:  </w:t>
      </w:r>
    </w:p>
    <w:p w14:paraId="16DD8540" w14:textId="77777777" w:rsidR="00812859" w:rsidRPr="000E50F1" w:rsidRDefault="00812859" w:rsidP="00812859">
      <w:pPr>
        <w:rPr>
          <w:rFonts w:ascii="Times" w:hAnsi="Times" w:cs="Arial"/>
          <w:bCs/>
          <w:lang w:val="en-US"/>
        </w:rPr>
      </w:pPr>
    </w:p>
    <w:p w14:paraId="4B4DA132" w14:textId="77777777" w:rsidR="00812859" w:rsidRPr="000E50F1" w:rsidRDefault="00812859" w:rsidP="00812859">
      <w:pPr>
        <w:ind w:left="567" w:right="571"/>
        <w:rPr>
          <w:rFonts w:ascii="Times" w:hAnsi="Times" w:cs="Arial"/>
          <w:bCs/>
          <w:lang w:val="en-US"/>
        </w:rPr>
      </w:pPr>
      <w:r w:rsidRPr="000E50F1">
        <w:rPr>
          <w:rFonts w:ascii="Times" w:hAnsi="Times" w:cs="Arial"/>
          <w:bCs/>
          <w:lang w:val="en-US"/>
        </w:rPr>
        <w:t>…We had a girl from Burma and she lives with stepparents…she is 21 though…there were issues so we booked an appointment but these parents wouldn’t go and she never signed the form because she was so scared of them.  We couldn’t do anything... And she just disappeared…It’s not all a success story. It’s hard convincing people that we are their friends and we can help. -P2</w:t>
      </w:r>
    </w:p>
    <w:p w14:paraId="7C2DE24D" w14:textId="77777777" w:rsidR="00812859" w:rsidRPr="000E50F1" w:rsidRDefault="00812859" w:rsidP="00812859">
      <w:pPr>
        <w:ind w:right="571"/>
        <w:rPr>
          <w:rFonts w:ascii="Times" w:hAnsi="Times" w:cs="Arial"/>
          <w:bCs/>
          <w:lang w:val="en-US"/>
        </w:rPr>
      </w:pPr>
    </w:p>
    <w:p w14:paraId="074F921F" w14:textId="7C111E4B" w:rsidR="00812859" w:rsidRPr="000E50F1" w:rsidRDefault="00812859" w:rsidP="00812859">
      <w:pPr>
        <w:ind w:right="4"/>
        <w:rPr>
          <w:rFonts w:ascii="Times" w:hAnsi="Times" w:cs="Arial"/>
          <w:bCs/>
          <w:lang w:val="en-US"/>
        </w:rPr>
      </w:pPr>
      <w:r w:rsidRPr="000E50F1">
        <w:rPr>
          <w:rFonts w:ascii="Times" w:hAnsi="Times" w:cs="Arial"/>
          <w:bCs/>
          <w:lang w:val="en-US"/>
        </w:rPr>
        <w:t>Promoting health literacy for families was an important strategy for SWIS</w:t>
      </w:r>
      <w:r w:rsidR="00DE3330" w:rsidRPr="000E50F1">
        <w:rPr>
          <w:rFonts w:ascii="Times" w:hAnsi="Times" w:cs="Arial"/>
          <w:bCs/>
          <w:lang w:val="en-US"/>
        </w:rPr>
        <w:t xml:space="preserve"> workers</w:t>
      </w:r>
      <w:r w:rsidRPr="000E50F1">
        <w:rPr>
          <w:rFonts w:ascii="Times" w:hAnsi="Times" w:cs="Arial"/>
          <w:bCs/>
          <w:lang w:val="en-US"/>
        </w:rPr>
        <w:t xml:space="preserve"> to gain family support in students’ access. This required SWIS </w:t>
      </w:r>
      <w:r w:rsidR="00DE3330" w:rsidRPr="000E50F1">
        <w:rPr>
          <w:rFonts w:ascii="Times" w:hAnsi="Times" w:cs="Arial"/>
          <w:bCs/>
          <w:lang w:val="en-US"/>
        </w:rPr>
        <w:t xml:space="preserve">workers </w:t>
      </w:r>
      <w:r w:rsidRPr="000E50F1">
        <w:rPr>
          <w:rFonts w:ascii="Times" w:hAnsi="Times" w:cs="Arial"/>
          <w:bCs/>
          <w:lang w:val="en-US"/>
        </w:rPr>
        <w:t xml:space="preserve">to also engage and educate families about mental health-related issues. Helping families to gain health literacy also coincided with creating a network of supporting students in both the home and school environment: </w:t>
      </w:r>
    </w:p>
    <w:p w14:paraId="12A56357" w14:textId="77777777" w:rsidR="00812859" w:rsidRPr="000E50F1" w:rsidRDefault="00812859" w:rsidP="00812859">
      <w:pPr>
        <w:ind w:right="4"/>
        <w:rPr>
          <w:rFonts w:ascii="Times" w:hAnsi="Times" w:cs="Arial"/>
          <w:bCs/>
          <w:lang w:val="en-US"/>
        </w:rPr>
      </w:pPr>
    </w:p>
    <w:p w14:paraId="61CAEB64" w14:textId="25DB037D" w:rsidR="00812859" w:rsidRPr="000E50F1" w:rsidRDefault="00812859" w:rsidP="00EA74C0">
      <w:pPr>
        <w:ind w:left="567" w:right="571"/>
        <w:rPr>
          <w:rFonts w:ascii="Times" w:hAnsi="Times" w:cs="Arial"/>
          <w:bCs/>
        </w:rPr>
      </w:pPr>
      <w:r w:rsidRPr="000E50F1">
        <w:rPr>
          <w:rFonts w:ascii="Times" w:hAnsi="Times" w:cs="Arial"/>
          <w:bCs/>
        </w:rPr>
        <w:t>…her dad couldn’t figure out what was bringing these reactions on…he says, ‘she is happy at home. I see a totally different girl. When you guys call home from school and say, your child has been taken to the hospital in an ambulance, I don’t understand it…when I pick her up, she is happy…if I had seen it, I would have asked for help but I don’t see it!’ It’s kind of hard for him to understand and grasp the idea that something is there and even if she is not showing it at home…she has been bottling it up and there was some bullying issues there too so it triggered it and he couldn’t understand…she experienced a nervous breakdown…It was challenging but we were able to work through it and were able to get some help and they were able to do some counselling together and learn about what it is and learn about some of the things that bring it on. -P3</w:t>
      </w:r>
    </w:p>
    <w:p w14:paraId="5E219146" w14:textId="77777777" w:rsidR="009E6096" w:rsidRPr="000E50F1" w:rsidRDefault="009E6096" w:rsidP="00EA74C0">
      <w:pPr>
        <w:ind w:left="567" w:right="571"/>
        <w:rPr>
          <w:rFonts w:ascii="Times" w:hAnsi="Times" w:cs="Arial"/>
          <w:bCs/>
        </w:rPr>
      </w:pPr>
    </w:p>
    <w:p w14:paraId="40B552FD" w14:textId="575BF577" w:rsidR="00812859" w:rsidRPr="000E50F1" w:rsidRDefault="00812859" w:rsidP="00812859">
      <w:pPr>
        <w:ind w:right="4"/>
        <w:rPr>
          <w:rFonts w:ascii="Times" w:hAnsi="Times" w:cs="Arial"/>
          <w:bCs/>
          <w:lang w:val="en-US"/>
        </w:rPr>
      </w:pPr>
      <w:r w:rsidRPr="000E50F1">
        <w:rPr>
          <w:rFonts w:ascii="Times" w:hAnsi="Times" w:cs="Arial"/>
          <w:bCs/>
          <w:lang w:val="en-US"/>
        </w:rPr>
        <w:t xml:space="preserve">Helping students to feel safe and not isolated in treatment by encouraging families to participate in student care was critical to both the SWIS program and </w:t>
      </w:r>
      <w:r w:rsidR="00C122B5" w:rsidRPr="000E50F1">
        <w:rPr>
          <w:rFonts w:ascii="Times" w:hAnsi="Times" w:cs="Arial"/>
          <w:bCs/>
          <w:lang w:val="en-US"/>
        </w:rPr>
        <w:t>OASIS</w:t>
      </w:r>
      <w:r w:rsidRPr="000E50F1">
        <w:rPr>
          <w:rFonts w:ascii="Times" w:hAnsi="Times" w:cs="Arial"/>
          <w:bCs/>
          <w:lang w:val="en-US"/>
        </w:rPr>
        <w:t xml:space="preserve">. As part of </w:t>
      </w:r>
      <w:r w:rsidR="00C122B5" w:rsidRPr="000E50F1">
        <w:rPr>
          <w:rFonts w:ascii="Times" w:hAnsi="Times" w:cs="Arial"/>
          <w:bCs/>
          <w:lang w:val="en-US"/>
        </w:rPr>
        <w:t>OASIS</w:t>
      </w:r>
      <w:r w:rsidRPr="000E50F1">
        <w:rPr>
          <w:rFonts w:ascii="Times" w:hAnsi="Times" w:cs="Arial"/>
          <w:bCs/>
          <w:lang w:val="en-US"/>
        </w:rPr>
        <w:t xml:space="preserve"> holistic approach to student therapy, psychosocial education was also offered to families with youth in care:</w:t>
      </w:r>
    </w:p>
    <w:p w14:paraId="073D90D3" w14:textId="77777777" w:rsidR="00812859" w:rsidRPr="000E50F1" w:rsidRDefault="00812859" w:rsidP="00812859">
      <w:pPr>
        <w:rPr>
          <w:rFonts w:ascii="Times" w:hAnsi="Times" w:cs="Arial"/>
          <w:bCs/>
          <w:lang w:val="en-US"/>
        </w:rPr>
      </w:pPr>
    </w:p>
    <w:p w14:paraId="5FE9AB1E" w14:textId="77777777" w:rsidR="00812859" w:rsidRPr="000E50F1" w:rsidRDefault="00812859" w:rsidP="00812859">
      <w:pPr>
        <w:ind w:left="567" w:right="571"/>
        <w:rPr>
          <w:rFonts w:ascii="Times" w:hAnsi="Times" w:cs="Arial"/>
          <w:bCs/>
          <w:lang w:val="en-US"/>
        </w:rPr>
      </w:pPr>
      <w:r w:rsidRPr="000E50F1">
        <w:rPr>
          <w:rFonts w:ascii="Times" w:hAnsi="Times" w:cs="Arial"/>
          <w:bCs/>
          <w:lang w:val="en-US"/>
        </w:rPr>
        <w:t>They work with the family and the kids. They’ll meet with kids but when they do counselling, that is always done with the parents and sibling to help the kids not feel isolated. It’s never just the one kid. By involving the other [siblings], its helping them too. There is hidden mental health there and they’re getting help too…it’s a treatment for the whole family so they benefit. -P3</w:t>
      </w:r>
    </w:p>
    <w:p w14:paraId="22568E25" w14:textId="77777777" w:rsidR="00812859" w:rsidRPr="000E50F1" w:rsidRDefault="00812859" w:rsidP="00812859">
      <w:pPr>
        <w:rPr>
          <w:rFonts w:ascii="Times" w:hAnsi="Times" w:cs="Arial"/>
          <w:bCs/>
          <w:lang w:val="en-US"/>
        </w:rPr>
      </w:pPr>
    </w:p>
    <w:p w14:paraId="6D97D8A9" w14:textId="26D8753F" w:rsidR="00812859" w:rsidRPr="000E50F1" w:rsidRDefault="00812859" w:rsidP="00812859">
      <w:pPr>
        <w:ind w:right="4"/>
        <w:rPr>
          <w:rFonts w:ascii="Times" w:hAnsi="Times" w:cs="Arial"/>
          <w:bCs/>
          <w:lang w:val="en-US"/>
        </w:rPr>
      </w:pPr>
      <w:r w:rsidRPr="000E50F1">
        <w:rPr>
          <w:rFonts w:ascii="Times" w:hAnsi="Times" w:cs="Arial"/>
          <w:bCs/>
          <w:lang w:val="en-US"/>
        </w:rPr>
        <w:t>The need to improve privacy in spaces of care was also echoed for families. For many immigrant families, it goes against the social norm to talk to an outsider about their personal challenges. As a result, encouraging families to seek counselling can be difficult when families feel that their personal issues are on display in a public setting:</w:t>
      </w:r>
    </w:p>
    <w:p w14:paraId="755FC693" w14:textId="77777777" w:rsidR="00812859" w:rsidRPr="000E50F1" w:rsidRDefault="00812859" w:rsidP="00812859">
      <w:pPr>
        <w:tabs>
          <w:tab w:val="left" w:pos="3690"/>
          <w:tab w:val="left" w:pos="5220"/>
          <w:tab w:val="left" w:pos="6840"/>
          <w:tab w:val="left" w:pos="6930"/>
          <w:tab w:val="left" w:pos="8190"/>
        </w:tabs>
        <w:rPr>
          <w:rFonts w:ascii="Times" w:hAnsi="Times" w:cs="Arial"/>
          <w:bCs/>
          <w:lang w:val="en-US"/>
        </w:rPr>
      </w:pPr>
    </w:p>
    <w:p w14:paraId="7651E6EA" w14:textId="77777777" w:rsidR="00812859" w:rsidRPr="000E50F1" w:rsidRDefault="00812859" w:rsidP="00812859">
      <w:pPr>
        <w:tabs>
          <w:tab w:val="left" w:pos="3690"/>
          <w:tab w:val="left" w:pos="5220"/>
          <w:tab w:val="left" w:pos="6840"/>
          <w:tab w:val="left" w:pos="6930"/>
          <w:tab w:val="left" w:pos="8190"/>
        </w:tabs>
        <w:ind w:left="567" w:right="571"/>
        <w:rPr>
          <w:rFonts w:ascii="Times" w:hAnsi="Times" w:cs="Arial"/>
          <w:bCs/>
          <w:lang w:val="en-US"/>
        </w:rPr>
      </w:pPr>
      <w:r w:rsidRPr="000E50F1">
        <w:rPr>
          <w:rFonts w:ascii="Times" w:hAnsi="Times" w:cs="Arial"/>
          <w:bCs/>
          <w:lang w:val="en-US"/>
        </w:rPr>
        <w:t>…I’ve tried to say that these office needs to be off to the side because if somebody needs to go then they need to go anonymously…They are things that are very private…Families need more privacy. When a family is coming in for any behavioral issues and stuff, newcomer families feel embarrassed waiting for their turn, because now everyone can see that something is wrong in their upbringing or in their child. I think it should be a little off to the side. I think schools need to invest in that for sure. -P2</w:t>
      </w:r>
    </w:p>
    <w:p w14:paraId="3F14A667" w14:textId="77777777" w:rsidR="00812859" w:rsidRPr="000E50F1" w:rsidRDefault="00812859" w:rsidP="00812859">
      <w:pPr>
        <w:rPr>
          <w:rFonts w:ascii="Times" w:hAnsi="Times" w:cs="Arial"/>
          <w:bCs/>
          <w:lang w:val="en-US"/>
        </w:rPr>
      </w:pPr>
    </w:p>
    <w:p w14:paraId="16409FF4" w14:textId="7B685AE5" w:rsidR="00812859" w:rsidRPr="000E50F1" w:rsidRDefault="00812859" w:rsidP="00812859">
      <w:pPr>
        <w:rPr>
          <w:rFonts w:ascii="Times" w:hAnsi="Times" w:cs="Arial"/>
          <w:bCs/>
          <w:lang w:val="en-US"/>
        </w:rPr>
      </w:pPr>
      <w:r w:rsidRPr="000E50F1">
        <w:rPr>
          <w:rFonts w:ascii="Times" w:hAnsi="Times" w:cs="Arial"/>
          <w:bCs/>
          <w:lang w:val="en-US"/>
        </w:rPr>
        <w:lastRenderedPageBreak/>
        <w:t>Despite the resources available, helping families to accept mental health support can be challenging. SWIS</w:t>
      </w:r>
      <w:r w:rsidR="00DE3330" w:rsidRPr="000E50F1">
        <w:rPr>
          <w:rFonts w:ascii="Times" w:hAnsi="Times" w:cs="Arial"/>
          <w:bCs/>
          <w:lang w:val="en-US"/>
        </w:rPr>
        <w:t xml:space="preserve"> workers</w:t>
      </w:r>
      <w:r w:rsidRPr="000E50F1">
        <w:rPr>
          <w:rFonts w:ascii="Times" w:hAnsi="Times" w:cs="Arial"/>
          <w:bCs/>
          <w:lang w:val="en-US"/>
        </w:rPr>
        <w:t xml:space="preserve"> note that in some circumstances families were very opposed, which sometimes resulted in the refusal to access help: </w:t>
      </w:r>
    </w:p>
    <w:p w14:paraId="484501A5" w14:textId="77777777" w:rsidR="00812859" w:rsidRPr="000E50F1" w:rsidRDefault="00812859" w:rsidP="00812859">
      <w:pPr>
        <w:rPr>
          <w:rFonts w:ascii="Times" w:hAnsi="Times" w:cs="Arial"/>
          <w:bCs/>
          <w:lang w:val="en-US"/>
        </w:rPr>
      </w:pPr>
    </w:p>
    <w:p w14:paraId="1A5D0504" w14:textId="77777777" w:rsidR="00812859" w:rsidRPr="000E50F1" w:rsidRDefault="00812859" w:rsidP="00812859">
      <w:pPr>
        <w:ind w:left="567" w:right="571"/>
        <w:rPr>
          <w:rFonts w:ascii="Times" w:hAnsi="Times" w:cs="Arial"/>
          <w:bCs/>
        </w:rPr>
      </w:pPr>
      <w:r w:rsidRPr="000E50F1">
        <w:rPr>
          <w:rFonts w:ascii="Times" w:hAnsi="Times" w:cs="Arial"/>
          <w:bCs/>
        </w:rPr>
        <w:t>There was one family that refused. With the others, I have seen huge improvements. I see the kids and they are totally different people…With that family, the mom just refused to see that there was an issue…and she didn’t want to accept the fact that there was something there and that her and her kids getting the proper help could have helped them. She said, ‘there is nothing wrong with me’…and there was an appointment set up and she just never showed up. So, I just left it…that mom that refused and didn’t want help, her son was taken away and was place in a group home because of what he was going through. -P3</w:t>
      </w:r>
    </w:p>
    <w:p w14:paraId="7D961768" w14:textId="77777777" w:rsidR="00812859" w:rsidRPr="000E50F1" w:rsidRDefault="00812859" w:rsidP="00812859">
      <w:pPr>
        <w:rPr>
          <w:rFonts w:ascii="Times" w:hAnsi="Times" w:cs="Arial"/>
          <w:bCs/>
          <w:lang w:val="en-US"/>
        </w:rPr>
      </w:pPr>
    </w:p>
    <w:p w14:paraId="020CF063" w14:textId="49932CC4" w:rsidR="00812859" w:rsidRPr="000E50F1" w:rsidRDefault="00812859" w:rsidP="00812859">
      <w:pPr>
        <w:rPr>
          <w:rFonts w:ascii="Times" w:hAnsi="Times" w:cs="Arial"/>
          <w:bCs/>
          <w:lang w:val="en-US"/>
        </w:rPr>
      </w:pPr>
      <w:r w:rsidRPr="000E50F1">
        <w:rPr>
          <w:rFonts w:ascii="Times" w:hAnsi="Times" w:cs="Arial"/>
          <w:bCs/>
          <w:lang w:val="en-US"/>
        </w:rPr>
        <w:t>Framing mental health as positive health can help to reduce the stigma for families and offer support for youth and their families. Similar to students, connecting settlement stresses in MHP was effective (</w:t>
      </w:r>
      <w:r w:rsidR="00FF51A9" w:rsidRPr="000E50F1">
        <w:rPr>
          <w:rFonts w:ascii="Times" w:hAnsi="Times" w:cs="Arial"/>
          <w:bCs/>
          <w:lang w:val="en-US"/>
        </w:rPr>
        <w:t>e.g.,</w:t>
      </w:r>
      <w:r w:rsidRPr="000E50F1">
        <w:rPr>
          <w:rFonts w:ascii="Times" w:hAnsi="Times" w:cs="Arial"/>
          <w:bCs/>
          <w:lang w:val="en-US"/>
        </w:rPr>
        <w:t xml:space="preserve"> trauma, settlement, acculturation, etc.):</w:t>
      </w:r>
    </w:p>
    <w:p w14:paraId="456EC654" w14:textId="77777777" w:rsidR="00812859" w:rsidRPr="000E50F1" w:rsidRDefault="00812859" w:rsidP="00812859">
      <w:pPr>
        <w:rPr>
          <w:rFonts w:ascii="Times" w:hAnsi="Times" w:cs="Arial"/>
          <w:bCs/>
          <w:lang w:val="en-US"/>
        </w:rPr>
      </w:pPr>
    </w:p>
    <w:p w14:paraId="45BB5F7B" w14:textId="77777777" w:rsidR="00812859" w:rsidRPr="000E50F1" w:rsidRDefault="00812859" w:rsidP="00812859">
      <w:pPr>
        <w:tabs>
          <w:tab w:val="left" w:pos="2700"/>
          <w:tab w:val="left" w:pos="4230"/>
          <w:tab w:val="left" w:pos="4860"/>
          <w:tab w:val="left" w:pos="5400"/>
          <w:tab w:val="left" w:pos="6570"/>
        </w:tabs>
        <w:ind w:left="567" w:right="571"/>
        <w:rPr>
          <w:rFonts w:ascii="Times" w:hAnsi="Times" w:cs="Arial"/>
          <w:bCs/>
        </w:rPr>
      </w:pPr>
      <w:r w:rsidRPr="000E50F1">
        <w:rPr>
          <w:rFonts w:ascii="Times" w:hAnsi="Times" w:cs="Arial"/>
          <w:bCs/>
        </w:rPr>
        <w:t>…‘mom was really happy about it because she felt that she didn’t know how to speak to him anymore…in a couple of other instances I called and asked the parent if it was okay that I refer their kids and they said yes. If the students show a lot of withdrawal syndrome, where they don’t want to do anything, they don’t want to do their homework, they don’t want to go anywhere, and they miss a lot of school,  or if there is a lot of regression, or if they don’t want to do anything at home…I would normally call mom and dad and say do you think it will be good for them to take part in this counselling? And for the most part the parents say yes because the parents are also alarmed. -P1</w:t>
      </w:r>
    </w:p>
    <w:p w14:paraId="404ACFCB" w14:textId="77777777" w:rsidR="00812859" w:rsidRPr="000E50F1" w:rsidRDefault="00812859" w:rsidP="00812859">
      <w:pPr>
        <w:ind w:right="571"/>
        <w:rPr>
          <w:rFonts w:ascii="Times" w:hAnsi="Times" w:cs="Arial"/>
          <w:bCs/>
          <w:lang w:val="en-US"/>
        </w:rPr>
      </w:pPr>
    </w:p>
    <w:p w14:paraId="11127DFC" w14:textId="186517FD" w:rsidR="00812859" w:rsidRPr="000E50F1" w:rsidRDefault="00812859" w:rsidP="00812859">
      <w:pPr>
        <w:rPr>
          <w:rFonts w:ascii="Times" w:hAnsi="Times" w:cs="Arial"/>
          <w:b/>
          <w:i/>
          <w:iCs/>
          <w:lang w:val="en-US"/>
        </w:rPr>
      </w:pPr>
      <w:r w:rsidRPr="000E50F1">
        <w:rPr>
          <w:rFonts w:ascii="Times" w:hAnsi="Times" w:cs="Arial"/>
          <w:bCs/>
          <w:lang w:val="en-US"/>
        </w:rPr>
        <w:t xml:space="preserve">Overall, SWIS </w:t>
      </w:r>
      <w:r w:rsidR="00DE3330" w:rsidRPr="000E50F1">
        <w:rPr>
          <w:rFonts w:ascii="Times" w:hAnsi="Times" w:cs="Arial"/>
          <w:bCs/>
          <w:lang w:val="en-US"/>
        </w:rPr>
        <w:t xml:space="preserve">workers </w:t>
      </w:r>
      <w:r w:rsidRPr="000E50F1">
        <w:rPr>
          <w:rFonts w:ascii="Times" w:hAnsi="Times" w:cs="Arial"/>
          <w:bCs/>
          <w:lang w:val="en-US"/>
        </w:rPr>
        <w:t xml:space="preserve">cited low participation when it came to efforts in engaging families in MHP due to stigma and fear of associating with mental health-related issues. Normalizing mental health access was important to get families involved and challenge their ideas when to access and accept mental health support. This required some SWIS </w:t>
      </w:r>
      <w:r w:rsidR="00DE3330" w:rsidRPr="000E50F1">
        <w:rPr>
          <w:rFonts w:ascii="Times" w:hAnsi="Times" w:cs="Arial"/>
          <w:bCs/>
          <w:lang w:val="en-US"/>
        </w:rPr>
        <w:t xml:space="preserve">workers </w:t>
      </w:r>
      <w:r w:rsidRPr="000E50F1">
        <w:rPr>
          <w:rFonts w:ascii="Times" w:hAnsi="Times" w:cs="Arial"/>
          <w:bCs/>
          <w:lang w:val="en-US"/>
        </w:rPr>
        <w:t xml:space="preserve">to be “sneaky” and “half honest” in order to remove some of the stigma associated with mental health: </w:t>
      </w:r>
    </w:p>
    <w:p w14:paraId="0D77DADB" w14:textId="77777777" w:rsidR="00812859" w:rsidRPr="000E50F1" w:rsidRDefault="00812859" w:rsidP="00812859">
      <w:pPr>
        <w:rPr>
          <w:rFonts w:ascii="Times" w:hAnsi="Times" w:cs="Arial"/>
          <w:bCs/>
          <w:lang w:val="en-US"/>
        </w:rPr>
      </w:pPr>
    </w:p>
    <w:p w14:paraId="4A13C0C6" w14:textId="77777777" w:rsidR="00812859" w:rsidRPr="000E50F1" w:rsidRDefault="00812859" w:rsidP="00812859">
      <w:pPr>
        <w:tabs>
          <w:tab w:val="left" w:pos="5220"/>
          <w:tab w:val="left" w:pos="6840"/>
          <w:tab w:val="left" w:pos="6930"/>
        </w:tabs>
        <w:ind w:left="567" w:right="571"/>
        <w:rPr>
          <w:rFonts w:ascii="Times" w:hAnsi="Times" w:cs="Arial"/>
          <w:bCs/>
        </w:rPr>
      </w:pPr>
      <w:r w:rsidRPr="000E50F1">
        <w:rPr>
          <w:rFonts w:ascii="Times" w:hAnsi="Times" w:cs="Arial"/>
          <w:bCs/>
        </w:rPr>
        <w:t xml:space="preserve">…we had a student attempt to commit suicide because she sent her picture and it got abused so we got a police officer…Because in our community the perception is that the police officer has the perfect life…so when he got up and said…‘oh I went to COAST for help’, or ‘I went to the priest for help and counselling’ and ‘I went to McMaster </w:t>
      </w:r>
      <w:r w:rsidRPr="000E50F1">
        <w:rPr>
          <w:rFonts w:ascii="Times" w:hAnsi="Times" w:cs="Arial"/>
          <w:bCs/>
        </w:rPr>
        <w:lastRenderedPageBreak/>
        <w:t>mental health office for help’…if a police officer can knock on these doors, we can as well so it’s about building that connection that we can understand that it’s normal and that it’s okay…we have to be sneaky about it. You just can’t be too up front because the nobody will show up. You just have to be half honest before you outreach and then fully honest at the event itself. Once they come, they do like it and they do come back. -P2</w:t>
      </w:r>
    </w:p>
    <w:p w14:paraId="72D75520" w14:textId="77777777" w:rsidR="00812859" w:rsidRPr="000E50F1" w:rsidRDefault="00812859" w:rsidP="00812859">
      <w:pPr>
        <w:ind w:right="571"/>
        <w:rPr>
          <w:rFonts w:ascii="Times" w:hAnsi="Times" w:cs="Arial"/>
          <w:bCs/>
          <w:lang w:val="en-US"/>
        </w:rPr>
      </w:pPr>
    </w:p>
    <w:p w14:paraId="49E9ADBA" w14:textId="72EA36D7" w:rsidR="00812859" w:rsidRPr="000E50F1" w:rsidRDefault="00812859" w:rsidP="00812859">
      <w:pPr>
        <w:ind w:right="4"/>
        <w:rPr>
          <w:rFonts w:ascii="Times" w:hAnsi="Times" w:cs="Arial"/>
          <w:b/>
          <w:lang w:val="en-US"/>
        </w:rPr>
      </w:pPr>
      <w:r w:rsidRPr="000E50F1">
        <w:rPr>
          <w:rFonts w:ascii="Times" w:hAnsi="Times" w:cs="Arial"/>
          <w:bCs/>
          <w:lang w:val="en-US"/>
        </w:rPr>
        <w:t xml:space="preserve">Helping students navigate the local service system was vital and speaks to the critical role of SWIS </w:t>
      </w:r>
      <w:r w:rsidR="00DE3330" w:rsidRPr="000E50F1">
        <w:rPr>
          <w:rFonts w:ascii="Times" w:hAnsi="Times" w:cs="Arial"/>
          <w:bCs/>
          <w:lang w:val="en-US"/>
        </w:rPr>
        <w:t xml:space="preserve">workers </w:t>
      </w:r>
      <w:r w:rsidRPr="000E50F1">
        <w:rPr>
          <w:rFonts w:ascii="Times" w:hAnsi="Times" w:cs="Arial"/>
          <w:bCs/>
          <w:lang w:val="en-US"/>
        </w:rPr>
        <w:t xml:space="preserve">in bridging newcomers to resources in the community. The outcome of bringing mental health services into schools resulted in the removal of geographical barriers to services for these students. Yet issues of privacy in schools and inter-personal stigma came to the fore with SWIS </w:t>
      </w:r>
      <w:r w:rsidR="00DE3330" w:rsidRPr="000E50F1">
        <w:rPr>
          <w:rFonts w:ascii="Times" w:hAnsi="Times" w:cs="Arial"/>
          <w:bCs/>
          <w:lang w:val="en-US"/>
        </w:rPr>
        <w:t xml:space="preserve">workers </w:t>
      </w:r>
      <w:r w:rsidRPr="000E50F1">
        <w:rPr>
          <w:rFonts w:ascii="Times" w:hAnsi="Times" w:cs="Arial"/>
          <w:bCs/>
          <w:lang w:val="en-US"/>
        </w:rPr>
        <w:t>citing students’ fear in being seen accessing and using mental health services on campus. A multi-prong approach to reduce the impact of interpersonal-stigma resulted in efforts to promote mental health in the boarder community with newcomer families. Strategies to reduce inter-personal stigma for students focused on helping families recognize mental health-related issues, encouraging families to accept and participate in student care, and helping newcomer communities to gain health literacy in mental health.</w:t>
      </w:r>
    </w:p>
    <w:p w14:paraId="24BA9136" w14:textId="77777777" w:rsidR="00812859" w:rsidRPr="000E50F1" w:rsidRDefault="00812859" w:rsidP="00812859">
      <w:pPr>
        <w:ind w:right="855"/>
        <w:rPr>
          <w:rFonts w:ascii="Times" w:hAnsi="Times" w:cs="Arial"/>
          <w:b/>
          <w:lang w:val="en-US"/>
        </w:rPr>
      </w:pPr>
    </w:p>
    <w:p w14:paraId="59F4913D" w14:textId="77777777" w:rsidR="00ED2632" w:rsidRPr="000E50F1" w:rsidRDefault="00812859" w:rsidP="00ED2632">
      <w:pPr>
        <w:ind w:right="855"/>
        <w:rPr>
          <w:rFonts w:ascii="Times" w:hAnsi="Times" w:cs="Arial"/>
          <w:b/>
          <w:i/>
          <w:iCs/>
          <w:lang w:val="en-US"/>
        </w:rPr>
      </w:pPr>
      <w:r w:rsidRPr="000E50F1">
        <w:rPr>
          <w:rFonts w:ascii="Times" w:hAnsi="Times" w:cs="Arial"/>
          <w:b/>
          <w:i/>
          <w:iCs/>
          <w:lang w:val="en-US"/>
        </w:rPr>
        <w:t xml:space="preserve">Barriers to Mental Health Service Utilization </w:t>
      </w:r>
    </w:p>
    <w:p w14:paraId="4F596810" w14:textId="240B6D8D" w:rsidR="00812859" w:rsidRPr="000E50F1" w:rsidRDefault="00812859" w:rsidP="00ED2632">
      <w:pPr>
        <w:ind w:right="855"/>
        <w:rPr>
          <w:rFonts w:ascii="Times" w:hAnsi="Times" w:cs="Arial"/>
          <w:bCs/>
          <w:i/>
          <w:iCs/>
          <w:lang w:val="en-US"/>
        </w:rPr>
      </w:pPr>
      <w:r w:rsidRPr="000E50F1">
        <w:rPr>
          <w:rFonts w:ascii="Times" w:hAnsi="Times" w:cs="Arial"/>
          <w:bCs/>
          <w:lang w:val="en-US"/>
        </w:rPr>
        <w:t>Despite the strides to improve students’ access to mental health service in schools, this did not result in the use of services for some students. While individual-, interpersonal- and some institutional-level barriers (</w:t>
      </w:r>
      <w:r w:rsidR="00FF51A9" w:rsidRPr="000E50F1">
        <w:rPr>
          <w:rFonts w:ascii="Times" w:hAnsi="Times" w:cs="Arial"/>
          <w:bCs/>
          <w:lang w:val="en-US"/>
        </w:rPr>
        <w:t>e.g.,</w:t>
      </w:r>
      <w:r w:rsidRPr="000E50F1">
        <w:rPr>
          <w:rFonts w:ascii="Times" w:hAnsi="Times" w:cs="Arial"/>
          <w:bCs/>
          <w:lang w:val="en-US"/>
        </w:rPr>
        <w:t xml:space="preserve"> geographical distance to mental health services, school’s policy on age of consent, and lack the of privacy in spaces of care) have been discussed above, Figure </w:t>
      </w:r>
      <w:r w:rsidR="0015685C" w:rsidRPr="000E50F1">
        <w:rPr>
          <w:rFonts w:ascii="Times" w:hAnsi="Times" w:cs="Arial"/>
          <w:bCs/>
          <w:lang w:val="en-US"/>
        </w:rPr>
        <w:t>6</w:t>
      </w:r>
      <w:r w:rsidRPr="000E50F1">
        <w:rPr>
          <w:rFonts w:ascii="Times" w:hAnsi="Times" w:cs="Arial"/>
          <w:bCs/>
          <w:lang w:val="en-US"/>
        </w:rPr>
        <w:t xml:space="preserve"> summarizes these into </w:t>
      </w:r>
      <w:r w:rsidR="00ED2632" w:rsidRPr="000E50F1">
        <w:rPr>
          <w:rFonts w:ascii="Times" w:eastAsiaTheme="minorHAnsi" w:hAnsi="Times" w:cs="Arial"/>
          <w:bCs/>
          <w:lang w:val="en-US"/>
        </w:rPr>
        <w:t>Bronfenbrenner</w:t>
      </w:r>
      <w:r w:rsidR="00ED2632" w:rsidRPr="000E50F1">
        <w:rPr>
          <w:rFonts w:ascii="Times" w:hAnsi="Times" w:cs="Arial"/>
          <w:bCs/>
        </w:rPr>
        <w:t xml:space="preserve">’s (1979) </w:t>
      </w:r>
      <w:r w:rsidRPr="000E50F1">
        <w:rPr>
          <w:rFonts w:ascii="Times" w:hAnsi="Times" w:cs="Arial"/>
          <w:bCs/>
          <w:lang w:val="en-US"/>
        </w:rPr>
        <w:t>ecological framework to contextualize students’ barriers to service utilization</w:t>
      </w:r>
      <w:r w:rsidR="0015685C" w:rsidRPr="000E50F1">
        <w:rPr>
          <w:rFonts w:ascii="Times" w:hAnsi="Times" w:cs="Arial"/>
          <w:bCs/>
          <w:lang w:val="en-US"/>
        </w:rPr>
        <w:t xml:space="preserve"> as described by the settlement workers in this research</w:t>
      </w:r>
      <w:r w:rsidRPr="000E50F1">
        <w:rPr>
          <w:rFonts w:ascii="Times" w:hAnsi="Times" w:cs="Arial"/>
          <w:bCs/>
          <w:lang w:val="en-US"/>
        </w:rPr>
        <w:t>. Linguistic barriers in service use and SWIS</w:t>
      </w:r>
      <w:r w:rsidR="0015685C" w:rsidRPr="000E50F1">
        <w:rPr>
          <w:rFonts w:ascii="Times" w:hAnsi="Times" w:cs="Arial"/>
          <w:bCs/>
          <w:lang w:val="en-US"/>
        </w:rPr>
        <w:t xml:space="preserve"> worker</w:t>
      </w:r>
      <w:r w:rsidRPr="000E50F1">
        <w:rPr>
          <w:rFonts w:ascii="Times" w:hAnsi="Times" w:cs="Arial"/>
          <w:bCs/>
          <w:lang w:val="en-US"/>
        </w:rPr>
        <w:t>’s own discrimination and stigmatization of mental health are discussed, contextualizing interacting societal- and institutional-level constraints that can restrict students’ access in mental health for immigrant youth.</w:t>
      </w:r>
    </w:p>
    <w:p w14:paraId="33FA1C68" w14:textId="29A65ED5" w:rsidR="00812859" w:rsidRPr="000E50F1" w:rsidRDefault="00812859" w:rsidP="00812859">
      <w:pPr>
        <w:rPr>
          <w:rFonts w:ascii="Times" w:hAnsi="Times" w:cs="Arial"/>
          <w:bCs/>
          <w:lang w:val="en-US"/>
        </w:rPr>
      </w:pPr>
    </w:p>
    <w:p w14:paraId="07946DB6" w14:textId="54A86DB7" w:rsidR="00812859" w:rsidRPr="000E50F1" w:rsidRDefault="00BD2EBF" w:rsidP="00812859">
      <w:pPr>
        <w:rPr>
          <w:rFonts w:ascii="Times" w:hAnsi="Times" w:cs="Arial"/>
          <w:bCs/>
          <w:lang w:val="en-US"/>
        </w:rPr>
      </w:pPr>
      <w:r w:rsidRPr="000E50F1">
        <w:rPr>
          <w:rFonts w:ascii="Times" w:hAnsi="Times" w:cs="Arial"/>
          <w:bCs/>
          <w:noProof/>
          <w:lang w:eastAsia="en-CA"/>
        </w:rPr>
        <w:lastRenderedPageBreak/>
        <mc:AlternateContent>
          <mc:Choice Requires="wps">
            <w:drawing>
              <wp:anchor distT="0" distB="0" distL="114300" distR="114300" simplePos="0" relativeHeight="251664384" behindDoc="0" locked="0" layoutInCell="1" allowOverlap="1" wp14:anchorId="5C51B0E5" wp14:editId="7F0220B4">
                <wp:simplePos x="0" y="0"/>
                <wp:positionH relativeFrom="column">
                  <wp:posOffset>2076450</wp:posOffset>
                </wp:positionH>
                <wp:positionV relativeFrom="paragraph">
                  <wp:posOffset>2580640</wp:posOffset>
                </wp:positionV>
                <wp:extent cx="3019425" cy="630555"/>
                <wp:effectExtent l="0" t="0" r="15875" b="17145"/>
                <wp:wrapNone/>
                <wp:docPr id="3" name="Rectangle 3"/>
                <wp:cNvGraphicFramePr/>
                <a:graphic xmlns:a="http://schemas.openxmlformats.org/drawingml/2006/main">
                  <a:graphicData uri="http://schemas.microsoft.com/office/word/2010/wordprocessingShape">
                    <wps:wsp>
                      <wps:cNvSpPr/>
                      <wps:spPr>
                        <a:xfrm>
                          <a:off x="0" y="0"/>
                          <a:ext cx="3019425" cy="63055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40DD1"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1"/>
                                <w:szCs w:val="22"/>
                              </w:rPr>
                            </w:pPr>
                            <w:r w:rsidRPr="004C49FB">
                              <w:rPr>
                                <w:rFonts w:asciiTheme="minorHAnsi" w:hAnsiTheme="minorHAnsi" w:cstheme="minorHAnsi"/>
                                <w:color w:val="000000" w:themeColor="text1"/>
                                <w:sz w:val="21"/>
                                <w:szCs w:val="22"/>
                                <w:lang w:val="en-US"/>
                              </w:rPr>
                              <w:t xml:space="preserve">Fear of being seen using mental health services </w:t>
                            </w:r>
                          </w:p>
                          <w:p w14:paraId="0722E78A"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1"/>
                                <w:szCs w:val="22"/>
                              </w:rPr>
                            </w:pPr>
                            <w:r w:rsidRPr="004C49FB">
                              <w:rPr>
                                <w:rFonts w:asciiTheme="minorHAnsi" w:hAnsiTheme="minorHAnsi" w:cstheme="minorHAnsi"/>
                                <w:color w:val="000000" w:themeColor="text1"/>
                                <w:sz w:val="21"/>
                                <w:szCs w:val="22"/>
                                <w:lang w:val="en-US"/>
                              </w:rPr>
                              <w:t xml:space="preserve">Fear of openly discussing taboo topics     </w:t>
                            </w:r>
                          </w:p>
                          <w:p w14:paraId="61196017"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1"/>
                                <w:szCs w:val="22"/>
                              </w:rPr>
                            </w:pPr>
                            <w:r w:rsidRPr="004C49FB">
                              <w:rPr>
                                <w:rFonts w:asciiTheme="minorHAnsi" w:hAnsiTheme="minorHAnsi" w:cstheme="minorHAnsi"/>
                                <w:color w:val="000000" w:themeColor="text1"/>
                                <w:sz w:val="21"/>
                                <w:szCs w:val="22"/>
                              </w:rPr>
                              <w:t>Lack of mental health literacy</w:t>
                            </w:r>
                          </w:p>
                          <w:p w14:paraId="25882CB9" w14:textId="77777777" w:rsidR="00C71D9C" w:rsidRPr="002B05C1" w:rsidRDefault="00C71D9C" w:rsidP="00812859">
                            <w:pPr>
                              <w:shd w:val="clear" w:color="auto" w:fill="FFFFFF" w:themeFill="background1"/>
                              <w:rPr>
                                <w:rFonts w:asciiTheme="minorHAnsi" w:hAnsiTheme="minorHAnsi" w:cstheme="minorHAnsi"/>
                                <w:b/>
                                <w:sz w:val="22"/>
                                <w:lang w:val="en-US"/>
                              </w:rPr>
                            </w:pPr>
                          </w:p>
                          <w:p w14:paraId="74286AEE" w14:textId="77777777" w:rsidR="00C71D9C" w:rsidRPr="00D90874" w:rsidRDefault="00C71D9C" w:rsidP="00812859">
                            <w:pPr>
                              <w:rPr>
                                <w:color w:val="000000" w:themeColor="text1"/>
                              </w:rPr>
                            </w:pPr>
                          </w:p>
                          <w:p w14:paraId="4D9B0F5E" w14:textId="77777777" w:rsidR="00C71D9C" w:rsidRPr="00D90874" w:rsidRDefault="00C71D9C" w:rsidP="0081285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1B0E5" id="Rectangle 3" o:spid="_x0000_s1026" style="position:absolute;margin-left:163.5pt;margin-top:203.2pt;width:237.75pt;height:4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" filled="f" strokecolor="#002060" strokeweight="1pt">
                <v:textbox>
                  <w:txbxContent>
                    <w:p w14:paraId="69D40DD1"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1"/>
                          <w:szCs w:val="22"/>
                        </w:rPr>
                      </w:pPr>
                      <w:r w:rsidRPr="004C49FB">
                        <w:rPr>
                          <w:rFonts w:asciiTheme="minorHAnsi" w:hAnsiTheme="minorHAnsi" w:cstheme="minorHAnsi"/>
                          <w:color w:val="000000" w:themeColor="text1"/>
                          <w:sz w:val="21"/>
                          <w:szCs w:val="22"/>
                          <w:lang w:val="en-US"/>
                        </w:rPr>
                        <w:t xml:space="preserve">Fear of being seen using mental health services </w:t>
                      </w:r>
                    </w:p>
                    <w:p w14:paraId="0722E78A"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1"/>
                          <w:szCs w:val="22"/>
                        </w:rPr>
                      </w:pPr>
                      <w:r w:rsidRPr="004C49FB">
                        <w:rPr>
                          <w:rFonts w:asciiTheme="minorHAnsi" w:hAnsiTheme="minorHAnsi" w:cstheme="minorHAnsi"/>
                          <w:color w:val="000000" w:themeColor="text1"/>
                          <w:sz w:val="21"/>
                          <w:szCs w:val="22"/>
                          <w:lang w:val="en-US"/>
                        </w:rPr>
                        <w:t xml:space="preserve">Fear of openly discussing taboo topics     </w:t>
                      </w:r>
                    </w:p>
                    <w:p w14:paraId="61196017"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1"/>
                          <w:szCs w:val="22"/>
                        </w:rPr>
                      </w:pPr>
                      <w:r w:rsidRPr="004C49FB">
                        <w:rPr>
                          <w:rFonts w:asciiTheme="minorHAnsi" w:hAnsiTheme="minorHAnsi" w:cstheme="minorHAnsi"/>
                          <w:color w:val="000000" w:themeColor="text1"/>
                          <w:sz w:val="21"/>
                          <w:szCs w:val="22"/>
                        </w:rPr>
                        <w:t>Lack of mental health literacy</w:t>
                      </w:r>
                    </w:p>
                    <w:p w14:paraId="25882CB9" w14:textId="77777777" w:rsidR="00C71D9C" w:rsidRPr="002B05C1" w:rsidRDefault="00C71D9C" w:rsidP="00812859">
                      <w:pPr>
                        <w:shd w:val="clear" w:color="auto" w:fill="FFFFFF" w:themeFill="background1"/>
                        <w:rPr>
                          <w:rFonts w:asciiTheme="minorHAnsi" w:hAnsiTheme="minorHAnsi" w:cstheme="minorHAnsi"/>
                          <w:b/>
                          <w:sz w:val="22"/>
                          <w:lang w:val="en-US"/>
                        </w:rPr>
                      </w:pPr>
                    </w:p>
                    <w:p w14:paraId="74286AEE" w14:textId="77777777" w:rsidR="00C71D9C" w:rsidRPr="00D90874" w:rsidRDefault="00C71D9C" w:rsidP="00812859">
                      <w:pPr>
                        <w:rPr>
                          <w:color w:val="000000" w:themeColor="text1"/>
                        </w:rPr>
                      </w:pPr>
                    </w:p>
                    <w:p w14:paraId="4D9B0F5E" w14:textId="77777777" w:rsidR="00C71D9C" w:rsidRPr="00D90874" w:rsidRDefault="00C71D9C" w:rsidP="00812859">
                      <w:pPr>
                        <w:rPr>
                          <w:color w:val="000000" w:themeColor="text1"/>
                        </w:rPr>
                      </w:pPr>
                    </w:p>
                  </w:txbxContent>
                </v:textbox>
              </v:rect>
            </w:pict>
          </mc:Fallback>
        </mc:AlternateContent>
      </w:r>
      <w:r w:rsidRPr="000E50F1">
        <w:rPr>
          <w:rFonts w:ascii="Times" w:hAnsi="Times" w:cs="Arial"/>
          <w:bCs/>
          <w:noProof/>
          <w:lang w:eastAsia="en-CA"/>
        </w:rPr>
        <mc:AlternateContent>
          <mc:Choice Requires="wps">
            <w:drawing>
              <wp:anchor distT="0" distB="0" distL="114300" distR="114300" simplePos="0" relativeHeight="251663360" behindDoc="0" locked="0" layoutInCell="1" allowOverlap="1" wp14:anchorId="17B9C72A" wp14:editId="6FF26C58">
                <wp:simplePos x="0" y="0"/>
                <wp:positionH relativeFrom="column">
                  <wp:posOffset>2074545</wp:posOffset>
                </wp:positionH>
                <wp:positionV relativeFrom="paragraph">
                  <wp:posOffset>1802130</wp:posOffset>
                </wp:positionV>
                <wp:extent cx="3019425" cy="754380"/>
                <wp:effectExtent l="0" t="0" r="15875" b="7620"/>
                <wp:wrapNone/>
                <wp:docPr id="2" name="Rectangle 2"/>
                <wp:cNvGraphicFramePr/>
                <a:graphic xmlns:a="http://schemas.openxmlformats.org/drawingml/2006/main">
                  <a:graphicData uri="http://schemas.microsoft.com/office/word/2010/wordprocessingShape">
                    <wps:wsp>
                      <wps:cNvSpPr/>
                      <wps:spPr>
                        <a:xfrm>
                          <a:off x="0" y="0"/>
                          <a:ext cx="3019425" cy="75438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E651B"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Family’s refusal to accept mental health support</w:t>
                            </w:r>
                          </w:p>
                          <w:p w14:paraId="53A96BA3"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 xml:space="preserve">Family’s fear of being seen using mental health services </w:t>
                            </w:r>
                          </w:p>
                          <w:p w14:paraId="25933A36"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Family’s lack of mental health literacy</w:t>
                            </w:r>
                          </w:p>
                          <w:p w14:paraId="1C2CF5F9" w14:textId="77777777" w:rsidR="00C71D9C" w:rsidRPr="002C493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18"/>
                                <w:szCs w:val="21"/>
                              </w:rPr>
                            </w:pPr>
                            <w:r w:rsidRPr="002C493B">
                              <w:rPr>
                                <w:rFonts w:asciiTheme="minorHAnsi" w:hAnsiTheme="minorHAnsi" w:cstheme="minorHAnsi"/>
                                <w:color w:val="000000" w:themeColor="text1"/>
                                <w:sz w:val="20"/>
                                <w:szCs w:val="21"/>
                                <w:lang w:val="en-US"/>
                              </w:rPr>
                              <w:t>Family-based mental health stigma</w:t>
                            </w:r>
                          </w:p>
                          <w:p w14:paraId="03E50875" w14:textId="77777777" w:rsidR="00C71D9C" w:rsidRDefault="00C71D9C" w:rsidP="008128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9C72A" id="Rectangle 2" o:spid="_x0000_s1027" style="position:absolute;margin-left:163.35pt;margin-top:141.9pt;width:237.75pt;height:5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" filled="f" strokecolor="#002060" strokeweight="1pt">
                <v:textbox>
                  <w:txbxContent>
                    <w:p w14:paraId="0BEE651B"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Family’s refusal to accept mental health support</w:t>
                      </w:r>
                    </w:p>
                    <w:p w14:paraId="53A96BA3"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 xml:space="preserve">Family’s fear of being seen using mental health services </w:t>
                      </w:r>
                    </w:p>
                    <w:p w14:paraId="25933A36"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Family’s lack of mental health literacy</w:t>
                      </w:r>
                    </w:p>
                    <w:p w14:paraId="1C2CF5F9" w14:textId="77777777" w:rsidR="00C71D9C" w:rsidRPr="002C493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18"/>
                          <w:szCs w:val="21"/>
                        </w:rPr>
                      </w:pPr>
                      <w:r w:rsidRPr="002C493B">
                        <w:rPr>
                          <w:rFonts w:asciiTheme="minorHAnsi" w:hAnsiTheme="minorHAnsi" w:cstheme="minorHAnsi"/>
                          <w:color w:val="000000" w:themeColor="text1"/>
                          <w:sz w:val="20"/>
                          <w:szCs w:val="21"/>
                          <w:lang w:val="en-US"/>
                        </w:rPr>
                        <w:t>Family-based mental health stigma</w:t>
                      </w:r>
                    </w:p>
                    <w:p w14:paraId="03E50875" w14:textId="77777777" w:rsidR="00C71D9C" w:rsidRDefault="00C71D9C" w:rsidP="00812859"/>
                  </w:txbxContent>
                </v:textbox>
              </v:rect>
            </w:pict>
          </mc:Fallback>
        </mc:AlternateContent>
      </w:r>
      <w:r w:rsidRPr="000E50F1">
        <w:rPr>
          <w:rFonts w:ascii="Times" w:hAnsi="Times" w:cs="Arial"/>
          <w:bCs/>
          <w:noProof/>
          <w:lang w:eastAsia="en-CA"/>
        </w:rPr>
        <mc:AlternateContent>
          <mc:Choice Requires="wps">
            <w:drawing>
              <wp:anchor distT="0" distB="0" distL="114300" distR="114300" simplePos="0" relativeHeight="251661312" behindDoc="0" locked="0" layoutInCell="1" allowOverlap="1" wp14:anchorId="086E163A" wp14:editId="1BC21036">
                <wp:simplePos x="0" y="0"/>
                <wp:positionH relativeFrom="column">
                  <wp:posOffset>2074545</wp:posOffset>
                </wp:positionH>
                <wp:positionV relativeFrom="paragraph">
                  <wp:posOffset>856615</wp:posOffset>
                </wp:positionV>
                <wp:extent cx="3019425" cy="921385"/>
                <wp:effectExtent l="0" t="0" r="15875" b="18415"/>
                <wp:wrapNone/>
                <wp:docPr id="7" name="Rectangle 7"/>
                <wp:cNvGraphicFramePr/>
                <a:graphic xmlns:a="http://schemas.openxmlformats.org/drawingml/2006/main">
                  <a:graphicData uri="http://schemas.microsoft.com/office/word/2010/wordprocessingShape">
                    <wps:wsp>
                      <wps:cNvSpPr/>
                      <wps:spPr>
                        <a:xfrm>
                          <a:off x="0" y="0"/>
                          <a:ext cx="3019425" cy="92138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85064" w14:textId="77777777" w:rsidR="00C71D9C" w:rsidRPr="00AB3A38" w:rsidRDefault="00C71D9C" w:rsidP="00BC2822">
                            <w:pPr>
                              <w:numPr>
                                <w:ilvl w:val="0"/>
                                <w:numId w:val="3"/>
                              </w:numPr>
                              <w:shd w:val="clear" w:color="auto" w:fill="FFFFFF" w:themeFill="background1"/>
                              <w:ind w:left="142" w:right="24" w:hanging="142"/>
                              <w:rPr>
                                <w:rFonts w:asciiTheme="minorHAnsi" w:hAnsiTheme="minorHAnsi" w:cstheme="minorHAnsi"/>
                                <w:color w:val="000000" w:themeColor="text1"/>
                                <w:sz w:val="21"/>
                                <w:szCs w:val="21"/>
                              </w:rPr>
                            </w:pPr>
                            <w:r w:rsidRPr="00AB3A38">
                              <w:rPr>
                                <w:rFonts w:asciiTheme="minorHAnsi" w:hAnsiTheme="minorHAnsi" w:cstheme="minorHAnsi"/>
                                <w:color w:val="000000" w:themeColor="text1"/>
                                <w:sz w:val="21"/>
                                <w:szCs w:val="21"/>
                                <w:lang w:val="en-US"/>
                              </w:rPr>
                              <w:t>Geographical distance to mental health services</w:t>
                            </w:r>
                          </w:p>
                          <w:p w14:paraId="3580C5CD" w14:textId="35E46ACB" w:rsidR="00C71D9C" w:rsidRPr="00AB3A38" w:rsidRDefault="00C71D9C" w:rsidP="00BC2822">
                            <w:pPr>
                              <w:numPr>
                                <w:ilvl w:val="0"/>
                                <w:numId w:val="3"/>
                              </w:numPr>
                              <w:shd w:val="clear" w:color="auto" w:fill="FFFFFF" w:themeFill="background1"/>
                              <w:ind w:left="142" w:right="24" w:hanging="142"/>
                              <w:rPr>
                                <w:rFonts w:asciiTheme="minorHAnsi" w:hAnsiTheme="minorHAnsi" w:cstheme="minorHAnsi"/>
                                <w:color w:val="000000" w:themeColor="text1"/>
                                <w:sz w:val="21"/>
                                <w:szCs w:val="21"/>
                              </w:rPr>
                            </w:pPr>
                            <w:r w:rsidRPr="00AB3A38">
                              <w:rPr>
                                <w:rFonts w:asciiTheme="minorHAnsi" w:hAnsiTheme="minorHAnsi" w:cstheme="minorHAnsi"/>
                                <w:color w:val="000000" w:themeColor="text1"/>
                                <w:sz w:val="21"/>
                                <w:szCs w:val="21"/>
                                <w:lang w:val="en-US"/>
                              </w:rPr>
                              <w:t>Linguistic barrier/fear of interpreter’s confidential misconduct/lack of anonymity in service</w:t>
                            </w:r>
                          </w:p>
                          <w:p w14:paraId="2831092A" w14:textId="7ED670A6" w:rsidR="00C71D9C" w:rsidRPr="00AB3A38" w:rsidRDefault="00C71D9C" w:rsidP="00BC2822">
                            <w:pPr>
                              <w:numPr>
                                <w:ilvl w:val="0"/>
                                <w:numId w:val="3"/>
                              </w:numPr>
                              <w:shd w:val="clear" w:color="auto" w:fill="FFFFFF" w:themeFill="background1"/>
                              <w:ind w:left="142" w:right="24" w:hanging="142"/>
                              <w:rPr>
                                <w:rFonts w:asciiTheme="minorHAnsi" w:hAnsiTheme="minorHAnsi" w:cstheme="minorHAnsi"/>
                                <w:color w:val="000000" w:themeColor="text1"/>
                                <w:sz w:val="21"/>
                                <w:szCs w:val="21"/>
                              </w:rPr>
                            </w:pPr>
                            <w:r w:rsidRPr="00AB3A38">
                              <w:rPr>
                                <w:rFonts w:asciiTheme="minorHAnsi" w:hAnsiTheme="minorHAnsi" w:cstheme="minorHAnsi"/>
                                <w:color w:val="000000" w:themeColor="text1"/>
                                <w:sz w:val="21"/>
                                <w:szCs w:val="21"/>
                                <w:lang w:val="en-US"/>
                              </w:rPr>
                              <w:t xml:space="preserve">Schools’ restrictive policy on age of consent </w:t>
                            </w:r>
                          </w:p>
                          <w:p w14:paraId="7C3952DE" w14:textId="77777777" w:rsidR="00C71D9C" w:rsidRPr="00AB3A38" w:rsidRDefault="00C71D9C" w:rsidP="00BC2822">
                            <w:pPr>
                              <w:numPr>
                                <w:ilvl w:val="0"/>
                                <w:numId w:val="3"/>
                              </w:numPr>
                              <w:shd w:val="clear" w:color="auto" w:fill="FFFFFF" w:themeFill="background1"/>
                              <w:ind w:left="142" w:right="24" w:hanging="142"/>
                              <w:rPr>
                                <w:rFonts w:asciiTheme="minorHAnsi" w:hAnsiTheme="minorHAnsi" w:cstheme="minorHAnsi"/>
                                <w:color w:val="000000" w:themeColor="text1"/>
                                <w:sz w:val="21"/>
                                <w:szCs w:val="21"/>
                              </w:rPr>
                            </w:pPr>
                            <w:r w:rsidRPr="00AB3A38">
                              <w:rPr>
                                <w:rFonts w:asciiTheme="minorHAnsi" w:hAnsiTheme="minorHAnsi" w:cstheme="minorHAnsi"/>
                                <w:color w:val="000000" w:themeColor="text1"/>
                                <w:sz w:val="21"/>
                                <w:szCs w:val="21"/>
                                <w:lang w:val="en-US"/>
                              </w:rPr>
                              <w:t>L</w:t>
                            </w:r>
                            <w:r w:rsidRPr="00AB3A38">
                              <w:rPr>
                                <w:rFonts w:asciiTheme="minorHAnsi" w:hAnsiTheme="minorHAnsi" w:cstheme="minorHAnsi"/>
                                <w:sz w:val="21"/>
                                <w:szCs w:val="21"/>
                                <w:lang w:val="en-US"/>
                              </w:rPr>
                              <w:t xml:space="preserve">ack of privacy in spaces of care in schools </w:t>
                            </w:r>
                          </w:p>
                          <w:p w14:paraId="3E2CFAD8" w14:textId="77777777" w:rsidR="00C71D9C" w:rsidRDefault="00C71D9C" w:rsidP="008128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E163A" id="Rectangle 7" o:spid="_x0000_s1028" style="position:absolute;margin-left:163.35pt;margin-top:67.45pt;width:237.75pt;height:7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" filled="f" strokecolor="#002060" strokeweight="1pt">
                <v:textbox>
                  <w:txbxContent>
                    <w:p w14:paraId="11885064" w14:textId="77777777" w:rsidR="00C71D9C" w:rsidRPr="00AB3A38" w:rsidRDefault="00C71D9C" w:rsidP="00BC2822">
                      <w:pPr>
                        <w:numPr>
                          <w:ilvl w:val="0"/>
                          <w:numId w:val="3"/>
                        </w:numPr>
                        <w:shd w:val="clear" w:color="auto" w:fill="FFFFFF" w:themeFill="background1"/>
                        <w:ind w:left="142" w:right="24" w:hanging="142"/>
                        <w:rPr>
                          <w:rFonts w:asciiTheme="minorHAnsi" w:hAnsiTheme="minorHAnsi" w:cstheme="minorHAnsi"/>
                          <w:color w:val="000000" w:themeColor="text1"/>
                          <w:sz w:val="21"/>
                          <w:szCs w:val="21"/>
                        </w:rPr>
                      </w:pPr>
                      <w:r w:rsidRPr="00AB3A38">
                        <w:rPr>
                          <w:rFonts w:asciiTheme="minorHAnsi" w:hAnsiTheme="minorHAnsi" w:cstheme="minorHAnsi"/>
                          <w:color w:val="000000" w:themeColor="text1"/>
                          <w:sz w:val="21"/>
                          <w:szCs w:val="21"/>
                          <w:lang w:val="en-US"/>
                        </w:rPr>
                        <w:t>Geographical distance to mental health services</w:t>
                      </w:r>
                    </w:p>
                    <w:p w14:paraId="3580C5CD" w14:textId="35E46ACB" w:rsidR="00C71D9C" w:rsidRPr="00AB3A38" w:rsidRDefault="00C71D9C" w:rsidP="00BC2822">
                      <w:pPr>
                        <w:numPr>
                          <w:ilvl w:val="0"/>
                          <w:numId w:val="3"/>
                        </w:numPr>
                        <w:shd w:val="clear" w:color="auto" w:fill="FFFFFF" w:themeFill="background1"/>
                        <w:ind w:left="142" w:right="24" w:hanging="142"/>
                        <w:rPr>
                          <w:rFonts w:asciiTheme="minorHAnsi" w:hAnsiTheme="minorHAnsi" w:cstheme="minorHAnsi"/>
                          <w:color w:val="000000" w:themeColor="text1"/>
                          <w:sz w:val="21"/>
                          <w:szCs w:val="21"/>
                        </w:rPr>
                      </w:pPr>
                      <w:r w:rsidRPr="00AB3A38">
                        <w:rPr>
                          <w:rFonts w:asciiTheme="minorHAnsi" w:hAnsiTheme="minorHAnsi" w:cstheme="minorHAnsi"/>
                          <w:color w:val="000000" w:themeColor="text1"/>
                          <w:sz w:val="21"/>
                          <w:szCs w:val="21"/>
                          <w:lang w:val="en-US"/>
                        </w:rPr>
                        <w:t>Linguistic barrier/fear of interpreter’s confidential misconduct/lack of anonymity in service</w:t>
                      </w:r>
                    </w:p>
                    <w:p w14:paraId="2831092A" w14:textId="7ED670A6" w:rsidR="00C71D9C" w:rsidRPr="00AB3A38" w:rsidRDefault="00C71D9C" w:rsidP="00BC2822">
                      <w:pPr>
                        <w:numPr>
                          <w:ilvl w:val="0"/>
                          <w:numId w:val="3"/>
                        </w:numPr>
                        <w:shd w:val="clear" w:color="auto" w:fill="FFFFFF" w:themeFill="background1"/>
                        <w:ind w:left="142" w:right="24" w:hanging="142"/>
                        <w:rPr>
                          <w:rFonts w:asciiTheme="minorHAnsi" w:hAnsiTheme="minorHAnsi" w:cstheme="minorHAnsi"/>
                          <w:color w:val="000000" w:themeColor="text1"/>
                          <w:sz w:val="21"/>
                          <w:szCs w:val="21"/>
                        </w:rPr>
                      </w:pPr>
                      <w:r w:rsidRPr="00AB3A38">
                        <w:rPr>
                          <w:rFonts w:asciiTheme="minorHAnsi" w:hAnsiTheme="minorHAnsi" w:cstheme="minorHAnsi"/>
                          <w:color w:val="000000" w:themeColor="text1"/>
                          <w:sz w:val="21"/>
                          <w:szCs w:val="21"/>
                          <w:lang w:val="en-US"/>
                        </w:rPr>
                        <w:t xml:space="preserve">Schools’ restrictive policy on age of consent </w:t>
                      </w:r>
                    </w:p>
                    <w:p w14:paraId="7C3952DE" w14:textId="77777777" w:rsidR="00C71D9C" w:rsidRPr="00AB3A38" w:rsidRDefault="00C71D9C" w:rsidP="00BC2822">
                      <w:pPr>
                        <w:numPr>
                          <w:ilvl w:val="0"/>
                          <w:numId w:val="3"/>
                        </w:numPr>
                        <w:shd w:val="clear" w:color="auto" w:fill="FFFFFF" w:themeFill="background1"/>
                        <w:ind w:left="142" w:right="24" w:hanging="142"/>
                        <w:rPr>
                          <w:rFonts w:asciiTheme="minorHAnsi" w:hAnsiTheme="minorHAnsi" w:cstheme="minorHAnsi"/>
                          <w:color w:val="000000" w:themeColor="text1"/>
                          <w:sz w:val="21"/>
                          <w:szCs w:val="21"/>
                        </w:rPr>
                      </w:pPr>
                      <w:r w:rsidRPr="00AB3A38">
                        <w:rPr>
                          <w:rFonts w:asciiTheme="minorHAnsi" w:hAnsiTheme="minorHAnsi" w:cstheme="minorHAnsi"/>
                          <w:color w:val="000000" w:themeColor="text1"/>
                          <w:sz w:val="21"/>
                          <w:szCs w:val="21"/>
                          <w:lang w:val="en-US"/>
                        </w:rPr>
                        <w:t>L</w:t>
                      </w:r>
                      <w:r w:rsidRPr="00AB3A38">
                        <w:rPr>
                          <w:rFonts w:asciiTheme="minorHAnsi" w:hAnsiTheme="minorHAnsi" w:cstheme="minorHAnsi"/>
                          <w:sz w:val="21"/>
                          <w:szCs w:val="21"/>
                          <w:lang w:val="en-US"/>
                        </w:rPr>
                        <w:t xml:space="preserve">ack of privacy in spaces of care in schools </w:t>
                      </w:r>
                    </w:p>
                    <w:p w14:paraId="3E2CFAD8" w14:textId="77777777" w:rsidR="00C71D9C" w:rsidRDefault="00C71D9C" w:rsidP="00812859"/>
                  </w:txbxContent>
                </v:textbox>
              </v:rect>
            </w:pict>
          </mc:Fallback>
        </mc:AlternateContent>
      </w:r>
      <w:r w:rsidRPr="000E50F1">
        <w:rPr>
          <w:rFonts w:ascii="Times" w:hAnsi="Times" w:cs="Arial"/>
          <w:bCs/>
          <w:noProof/>
          <w:lang w:eastAsia="en-CA"/>
        </w:rPr>
        <mc:AlternateContent>
          <mc:Choice Requires="wps">
            <w:drawing>
              <wp:anchor distT="0" distB="0" distL="114300" distR="114300" simplePos="0" relativeHeight="251662336" behindDoc="0" locked="0" layoutInCell="1" allowOverlap="1" wp14:anchorId="4B14C7D4" wp14:editId="616378B8">
                <wp:simplePos x="0" y="0"/>
                <wp:positionH relativeFrom="column">
                  <wp:posOffset>2076532</wp:posOffset>
                </wp:positionH>
                <wp:positionV relativeFrom="paragraph">
                  <wp:posOffset>83820</wp:posOffset>
                </wp:positionV>
                <wp:extent cx="3019425" cy="742950"/>
                <wp:effectExtent l="0" t="0" r="15875" b="19050"/>
                <wp:wrapNone/>
                <wp:docPr id="6" name="Rectangle 6"/>
                <wp:cNvGraphicFramePr/>
                <a:graphic xmlns:a="http://schemas.openxmlformats.org/drawingml/2006/main">
                  <a:graphicData uri="http://schemas.microsoft.com/office/word/2010/wordprocessingShape">
                    <wps:wsp>
                      <wps:cNvSpPr/>
                      <wps:spPr>
                        <a:xfrm>
                          <a:off x="0" y="0"/>
                          <a:ext cx="3019425" cy="74295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CF1F2" w14:textId="4D23CA79"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Public-stigma of mental health in cultural groups</w:t>
                            </w:r>
                          </w:p>
                          <w:p w14:paraId="2DBABB77"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Shame associated with being “crazy”</w:t>
                            </w:r>
                          </w:p>
                          <w:p w14:paraId="6FB682F1"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Fear of accepting “crazy” as normal</w:t>
                            </w:r>
                          </w:p>
                          <w:p w14:paraId="47CA5907"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1"/>
                                <w:szCs w:val="22"/>
                              </w:rPr>
                            </w:pPr>
                            <w:r w:rsidRPr="004C49FB">
                              <w:rPr>
                                <w:rFonts w:asciiTheme="minorHAnsi" w:hAnsiTheme="minorHAnsi" w:cstheme="minorHAnsi"/>
                                <w:color w:val="000000" w:themeColor="text1"/>
                                <w:sz w:val="21"/>
                                <w:szCs w:val="22"/>
                              </w:rPr>
                              <w:t xml:space="preserve">Fear of being ‘other’ </w:t>
                            </w:r>
                          </w:p>
                          <w:p w14:paraId="38C63696" w14:textId="77777777" w:rsidR="00C71D9C" w:rsidRPr="00F65A71" w:rsidRDefault="00C71D9C" w:rsidP="0081285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4C7D4" id="Rectangle 6" o:spid="_x0000_s1029" style="position:absolute;margin-left:163.5pt;margin-top:6.6pt;width:237.7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" filled="f" strokecolor="#002060" strokeweight="1pt">
                <v:textbox>
                  <w:txbxContent>
                    <w:p w14:paraId="695CF1F2" w14:textId="4D23CA79"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Public-stigma of mental health in cultural groups</w:t>
                      </w:r>
                    </w:p>
                    <w:p w14:paraId="2DBABB77"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Shame associated with being “crazy”</w:t>
                      </w:r>
                    </w:p>
                    <w:p w14:paraId="6FB682F1"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0"/>
                          <w:szCs w:val="22"/>
                        </w:rPr>
                      </w:pPr>
                      <w:r w:rsidRPr="004C49FB">
                        <w:rPr>
                          <w:rFonts w:asciiTheme="minorHAnsi" w:hAnsiTheme="minorHAnsi" w:cstheme="minorHAnsi"/>
                          <w:color w:val="000000" w:themeColor="text1"/>
                          <w:sz w:val="21"/>
                          <w:szCs w:val="22"/>
                          <w:lang w:val="en-US"/>
                        </w:rPr>
                        <w:t>Fear of accepting “crazy” as normal</w:t>
                      </w:r>
                    </w:p>
                    <w:p w14:paraId="47CA5907" w14:textId="77777777" w:rsidR="00C71D9C" w:rsidRPr="004C49FB" w:rsidRDefault="00C71D9C" w:rsidP="00BC2822">
                      <w:pPr>
                        <w:numPr>
                          <w:ilvl w:val="0"/>
                          <w:numId w:val="3"/>
                        </w:numPr>
                        <w:shd w:val="clear" w:color="auto" w:fill="FFFFFF" w:themeFill="background1"/>
                        <w:ind w:left="142" w:hanging="142"/>
                        <w:rPr>
                          <w:rFonts w:asciiTheme="minorHAnsi" w:hAnsiTheme="minorHAnsi" w:cstheme="minorHAnsi"/>
                          <w:color w:val="000000" w:themeColor="text1"/>
                          <w:sz w:val="21"/>
                          <w:szCs w:val="22"/>
                        </w:rPr>
                      </w:pPr>
                      <w:r w:rsidRPr="004C49FB">
                        <w:rPr>
                          <w:rFonts w:asciiTheme="minorHAnsi" w:hAnsiTheme="minorHAnsi" w:cstheme="minorHAnsi"/>
                          <w:color w:val="000000" w:themeColor="text1"/>
                          <w:sz w:val="21"/>
                          <w:szCs w:val="22"/>
                        </w:rPr>
                        <w:t xml:space="preserve">Fear of being ‘other’ </w:t>
                      </w:r>
                    </w:p>
                    <w:p w14:paraId="38C63696" w14:textId="77777777" w:rsidR="00C71D9C" w:rsidRPr="00F65A71" w:rsidRDefault="00C71D9C" w:rsidP="00812859">
                      <w:pPr>
                        <w:rPr>
                          <w:color w:val="000000" w:themeColor="text1"/>
                        </w:rPr>
                      </w:pPr>
                    </w:p>
                  </w:txbxContent>
                </v:textbox>
              </v:rect>
            </w:pict>
          </mc:Fallback>
        </mc:AlternateContent>
      </w:r>
      <w:r w:rsidR="00812859" w:rsidRPr="000E50F1">
        <w:rPr>
          <w:rFonts w:ascii="Times" w:hAnsi="Times" w:cs="Arial"/>
          <w:bCs/>
          <w:noProof/>
          <w:lang w:eastAsia="en-CA"/>
        </w:rPr>
        <w:drawing>
          <wp:inline distT="0" distB="0" distL="0" distR="0" wp14:anchorId="6C63F26D" wp14:editId="6728F966">
            <wp:extent cx="3257550" cy="3295650"/>
            <wp:effectExtent l="25400" t="0" r="3175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AED1FA6" w14:textId="77777777" w:rsidR="00F04E40" w:rsidRPr="000E50F1" w:rsidRDefault="00F04E40" w:rsidP="00812859">
      <w:pPr>
        <w:rPr>
          <w:rFonts w:ascii="Times" w:hAnsi="Times" w:cs="Arial"/>
          <w:bCs/>
          <w:sz w:val="10"/>
          <w:szCs w:val="10"/>
          <w:lang w:val="en-US"/>
        </w:rPr>
      </w:pPr>
    </w:p>
    <w:p w14:paraId="75F1630D" w14:textId="564C7C27" w:rsidR="00EA74C0" w:rsidRPr="000E50F1" w:rsidRDefault="005D60E2" w:rsidP="005D60E2">
      <w:pPr>
        <w:pStyle w:val="Caption"/>
        <w:rPr>
          <w:rFonts w:ascii="Times" w:hAnsi="Times" w:cs="Arial"/>
          <w:bCs/>
          <w:sz w:val="24"/>
          <w:szCs w:val="20"/>
          <w:lang w:val="en-US"/>
        </w:rPr>
      </w:pPr>
      <w:bookmarkStart w:id="31" w:name="_Toc54020236"/>
      <w:r w:rsidRPr="000E50F1">
        <w:rPr>
          <w:i/>
          <w:iCs w:val="0"/>
          <w:sz w:val="24"/>
          <w:szCs w:val="20"/>
        </w:rPr>
        <w:t xml:space="preserve">Figure </w:t>
      </w:r>
      <w:r w:rsidRPr="000E50F1">
        <w:rPr>
          <w:i/>
          <w:iCs w:val="0"/>
          <w:sz w:val="24"/>
          <w:szCs w:val="20"/>
        </w:rPr>
        <w:fldChar w:fldCharType="begin"/>
      </w:r>
      <w:r w:rsidRPr="000E50F1">
        <w:rPr>
          <w:i/>
          <w:iCs w:val="0"/>
          <w:sz w:val="24"/>
          <w:szCs w:val="20"/>
        </w:rPr>
        <w:instrText xml:space="preserve"> SEQ Figure \* ARABIC </w:instrText>
      </w:r>
      <w:r w:rsidRPr="000E50F1">
        <w:rPr>
          <w:i/>
          <w:iCs w:val="0"/>
          <w:sz w:val="24"/>
          <w:szCs w:val="20"/>
        </w:rPr>
        <w:fldChar w:fldCharType="separate"/>
      </w:r>
      <w:r w:rsidRPr="000E50F1">
        <w:rPr>
          <w:i/>
          <w:iCs w:val="0"/>
          <w:noProof/>
          <w:sz w:val="24"/>
          <w:szCs w:val="20"/>
        </w:rPr>
        <w:t>6</w:t>
      </w:r>
      <w:r w:rsidRPr="000E50F1">
        <w:rPr>
          <w:i/>
          <w:iCs w:val="0"/>
          <w:sz w:val="24"/>
          <w:szCs w:val="20"/>
        </w:rPr>
        <w:fldChar w:fldCharType="end"/>
      </w:r>
      <w:r w:rsidRPr="000E50F1">
        <w:rPr>
          <w:i/>
          <w:iCs w:val="0"/>
          <w:sz w:val="24"/>
          <w:szCs w:val="20"/>
        </w:rPr>
        <w:t>.</w:t>
      </w:r>
      <w:r w:rsidRPr="000E50F1">
        <w:rPr>
          <w:sz w:val="24"/>
          <w:szCs w:val="20"/>
        </w:rPr>
        <w:t xml:space="preserve"> Barriers to mental health service use for immigrant youth in schools</w:t>
      </w:r>
      <w:bookmarkEnd w:id="31"/>
    </w:p>
    <w:p w14:paraId="6CA5986F" w14:textId="77777777" w:rsidR="005D60E2" w:rsidRPr="000E50F1" w:rsidRDefault="005D60E2" w:rsidP="00812859">
      <w:pPr>
        <w:rPr>
          <w:rFonts w:ascii="Times" w:hAnsi="Times" w:cs="Arial"/>
          <w:bCs/>
          <w:lang w:val="en-US"/>
        </w:rPr>
      </w:pPr>
    </w:p>
    <w:p w14:paraId="0A9C13B3" w14:textId="1CCC7B24" w:rsidR="00812859" w:rsidRPr="000E50F1" w:rsidRDefault="00812859" w:rsidP="00812859">
      <w:pPr>
        <w:rPr>
          <w:rFonts w:ascii="Times" w:hAnsi="Times" w:cs="Arial"/>
          <w:bCs/>
          <w:lang w:val="en-US"/>
        </w:rPr>
      </w:pPr>
      <w:r w:rsidRPr="000E50F1">
        <w:rPr>
          <w:rFonts w:ascii="Times" w:hAnsi="Times" w:cs="Arial"/>
          <w:bCs/>
          <w:lang w:val="en-US"/>
        </w:rPr>
        <w:t>Students’ fear of being exposed were further heightened when a third-party interpreter from their own cultural community was used to bridge the linguistic gap between student and psychotherapist in session</w:t>
      </w:r>
      <w:r w:rsidR="008340EF" w:rsidRPr="000E50F1">
        <w:rPr>
          <w:rFonts w:ascii="Times" w:hAnsi="Times" w:cs="Arial"/>
          <w:bCs/>
          <w:lang w:val="en-US"/>
        </w:rPr>
        <w:t>s</w:t>
      </w:r>
      <w:r w:rsidRPr="000E50F1">
        <w:rPr>
          <w:rFonts w:ascii="Times" w:hAnsi="Times" w:cs="Arial"/>
          <w:bCs/>
          <w:lang w:val="en-US"/>
        </w:rPr>
        <w:t xml:space="preserve">. According to some SWIS </w:t>
      </w:r>
      <w:r w:rsidR="00DE3330" w:rsidRPr="000E50F1">
        <w:rPr>
          <w:rFonts w:ascii="Times" w:hAnsi="Times" w:cs="Arial"/>
          <w:bCs/>
          <w:lang w:val="en-US"/>
        </w:rPr>
        <w:t>workers</w:t>
      </w:r>
      <w:r w:rsidRPr="000E50F1">
        <w:rPr>
          <w:rFonts w:ascii="Times" w:hAnsi="Times" w:cs="Arial"/>
          <w:bCs/>
          <w:lang w:val="en-US"/>
        </w:rPr>
        <w:t xml:space="preserve">, the use of a third-party interpreter impeded students’ </w:t>
      </w:r>
      <w:r w:rsidR="008340EF" w:rsidRPr="000E50F1">
        <w:rPr>
          <w:rFonts w:ascii="Times" w:hAnsi="Times" w:cs="Arial"/>
          <w:bCs/>
          <w:lang w:val="en-US"/>
        </w:rPr>
        <w:t xml:space="preserve">service </w:t>
      </w:r>
      <w:r w:rsidRPr="000E50F1">
        <w:rPr>
          <w:rFonts w:ascii="Times" w:hAnsi="Times" w:cs="Arial"/>
          <w:bCs/>
          <w:lang w:val="en-US"/>
        </w:rPr>
        <w:t xml:space="preserve">accessibility because privacy and confidentiality was perceived as jeopardized, which resulted in induced non-disclosure and early termination of service by some students:  </w:t>
      </w:r>
    </w:p>
    <w:p w14:paraId="20AC6257" w14:textId="77777777" w:rsidR="00812859" w:rsidRPr="000E50F1" w:rsidRDefault="00812859" w:rsidP="00812859">
      <w:pPr>
        <w:rPr>
          <w:rFonts w:ascii="Times" w:hAnsi="Times" w:cs="Arial"/>
          <w:bCs/>
          <w:lang w:val="en-US"/>
        </w:rPr>
      </w:pPr>
    </w:p>
    <w:p w14:paraId="104572CF" w14:textId="2672963D" w:rsidR="00812859" w:rsidRPr="000E50F1" w:rsidRDefault="00812859" w:rsidP="00812859">
      <w:pPr>
        <w:ind w:left="567" w:right="571"/>
        <w:rPr>
          <w:rFonts w:ascii="Times" w:hAnsi="Times" w:cs="Arial"/>
          <w:bCs/>
          <w:lang w:val="en-US"/>
        </w:rPr>
      </w:pPr>
      <w:r w:rsidRPr="000E50F1">
        <w:rPr>
          <w:rFonts w:ascii="Times" w:hAnsi="Times" w:cs="Arial"/>
          <w:bCs/>
          <w:lang w:val="en-US"/>
        </w:rPr>
        <w:t xml:space="preserve">Some of the students that I sent last year to </w:t>
      </w:r>
      <w:r w:rsidR="00C122B5" w:rsidRPr="000E50F1">
        <w:rPr>
          <w:rFonts w:ascii="Times" w:hAnsi="Times" w:cs="Arial"/>
          <w:bCs/>
          <w:lang w:val="en-US"/>
        </w:rPr>
        <w:t>OASIS</w:t>
      </w:r>
      <w:r w:rsidRPr="000E50F1">
        <w:rPr>
          <w:rFonts w:ascii="Times" w:hAnsi="Times" w:cs="Arial"/>
          <w:bCs/>
          <w:lang w:val="en-US"/>
        </w:rPr>
        <w:t xml:space="preserve">, after a couple of sessions, they decided that it was not for them. I think too that </w:t>
      </w:r>
      <w:r w:rsidR="00C122B5" w:rsidRPr="000E50F1">
        <w:rPr>
          <w:rFonts w:ascii="Times" w:hAnsi="Times" w:cs="Arial"/>
          <w:bCs/>
          <w:lang w:val="en-US"/>
        </w:rPr>
        <w:t>OASIS</w:t>
      </w:r>
      <w:r w:rsidRPr="000E50F1">
        <w:rPr>
          <w:rFonts w:ascii="Times" w:hAnsi="Times" w:cs="Arial"/>
          <w:bCs/>
          <w:lang w:val="en-US"/>
        </w:rPr>
        <w:t xml:space="preserve"> is difficult because they don’t speak the language that the kids need. They have an interpreter and a lot of the time, the students are very afraid that because that interpreter is from their community, that they’ll tell. I’ve known various students that have dropped out because of that. Or they say, ‘no Miss, I don’t think I need an interpreter’, or ‘I know that interpreter’ and they just won’t say anything. I think that creates a </w:t>
      </w:r>
      <w:r w:rsidRPr="000E50F1">
        <w:rPr>
          <w:rFonts w:ascii="Times" w:hAnsi="Times" w:cs="Arial"/>
          <w:bCs/>
          <w:i/>
          <w:lang w:val="en-US"/>
        </w:rPr>
        <w:t>huge</w:t>
      </w:r>
      <w:r w:rsidRPr="000E50F1">
        <w:rPr>
          <w:rFonts w:ascii="Times" w:hAnsi="Times" w:cs="Arial"/>
          <w:bCs/>
          <w:lang w:val="en-US"/>
        </w:rPr>
        <w:t xml:space="preserve"> challenge for them because they don’t have that language…even though the interpreter has signed the confidentiality agreement where they can’t say anything, there is still that fear because a lot of the stuff that they talk about is very sensitive. They don’t want other people to know and the reason that they are doing this therapy in secret and confidence is because they don’t want their </w:t>
      </w:r>
      <w:r w:rsidRPr="000E50F1">
        <w:rPr>
          <w:rFonts w:ascii="Times" w:hAnsi="Times" w:cs="Arial"/>
          <w:bCs/>
          <w:lang w:val="en-US"/>
        </w:rPr>
        <w:lastRenderedPageBreak/>
        <w:t xml:space="preserve">parents to know. But if you are having someone coming that speaks that language and they are from </w:t>
      </w:r>
      <w:r w:rsidRPr="000E50F1">
        <w:rPr>
          <w:rFonts w:ascii="Times" w:hAnsi="Times" w:cs="Arial"/>
          <w:bCs/>
          <w:i/>
          <w:iCs/>
          <w:lang w:val="en-US"/>
        </w:rPr>
        <w:t>that</w:t>
      </w:r>
      <w:r w:rsidRPr="000E50F1">
        <w:rPr>
          <w:rFonts w:ascii="Times" w:hAnsi="Times" w:cs="Arial"/>
          <w:bCs/>
          <w:lang w:val="en-US"/>
        </w:rPr>
        <w:t xml:space="preserve"> community, it kind of defies the purpose. -P1</w:t>
      </w:r>
    </w:p>
    <w:p w14:paraId="53522273" w14:textId="77777777" w:rsidR="00812859" w:rsidRPr="000E50F1" w:rsidRDefault="00812859" w:rsidP="00812859">
      <w:pPr>
        <w:ind w:left="567" w:right="571"/>
        <w:rPr>
          <w:rFonts w:ascii="Times" w:hAnsi="Times" w:cs="Arial"/>
          <w:bCs/>
          <w:lang w:val="en-US"/>
        </w:rPr>
      </w:pPr>
    </w:p>
    <w:p w14:paraId="110078E9" w14:textId="253B35EF" w:rsidR="00812859" w:rsidRPr="000E50F1" w:rsidRDefault="00812859" w:rsidP="00812859">
      <w:pPr>
        <w:ind w:right="4"/>
        <w:rPr>
          <w:rFonts w:ascii="Times" w:hAnsi="Times" w:cs="Arial"/>
          <w:bCs/>
          <w:lang w:val="en-US"/>
        </w:rPr>
      </w:pPr>
      <w:r w:rsidRPr="000E50F1">
        <w:rPr>
          <w:rFonts w:ascii="Times" w:hAnsi="Times" w:cs="Arial"/>
          <w:bCs/>
          <w:lang w:val="en-US"/>
        </w:rPr>
        <w:t>Students</w:t>
      </w:r>
      <w:r w:rsidR="008340EF" w:rsidRPr="000E50F1">
        <w:rPr>
          <w:rFonts w:ascii="Times" w:hAnsi="Times" w:cs="Arial"/>
          <w:bCs/>
          <w:lang w:val="en-US"/>
        </w:rPr>
        <w:t>’</w:t>
      </w:r>
      <w:r w:rsidRPr="000E50F1">
        <w:rPr>
          <w:rFonts w:ascii="Times" w:hAnsi="Times" w:cs="Arial"/>
          <w:bCs/>
          <w:lang w:val="en-US"/>
        </w:rPr>
        <w:t xml:space="preserve"> preference to not use an interpreter over linguistic barriers spoke to students’ fear of confidentiality breaches in interpretive services with members of their cultural community. The possibility of their family finding out was perceived as a high risk. This suggests that anonymity should be critically considered when using face-to-face interpreters, and alternative methods to be offered when working with immigrant youth. </w:t>
      </w:r>
      <w:r w:rsidRPr="000E50F1">
        <w:rPr>
          <w:rFonts w:ascii="Times" w:hAnsi="Times" w:cs="Arial"/>
          <w:bCs/>
          <w:shd w:val="clear" w:color="auto" w:fill="FFFFFF"/>
        </w:rPr>
        <w:t>When students terminate support, it can be difficult to know if the support provided was truly accessible or whether the supports provided was received in a way (service accessibility) that could improve their mental health outcome:</w:t>
      </w:r>
    </w:p>
    <w:p w14:paraId="5A2B4208" w14:textId="77777777" w:rsidR="00812859" w:rsidRPr="000E50F1" w:rsidRDefault="00812859" w:rsidP="00812859">
      <w:pPr>
        <w:rPr>
          <w:rFonts w:ascii="Times" w:hAnsi="Times" w:cs="Arial"/>
          <w:bCs/>
          <w:shd w:val="clear" w:color="auto" w:fill="FFFFFF"/>
        </w:rPr>
      </w:pPr>
    </w:p>
    <w:p w14:paraId="0293B2D5" w14:textId="67826888" w:rsidR="00812859" w:rsidRPr="000E50F1" w:rsidRDefault="00812859" w:rsidP="00A15E48">
      <w:pPr>
        <w:tabs>
          <w:tab w:val="left" w:pos="6711"/>
        </w:tabs>
        <w:ind w:left="567" w:right="571"/>
        <w:rPr>
          <w:rFonts w:ascii="Times" w:hAnsi="Times" w:cs="Arial"/>
          <w:bCs/>
        </w:rPr>
      </w:pPr>
      <w:r w:rsidRPr="000E50F1">
        <w:rPr>
          <w:rFonts w:ascii="Times" w:hAnsi="Times" w:cs="Arial"/>
          <w:bCs/>
        </w:rPr>
        <w:t xml:space="preserve">We had a student that later on disclosed to the ESL teacher that she tried to commit suicide, so we connected her with </w:t>
      </w:r>
      <w:r w:rsidR="00C122B5" w:rsidRPr="000E50F1">
        <w:rPr>
          <w:rFonts w:ascii="Times" w:hAnsi="Times" w:cs="Arial"/>
          <w:bCs/>
        </w:rPr>
        <w:t>OASIS</w:t>
      </w:r>
      <w:r w:rsidRPr="000E50F1">
        <w:rPr>
          <w:rFonts w:ascii="Times" w:hAnsi="Times" w:cs="Arial"/>
          <w:bCs/>
        </w:rPr>
        <w:t>. You know, it’s volunteer participation once a week. Then she decided that I am fine now. And sometimes you know that nothing has changed in her surroundings, so you’re worried sometimes, ‘how are things?’ ‘things are okay’. We just follow up, follow up a lot. You know, I was hoping that this would continue but it lasted for a month and that was it. She didn’t mention anything about how it was helping. She said, ‘I feel better’. Whether she got the strategies to cope with her depression or not, I don’t know. But she said that she is fine and that she was handling the situation at home. -P6</w:t>
      </w:r>
    </w:p>
    <w:p w14:paraId="60015058" w14:textId="77777777" w:rsidR="00F04E40" w:rsidRPr="000E50F1" w:rsidRDefault="00F04E40" w:rsidP="00812859">
      <w:pPr>
        <w:pStyle w:val="NormalWeb"/>
        <w:spacing w:before="0" w:beforeAutospacing="0" w:after="0" w:afterAutospacing="0"/>
        <w:rPr>
          <w:rFonts w:ascii="Times" w:hAnsi="Times" w:cs="Arial"/>
          <w:bCs/>
        </w:rPr>
      </w:pPr>
    </w:p>
    <w:p w14:paraId="77405271" w14:textId="773F1D5B" w:rsidR="00812859" w:rsidRPr="000E50F1" w:rsidRDefault="00812859" w:rsidP="00812859">
      <w:pPr>
        <w:pStyle w:val="NormalWeb"/>
        <w:spacing w:before="0" w:beforeAutospacing="0" w:after="0" w:afterAutospacing="0"/>
        <w:rPr>
          <w:rFonts w:ascii="Times" w:hAnsi="Times" w:cs="Arial"/>
          <w:bCs/>
        </w:rPr>
      </w:pPr>
      <w:r w:rsidRPr="000E50F1">
        <w:rPr>
          <w:rFonts w:ascii="Times" w:hAnsi="Times" w:cs="Arial"/>
          <w:bCs/>
        </w:rPr>
        <w:t xml:space="preserve">Although much of the findings have focused on the value and benefits of using SWIS </w:t>
      </w:r>
      <w:r w:rsidR="00DE3330" w:rsidRPr="000E50F1">
        <w:rPr>
          <w:rFonts w:ascii="Times" w:hAnsi="Times" w:cs="Arial"/>
          <w:bCs/>
        </w:rPr>
        <w:t xml:space="preserve">workers </w:t>
      </w:r>
      <w:r w:rsidRPr="000E50F1">
        <w:rPr>
          <w:rFonts w:ascii="Times" w:hAnsi="Times" w:cs="Arial"/>
          <w:bCs/>
        </w:rPr>
        <w:t>to bridge students to support</w:t>
      </w:r>
      <w:r w:rsidR="002C493B" w:rsidRPr="000E50F1">
        <w:rPr>
          <w:rFonts w:ascii="Times" w:hAnsi="Times" w:cs="Arial"/>
          <w:bCs/>
        </w:rPr>
        <w:t xml:space="preserve">, </w:t>
      </w:r>
      <w:r w:rsidRPr="000E50F1">
        <w:rPr>
          <w:rFonts w:ascii="Times" w:hAnsi="Times" w:cs="Arial"/>
          <w:bCs/>
        </w:rPr>
        <w:t>;the knowledge, capacity, and personal views about mental health of some SWIS</w:t>
      </w:r>
      <w:r w:rsidR="00DE3330" w:rsidRPr="000E50F1">
        <w:rPr>
          <w:rFonts w:ascii="Times" w:hAnsi="Times" w:cs="Arial"/>
          <w:bCs/>
        </w:rPr>
        <w:t xml:space="preserve"> workers</w:t>
      </w:r>
      <w:r w:rsidRPr="000E50F1">
        <w:rPr>
          <w:rFonts w:ascii="Times" w:hAnsi="Times" w:cs="Arial"/>
          <w:bCs/>
        </w:rPr>
        <w:t xml:space="preserve"> were not indicative of perspectives discussed above. On the contrary, some </w:t>
      </w:r>
      <w:r w:rsidR="00DE3330" w:rsidRPr="000E50F1">
        <w:rPr>
          <w:rFonts w:ascii="Times" w:hAnsi="Times" w:cs="Arial"/>
          <w:bCs/>
        </w:rPr>
        <w:t xml:space="preserve">SWIS workers </w:t>
      </w:r>
      <w:r w:rsidRPr="000E50F1">
        <w:rPr>
          <w:rFonts w:ascii="Times" w:hAnsi="Times" w:cs="Arial"/>
          <w:bCs/>
        </w:rPr>
        <w:t xml:space="preserve">held stereotypical ideas about mental health, citing that mental health “stupid” and “crazy” (P7). According to P7, mental health was not observed as a need amongst students. In this case, students’ emotional and behavioural issues were often flagged by teachers and so were referrals to </w:t>
      </w:r>
      <w:r w:rsidR="00C122B5" w:rsidRPr="000E50F1">
        <w:rPr>
          <w:rFonts w:ascii="Times" w:hAnsi="Times" w:cs="Arial"/>
          <w:bCs/>
        </w:rPr>
        <w:t>OASIS</w:t>
      </w:r>
      <w:r w:rsidRPr="000E50F1">
        <w:rPr>
          <w:rFonts w:ascii="Times" w:hAnsi="Times" w:cs="Arial"/>
          <w:bCs/>
        </w:rPr>
        <w:t>:</w:t>
      </w:r>
    </w:p>
    <w:p w14:paraId="79A7BAAD" w14:textId="77777777" w:rsidR="00812859" w:rsidRPr="000E50F1" w:rsidRDefault="00812859" w:rsidP="00812859">
      <w:pPr>
        <w:pStyle w:val="NormalWeb"/>
        <w:spacing w:before="0" w:beforeAutospacing="0" w:after="0" w:afterAutospacing="0"/>
        <w:ind w:right="571"/>
        <w:rPr>
          <w:rFonts w:ascii="Times" w:hAnsi="Times" w:cs="Arial"/>
          <w:bCs/>
        </w:rPr>
      </w:pPr>
    </w:p>
    <w:p w14:paraId="32B178E8" w14:textId="42C2CCDD" w:rsidR="00812859" w:rsidRPr="000E50F1" w:rsidRDefault="00812859" w:rsidP="00812859">
      <w:pPr>
        <w:ind w:left="567" w:right="571"/>
        <w:rPr>
          <w:rFonts w:ascii="Times" w:hAnsi="Times" w:cs="Arial"/>
          <w:bCs/>
        </w:rPr>
      </w:pPr>
      <w:r w:rsidRPr="000E50F1">
        <w:rPr>
          <w:rFonts w:ascii="Times" w:hAnsi="Times" w:cs="Arial"/>
          <w:bCs/>
        </w:rPr>
        <w:t xml:space="preserve">The teacher called me for help… I told the teacher that in the school we have </w:t>
      </w:r>
      <w:r w:rsidR="00C122B5" w:rsidRPr="000E50F1">
        <w:rPr>
          <w:rFonts w:ascii="Times" w:hAnsi="Times" w:cs="Arial"/>
          <w:bCs/>
        </w:rPr>
        <w:t>OASIS</w:t>
      </w:r>
      <w:r w:rsidRPr="000E50F1">
        <w:rPr>
          <w:rFonts w:ascii="Times" w:hAnsi="Times" w:cs="Arial"/>
          <w:bCs/>
        </w:rPr>
        <w:t>…I just told the teacher and sometime the teacher will give this information to the student…Sometime the students don’t want us to know...I didn’t make that referral. -P7</w:t>
      </w:r>
    </w:p>
    <w:p w14:paraId="5D783213" w14:textId="77777777" w:rsidR="00812859" w:rsidRPr="000E50F1" w:rsidRDefault="00812859" w:rsidP="00812859">
      <w:pPr>
        <w:pStyle w:val="NormalWeb"/>
        <w:spacing w:before="0" w:beforeAutospacing="0" w:after="0" w:afterAutospacing="0"/>
        <w:rPr>
          <w:rFonts w:ascii="Times" w:hAnsi="Times" w:cs="Arial"/>
        </w:rPr>
      </w:pPr>
    </w:p>
    <w:p w14:paraId="6725DBEA" w14:textId="1F6C7E8B" w:rsidR="00812859" w:rsidRPr="000E50F1" w:rsidRDefault="00FF51A9" w:rsidP="00812859">
      <w:pPr>
        <w:pStyle w:val="NormalWeb"/>
        <w:spacing w:before="0" w:beforeAutospacing="0" w:after="0" w:afterAutospacing="0"/>
        <w:rPr>
          <w:rFonts w:ascii="Times" w:hAnsi="Times" w:cs="Arial"/>
          <w:bCs/>
        </w:rPr>
      </w:pPr>
      <w:r w:rsidRPr="000E50F1">
        <w:rPr>
          <w:rFonts w:ascii="Times" w:hAnsi="Times" w:cs="Arial"/>
          <w:bCs/>
        </w:rPr>
        <w:t>Overall,</w:t>
      </w:r>
      <w:r w:rsidR="00812859" w:rsidRPr="000E50F1">
        <w:rPr>
          <w:rFonts w:ascii="Times" w:hAnsi="Times" w:cs="Arial"/>
          <w:bCs/>
        </w:rPr>
        <w:t xml:space="preserve"> the relationship between P7 and students could be lacking rapport, and admittedly, P7 cited little disclosure from students about their personal challenges, which could have resulted in dismissal of possible mental health-related issues and missed opportunities to bridge students to support:</w:t>
      </w:r>
    </w:p>
    <w:p w14:paraId="3272981E" w14:textId="77777777" w:rsidR="00812859" w:rsidRPr="000E50F1" w:rsidRDefault="00812859" w:rsidP="00812859">
      <w:pPr>
        <w:pStyle w:val="NormalWeb"/>
        <w:spacing w:before="0" w:beforeAutospacing="0" w:after="0" w:afterAutospacing="0"/>
        <w:rPr>
          <w:rFonts w:ascii="Times" w:hAnsi="Times" w:cs="Arial"/>
          <w:bCs/>
        </w:rPr>
      </w:pPr>
    </w:p>
    <w:p w14:paraId="71429741" w14:textId="77777777" w:rsidR="00812859" w:rsidRPr="000E50F1" w:rsidRDefault="00812859" w:rsidP="00812859">
      <w:pPr>
        <w:ind w:left="567" w:right="571"/>
        <w:rPr>
          <w:rFonts w:ascii="Times" w:hAnsi="Times" w:cs="Arial"/>
          <w:bCs/>
        </w:rPr>
      </w:pPr>
      <w:r w:rsidRPr="000E50F1">
        <w:rPr>
          <w:rFonts w:ascii="Times" w:hAnsi="Times" w:cs="Arial"/>
          <w:bCs/>
        </w:rPr>
        <w:t>I don’t really deal with mental health. It depends on the school. If the students don’t ask me for help, I don’t know…-P7</w:t>
      </w:r>
    </w:p>
    <w:p w14:paraId="22B18915" w14:textId="77777777" w:rsidR="00812859" w:rsidRPr="000E50F1" w:rsidRDefault="00812859" w:rsidP="00812859">
      <w:pPr>
        <w:pStyle w:val="NormalWeb"/>
        <w:spacing w:before="0" w:beforeAutospacing="0" w:after="0" w:afterAutospacing="0"/>
        <w:rPr>
          <w:rFonts w:ascii="Times" w:hAnsi="Times" w:cs="Arial"/>
          <w:bCs/>
        </w:rPr>
      </w:pPr>
    </w:p>
    <w:p w14:paraId="0FE4B6D6" w14:textId="77777777" w:rsidR="00812859" w:rsidRPr="000E50F1" w:rsidRDefault="00812859" w:rsidP="00812859">
      <w:pPr>
        <w:pStyle w:val="NormalWeb"/>
        <w:spacing w:before="0" w:beforeAutospacing="0" w:after="0" w:afterAutospacing="0"/>
        <w:ind w:left="567" w:right="571"/>
        <w:rPr>
          <w:rFonts w:ascii="Times" w:hAnsi="Times" w:cs="Arial"/>
        </w:rPr>
      </w:pPr>
      <w:r w:rsidRPr="000E50F1">
        <w:rPr>
          <w:rFonts w:ascii="Times" w:hAnsi="Times" w:cs="Arial"/>
          <w:bCs/>
        </w:rPr>
        <w:t>Like some kids you can see that they are not happy so I will ask them, and they say, ‘no, no, it’s just a family issue’ and they don’t share with me anything about that. ‘I’m not happy about parents’, this and that but they don’t share it and I don’t know the reason. ‘Do you need a job?’ ‘Yeah, I need a job’. Something like that. Job-related. -P7</w:t>
      </w:r>
    </w:p>
    <w:p w14:paraId="18B51C1A" w14:textId="77777777" w:rsidR="00537CEF" w:rsidRPr="000E50F1" w:rsidRDefault="00537CEF" w:rsidP="00537CEF">
      <w:pPr>
        <w:pStyle w:val="NormalWeb"/>
        <w:spacing w:before="0" w:beforeAutospacing="0" w:after="0" w:afterAutospacing="0"/>
        <w:rPr>
          <w:rFonts w:ascii="Times" w:hAnsi="Times" w:cs="Arial"/>
          <w:bCs/>
        </w:rPr>
      </w:pPr>
    </w:p>
    <w:p w14:paraId="2423F0E5" w14:textId="3C482C5F" w:rsidR="00537CEF" w:rsidRPr="000E50F1" w:rsidRDefault="00BA427D" w:rsidP="00537CEF">
      <w:pPr>
        <w:pStyle w:val="NormalWeb"/>
        <w:spacing w:before="0" w:beforeAutospacing="0" w:after="0" w:afterAutospacing="0"/>
        <w:rPr>
          <w:rFonts w:ascii="Times" w:hAnsi="Times" w:cs="Arial"/>
          <w:bCs/>
        </w:rPr>
      </w:pPr>
      <w:r w:rsidRPr="000E50F1">
        <w:rPr>
          <w:rFonts w:ascii="Times" w:hAnsi="Times" w:cs="Arial"/>
          <w:bCs/>
        </w:rPr>
        <w:t>The last interview with one SWIS worker</w:t>
      </w:r>
      <w:r w:rsidR="00537CEF" w:rsidRPr="000E50F1">
        <w:rPr>
          <w:rFonts w:ascii="Times" w:hAnsi="Times" w:cs="Arial"/>
          <w:bCs/>
        </w:rPr>
        <w:t xml:space="preserve">, </w:t>
      </w:r>
      <w:r w:rsidRPr="000E50F1">
        <w:rPr>
          <w:rFonts w:ascii="Times" w:hAnsi="Times" w:cs="Arial"/>
          <w:bCs/>
        </w:rPr>
        <w:t xml:space="preserve">who agreed to participate </w:t>
      </w:r>
      <w:r w:rsidR="00652AB2" w:rsidRPr="000E50F1">
        <w:rPr>
          <w:rFonts w:ascii="Times" w:hAnsi="Times" w:cs="Arial"/>
          <w:bCs/>
        </w:rPr>
        <w:t xml:space="preserve">in the research and for notes to be taken during the interview, </w:t>
      </w:r>
      <w:r w:rsidR="00812859" w:rsidRPr="000E50F1">
        <w:rPr>
          <w:rFonts w:ascii="Times" w:hAnsi="Times" w:cs="Arial"/>
          <w:bCs/>
        </w:rPr>
        <w:t xml:space="preserve">revealed </w:t>
      </w:r>
      <w:r w:rsidRPr="000E50F1">
        <w:rPr>
          <w:rFonts w:ascii="Times" w:hAnsi="Times" w:cs="Arial"/>
          <w:bCs/>
        </w:rPr>
        <w:t xml:space="preserve">important </w:t>
      </w:r>
      <w:r w:rsidR="00812859" w:rsidRPr="000E50F1">
        <w:rPr>
          <w:rFonts w:ascii="Times" w:hAnsi="Times" w:cs="Arial"/>
          <w:bCs/>
        </w:rPr>
        <w:t xml:space="preserve">insight into the </w:t>
      </w:r>
      <w:r w:rsidR="000B3A40" w:rsidRPr="000E50F1">
        <w:rPr>
          <w:rFonts w:ascii="Times" w:hAnsi="Times" w:cs="Arial"/>
          <w:bCs/>
        </w:rPr>
        <w:t xml:space="preserve">sensitivity and </w:t>
      </w:r>
      <w:r w:rsidRPr="000E50F1">
        <w:rPr>
          <w:rFonts w:ascii="Times" w:hAnsi="Times" w:cs="Arial"/>
          <w:bCs/>
        </w:rPr>
        <w:t>difficult</w:t>
      </w:r>
      <w:r w:rsidR="000B3A40" w:rsidRPr="000E50F1">
        <w:rPr>
          <w:rFonts w:ascii="Times" w:hAnsi="Times" w:cs="Arial"/>
          <w:bCs/>
        </w:rPr>
        <w:t xml:space="preserve">y </w:t>
      </w:r>
      <w:r w:rsidR="00537CEF" w:rsidRPr="000E50F1">
        <w:rPr>
          <w:rFonts w:ascii="Times" w:hAnsi="Times" w:cs="Arial"/>
          <w:bCs/>
        </w:rPr>
        <w:t>of</w:t>
      </w:r>
      <w:r w:rsidR="000B3A40" w:rsidRPr="000E50F1">
        <w:rPr>
          <w:rFonts w:ascii="Times" w:hAnsi="Times" w:cs="Arial"/>
          <w:bCs/>
        </w:rPr>
        <w:t xml:space="preserve"> some SWIS workers to openly</w:t>
      </w:r>
      <w:r w:rsidR="00812859" w:rsidRPr="000E50F1">
        <w:rPr>
          <w:rFonts w:ascii="Times" w:hAnsi="Times" w:cs="Arial"/>
          <w:bCs/>
        </w:rPr>
        <w:t xml:space="preserve"> </w:t>
      </w:r>
      <w:r w:rsidRPr="000E50F1">
        <w:rPr>
          <w:rFonts w:ascii="Times" w:hAnsi="Times" w:cs="Arial"/>
          <w:bCs/>
        </w:rPr>
        <w:t xml:space="preserve">discuss </w:t>
      </w:r>
      <w:r w:rsidR="00812859" w:rsidRPr="000E50F1">
        <w:rPr>
          <w:rFonts w:ascii="Times" w:hAnsi="Times" w:cs="Arial"/>
          <w:bCs/>
        </w:rPr>
        <w:t>mental health-related issues</w:t>
      </w:r>
      <w:r w:rsidR="000B3A40" w:rsidRPr="000E50F1">
        <w:rPr>
          <w:rFonts w:ascii="Times" w:hAnsi="Times" w:cs="Arial"/>
          <w:bCs/>
        </w:rPr>
        <w:t xml:space="preserve"> </w:t>
      </w:r>
      <w:r w:rsidR="00812859" w:rsidRPr="000E50F1">
        <w:rPr>
          <w:rFonts w:ascii="Times" w:hAnsi="Times" w:cs="Arial"/>
          <w:bCs/>
        </w:rPr>
        <w:t xml:space="preserve">and/or mental illness as a socially accepted norm. </w:t>
      </w:r>
      <w:r w:rsidR="00652AB2" w:rsidRPr="000E50F1">
        <w:rPr>
          <w:rFonts w:ascii="Times" w:hAnsi="Times" w:cs="Arial"/>
          <w:bCs/>
        </w:rPr>
        <w:t>This interview was not audio-recorded to further ensure anonymity</w:t>
      </w:r>
      <w:r w:rsidR="003271D4" w:rsidRPr="000E50F1">
        <w:rPr>
          <w:rFonts w:ascii="Times" w:hAnsi="Times" w:cs="Arial"/>
          <w:bCs/>
        </w:rPr>
        <w:t xml:space="preserve">. </w:t>
      </w:r>
      <w:r w:rsidR="00BE3D52" w:rsidRPr="000E50F1">
        <w:rPr>
          <w:rFonts w:ascii="Times" w:hAnsi="Times" w:cs="Arial"/>
          <w:bCs/>
        </w:rPr>
        <w:t xml:space="preserve">Personal excerpts from this interview have been left out in the reporting of research findings but interview notes were used in triangulating evidence of stigma and shame across SWIS workers. </w:t>
      </w:r>
      <w:r w:rsidR="00F76039" w:rsidRPr="000E50F1">
        <w:rPr>
          <w:rFonts w:ascii="Times" w:hAnsi="Times" w:cs="Arial"/>
          <w:bCs/>
        </w:rPr>
        <w:t>M</w:t>
      </w:r>
      <w:r w:rsidR="000B3A40" w:rsidRPr="000E50F1">
        <w:rPr>
          <w:rFonts w:ascii="Times" w:hAnsi="Times" w:cs="Arial"/>
          <w:bCs/>
        </w:rPr>
        <w:t>any</w:t>
      </w:r>
      <w:r w:rsidR="00FD4FAB" w:rsidRPr="000E50F1">
        <w:rPr>
          <w:rFonts w:ascii="Times" w:hAnsi="Times" w:cs="Arial"/>
          <w:bCs/>
        </w:rPr>
        <w:t xml:space="preserve"> SWIS workers </w:t>
      </w:r>
      <w:r w:rsidR="000B3A40" w:rsidRPr="000E50F1">
        <w:rPr>
          <w:rFonts w:ascii="Times" w:hAnsi="Times" w:cs="Arial"/>
          <w:bCs/>
        </w:rPr>
        <w:t xml:space="preserve">referenced </w:t>
      </w:r>
      <w:r w:rsidR="00FD4FAB" w:rsidRPr="000E50F1">
        <w:rPr>
          <w:rFonts w:ascii="Times" w:hAnsi="Times" w:cs="Arial"/>
          <w:bCs/>
        </w:rPr>
        <w:t>personal experience of mental health-related challenges (</w:t>
      </w:r>
      <w:r w:rsidR="00FF51A9" w:rsidRPr="000E50F1">
        <w:rPr>
          <w:rFonts w:ascii="Times" w:hAnsi="Times" w:cs="Arial"/>
          <w:bCs/>
        </w:rPr>
        <w:t>e.g.,</w:t>
      </w:r>
      <w:r w:rsidR="00FD4FAB" w:rsidRPr="000E50F1">
        <w:rPr>
          <w:rFonts w:ascii="Times" w:hAnsi="Times" w:cs="Arial"/>
          <w:bCs/>
        </w:rPr>
        <w:t xml:space="preserve"> depression)</w:t>
      </w:r>
      <w:r w:rsidR="000B3A40" w:rsidRPr="000E50F1">
        <w:rPr>
          <w:rFonts w:ascii="Times" w:hAnsi="Times" w:cs="Arial"/>
          <w:bCs/>
        </w:rPr>
        <w:t xml:space="preserve"> and </w:t>
      </w:r>
      <w:r w:rsidR="00812859" w:rsidRPr="000E50F1">
        <w:rPr>
          <w:rFonts w:ascii="Times" w:hAnsi="Times" w:cs="Arial"/>
          <w:bCs/>
        </w:rPr>
        <w:t>family-based mental health-related stigma</w:t>
      </w:r>
      <w:r w:rsidRPr="000E50F1">
        <w:rPr>
          <w:rFonts w:ascii="Times" w:hAnsi="Times" w:cs="Arial"/>
          <w:bCs/>
        </w:rPr>
        <w:t xml:space="preserve"> and shame</w:t>
      </w:r>
      <w:r w:rsidR="000B3A40" w:rsidRPr="000E50F1">
        <w:rPr>
          <w:rFonts w:ascii="Times" w:hAnsi="Times" w:cs="Arial"/>
          <w:bCs/>
        </w:rPr>
        <w:t xml:space="preserve">, </w:t>
      </w:r>
      <w:r w:rsidR="00F76039" w:rsidRPr="000E50F1">
        <w:rPr>
          <w:rFonts w:ascii="Times" w:hAnsi="Times" w:cs="Arial"/>
          <w:bCs/>
        </w:rPr>
        <w:t xml:space="preserve">which </w:t>
      </w:r>
      <w:r w:rsidR="000B3A40" w:rsidRPr="000E50F1">
        <w:rPr>
          <w:rFonts w:ascii="Times" w:hAnsi="Times" w:cs="Arial"/>
          <w:bCs/>
        </w:rPr>
        <w:t>helped</w:t>
      </w:r>
      <w:r w:rsidRPr="000E50F1">
        <w:rPr>
          <w:rFonts w:ascii="Times" w:hAnsi="Times" w:cs="Arial"/>
          <w:bCs/>
        </w:rPr>
        <w:t xml:space="preserve"> to shed light on</w:t>
      </w:r>
      <w:r w:rsidR="00FD4FAB" w:rsidRPr="000E50F1">
        <w:rPr>
          <w:rFonts w:ascii="Times" w:hAnsi="Times" w:cs="Arial"/>
          <w:bCs/>
        </w:rPr>
        <w:t xml:space="preserve"> the power of cultural systems influencing individual and group</w:t>
      </w:r>
      <w:r w:rsidR="000B3A40" w:rsidRPr="000E50F1">
        <w:rPr>
          <w:rFonts w:ascii="Times" w:hAnsi="Times" w:cs="Arial"/>
          <w:bCs/>
        </w:rPr>
        <w:t xml:space="preserve"> normative codes (</w:t>
      </w:r>
      <w:r w:rsidR="00FF51A9" w:rsidRPr="000E50F1">
        <w:rPr>
          <w:rFonts w:ascii="Times" w:hAnsi="Times" w:cs="Arial"/>
          <w:bCs/>
        </w:rPr>
        <w:t>i.e.,</w:t>
      </w:r>
      <w:r w:rsidR="000B3A40" w:rsidRPr="000E50F1">
        <w:rPr>
          <w:rFonts w:ascii="Times" w:hAnsi="Times" w:cs="Arial"/>
          <w:bCs/>
        </w:rPr>
        <w:t xml:space="preserve"> ways of behaving) towards</w:t>
      </w:r>
      <w:r w:rsidR="00FD4FAB" w:rsidRPr="000E50F1">
        <w:rPr>
          <w:rFonts w:ascii="Times" w:hAnsi="Times" w:cs="Arial"/>
          <w:bCs/>
        </w:rPr>
        <w:t xml:space="preserve"> mental health</w:t>
      </w:r>
      <w:r w:rsidR="000B3A40" w:rsidRPr="000E50F1">
        <w:rPr>
          <w:rFonts w:ascii="Times" w:hAnsi="Times" w:cs="Arial"/>
          <w:bCs/>
        </w:rPr>
        <w:t xml:space="preserve"> and illness</w:t>
      </w:r>
      <w:r w:rsidR="00FD4FAB" w:rsidRPr="000E50F1">
        <w:rPr>
          <w:rFonts w:ascii="Times" w:hAnsi="Times" w:cs="Arial"/>
          <w:bCs/>
        </w:rPr>
        <w:t xml:space="preserve">. </w:t>
      </w:r>
      <w:r w:rsidR="009C6FD4" w:rsidRPr="000E50F1">
        <w:rPr>
          <w:rFonts w:ascii="Times" w:hAnsi="Times" w:cs="Arial"/>
          <w:bCs/>
        </w:rPr>
        <w:t xml:space="preserve">These examples reflect SWIS worker’s personal difficulty </w:t>
      </w:r>
      <w:r w:rsidR="00021A61" w:rsidRPr="000E50F1">
        <w:rPr>
          <w:rFonts w:ascii="Times" w:hAnsi="Times" w:cs="Arial"/>
          <w:bCs/>
        </w:rPr>
        <w:t xml:space="preserve">in </w:t>
      </w:r>
      <w:r w:rsidR="009C6FD4" w:rsidRPr="000E50F1">
        <w:rPr>
          <w:rFonts w:ascii="Times" w:hAnsi="Times" w:cs="Arial"/>
          <w:bCs/>
        </w:rPr>
        <w:t>challenging their own cultural system</w:t>
      </w:r>
      <w:r w:rsidR="00021A61" w:rsidRPr="000E50F1">
        <w:rPr>
          <w:rFonts w:ascii="Times" w:hAnsi="Times" w:cs="Arial"/>
          <w:bCs/>
        </w:rPr>
        <w:t xml:space="preserve"> and behaviour</w:t>
      </w:r>
      <w:r w:rsidR="009C6FD4" w:rsidRPr="000E50F1">
        <w:rPr>
          <w:rFonts w:ascii="Times" w:hAnsi="Times" w:cs="Arial"/>
          <w:bCs/>
        </w:rPr>
        <w:t xml:space="preserve">. </w:t>
      </w:r>
      <w:r w:rsidR="00FD4FAB" w:rsidRPr="000E50F1">
        <w:rPr>
          <w:rFonts w:ascii="Times" w:hAnsi="Times" w:cs="Arial"/>
          <w:bCs/>
        </w:rPr>
        <w:t>Variance in SWIS workers’</w:t>
      </w:r>
      <w:r w:rsidR="001E4182" w:rsidRPr="000E50F1">
        <w:rPr>
          <w:rFonts w:ascii="Times" w:hAnsi="Times" w:cs="Arial"/>
          <w:bCs/>
        </w:rPr>
        <w:t xml:space="preserve"> </w:t>
      </w:r>
      <w:r w:rsidR="00FD4FAB" w:rsidRPr="000E50F1">
        <w:rPr>
          <w:rFonts w:ascii="Times" w:hAnsi="Times" w:cs="Arial"/>
          <w:bCs/>
        </w:rPr>
        <w:t>willingness</w:t>
      </w:r>
      <w:r w:rsidR="001E4182" w:rsidRPr="000E50F1">
        <w:rPr>
          <w:rFonts w:ascii="Times" w:hAnsi="Times" w:cs="Arial"/>
          <w:bCs/>
        </w:rPr>
        <w:t xml:space="preserve"> to integrate and </w:t>
      </w:r>
      <w:r w:rsidR="00537CEF" w:rsidRPr="000E50F1">
        <w:rPr>
          <w:rFonts w:ascii="Times" w:hAnsi="Times" w:cs="Arial"/>
          <w:bCs/>
        </w:rPr>
        <w:t>promote mental health equity</w:t>
      </w:r>
      <w:r w:rsidR="00FD4FAB" w:rsidRPr="000E50F1">
        <w:rPr>
          <w:rFonts w:ascii="Times" w:hAnsi="Times" w:cs="Arial"/>
          <w:bCs/>
        </w:rPr>
        <w:t xml:space="preserve"> </w:t>
      </w:r>
      <w:r w:rsidR="001E4182" w:rsidRPr="000E50F1">
        <w:rPr>
          <w:rFonts w:ascii="Times" w:hAnsi="Times" w:cs="Arial"/>
          <w:bCs/>
        </w:rPr>
        <w:t xml:space="preserve">suggests that </w:t>
      </w:r>
      <w:r w:rsidR="00812859" w:rsidRPr="000E50F1">
        <w:rPr>
          <w:rFonts w:ascii="Times" w:hAnsi="Times" w:cs="Arial"/>
          <w:bCs/>
        </w:rPr>
        <w:t xml:space="preserve">the role of </w:t>
      </w:r>
      <w:r w:rsidR="00DE3330" w:rsidRPr="000E50F1">
        <w:rPr>
          <w:rFonts w:ascii="Times" w:hAnsi="Times" w:cs="Arial"/>
          <w:bCs/>
        </w:rPr>
        <w:t xml:space="preserve">SWIS workers </w:t>
      </w:r>
      <w:r w:rsidR="00812859" w:rsidRPr="000E50F1">
        <w:rPr>
          <w:rFonts w:ascii="Times" w:hAnsi="Times" w:cs="Arial"/>
          <w:bCs/>
        </w:rPr>
        <w:t xml:space="preserve">in bridging students to mental health services </w:t>
      </w:r>
      <w:r w:rsidR="001E4182" w:rsidRPr="000E50F1">
        <w:rPr>
          <w:rFonts w:ascii="Times" w:hAnsi="Times" w:cs="Arial"/>
          <w:bCs/>
        </w:rPr>
        <w:t>is</w:t>
      </w:r>
      <w:r w:rsidR="00812859" w:rsidRPr="000E50F1">
        <w:rPr>
          <w:rFonts w:ascii="Times" w:hAnsi="Times" w:cs="Arial"/>
          <w:bCs/>
        </w:rPr>
        <w:t xml:space="preserve"> not uniform. These variations </w:t>
      </w:r>
      <w:r w:rsidR="009C6FD4" w:rsidRPr="000E50F1">
        <w:rPr>
          <w:rFonts w:ascii="Times" w:hAnsi="Times" w:cs="Arial"/>
          <w:bCs/>
        </w:rPr>
        <w:t>affirm</w:t>
      </w:r>
      <w:r w:rsidR="00812859" w:rsidRPr="000E50F1">
        <w:rPr>
          <w:rFonts w:ascii="Times" w:hAnsi="Times" w:cs="Arial"/>
          <w:bCs/>
        </w:rPr>
        <w:t xml:space="preserve"> to the </w:t>
      </w:r>
      <w:r w:rsidR="001E4182" w:rsidRPr="000E50F1">
        <w:rPr>
          <w:rFonts w:ascii="Times" w:hAnsi="Times" w:cs="Arial"/>
          <w:bCs/>
        </w:rPr>
        <w:t>need for roles, training, ethical standards</w:t>
      </w:r>
      <w:r w:rsidR="00537CEF" w:rsidRPr="000E50F1">
        <w:rPr>
          <w:rFonts w:ascii="Times" w:hAnsi="Times" w:cs="Arial"/>
          <w:bCs/>
        </w:rPr>
        <w:t>,</w:t>
      </w:r>
      <w:r w:rsidR="001E4182" w:rsidRPr="000E50F1">
        <w:rPr>
          <w:rFonts w:ascii="Times" w:hAnsi="Times" w:cs="Arial"/>
          <w:bCs/>
        </w:rPr>
        <w:t xml:space="preserve"> and funding for culture brokers as suggested by Kirmayer and Jarvis (2019)</w:t>
      </w:r>
      <w:r w:rsidR="00537CEF" w:rsidRPr="000E50F1">
        <w:rPr>
          <w:rFonts w:ascii="Times" w:hAnsi="Times" w:cs="Arial"/>
          <w:bCs/>
        </w:rPr>
        <w:t xml:space="preserve">, which can help </w:t>
      </w:r>
      <w:r w:rsidR="00F76039" w:rsidRPr="000E50F1">
        <w:rPr>
          <w:rFonts w:ascii="Times" w:hAnsi="Times" w:cs="Arial"/>
          <w:bCs/>
        </w:rPr>
        <w:t>bring leverage</w:t>
      </w:r>
      <w:r w:rsidR="001E4182" w:rsidRPr="000E50F1">
        <w:rPr>
          <w:rFonts w:ascii="Times" w:hAnsi="Times" w:cs="Arial"/>
          <w:bCs/>
        </w:rPr>
        <w:t xml:space="preserve"> school</w:t>
      </w:r>
      <w:r w:rsidR="00537CEF" w:rsidRPr="000E50F1">
        <w:rPr>
          <w:rFonts w:ascii="Times" w:hAnsi="Times" w:cs="Arial"/>
          <w:bCs/>
        </w:rPr>
        <w:t>-</w:t>
      </w:r>
      <w:r w:rsidR="001E4182" w:rsidRPr="000E50F1">
        <w:rPr>
          <w:rFonts w:ascii="Times" w:hAnsi="Times" w:cs="Arial"/>
          <w:bCs/>
        </w:rPr>
        <w:t xml:space="preserve">based </w:t>
      </w:r>
      <w:r w:rsidR="00021A61" w:rsidRPr="000E50F1">
        <w:rPr>
          <w:rFonts w:ascii="Times" w:hAnsi="Times" w:cs="Arial"/>
          <w:bCs/>
        </w:rPr>
        <w:t>mental health with</w:t>
      </w:r>
      <w:r w:rsidR="001E4182" w:rsidRPr="000E50F1">
        <w:rPr>
          <w:rFonts w:ascii="Times" w:hAnsi="Times" w:cs="Arial"/>
          <w:bCs/>
        </w:rPr>
        <w:t xml:space="preserve"> school-based </w:t>
      </w:r>
      <w:r w:rsidR="00021A61" w:rsidRPr="000E50F1">
        <w:rPr>
          <w:rFonts w:ascii="Times" w:hAnsi="Times" w:cs="Arial"/>
          <w:bCs/>
        </w:rPr>
        <w:t>settl</w:t>
      </w:r>
      <w:r w:rsidR="00B15B12" w:rsidRPr="000E50F1">
        <w:rPr>
          <w:rFonts w:ascii="Times" w:hAnsi="Times" w:cs="Arial"/>
          <w:bCs/>
        </w:rPr>
        <w:t>e</w:t>
      </w:r>
      <w:r w:rsidR="00021A61" w:rsidRPr="000E50F1">
        <w:rPr>
          <w:rFonts w:ascii="Times" w:hAnsi="Times" w:cs="Arial"/>
          <w:bCs/>
        </w:rPr>
        <w:t>ment</w:t>
      </w:r>
      <w:r w:rsidR="001E4182" w:rsidRPr="000E50F1">
        <w:rPr>
          <w:rFonts w:ascii="Times" w:hAnsi="Times" w:cs="Arial"/>
          <w:bCs/>
        </w:rPr>
        <w:t>. M</w:t>
      </w:r>
      <w:r w:rsidR="00812859" w:rsidRPr="000E50F1">
        <w:rPr>
          <w:rFonts w:ascii="Times" w:hAnsi="Times" w:cs="Arial"/>
          <w:bCs/>
        </w:rPr>
        <w:t>ental health training (</w:t>
      </w:r>
      <w:r w:rsidR="00FF51A9" w:rsidRPr="000E50F1">
        <w:rPr>
          <w:rFonts w:ascii="Times" w:hAnsi="Times" w:cs="Arial"/>
          <w:bCs/>
        </w:rPr>
        <w:t>e.g.,</w:t>
      </w:r>
      <w:r w:rsidR="00812859" w:rsidRPr="000E50F1">
        <w:rPr>
          <w:rFonts w:ascii="Times" w:hAnsi="Times" w:cs="Arial"/>
          <w:bCs/>
        </w:rPr>
        <w:t xml:space="preserve"> The Immigrant and Refugee Mental Health Project from </w:t>
      </w:r>
      <w:r w:rsidR="00021A61" w:rsidRPr="000E50F1">
        <w:rPr>
          <w:rFonts w:ascii="Times" w:hAnsi="Times" w:cs="Arial"/>
          <w:bCs/>
        </w:rPr>
        <w:t>the Centre for Addictions and Mental Health</w:t>
      </w:r>
      <w:r w:rsidR="00812859" w:rsidRPr="000E50F1">
        <w:rPr>
          <w:rFonts w:ascii="Times" w:hAnsi="Times" w:cs="Arial"/>
          <w:bCs/>
        </w:rPr>
        <w:t>) for SWIS</w:t>
      </w:r>
      <w:r w:rsidR="00DE3330" w:rsidRPr="000E50F1">
        <w:rPr>
          <w:rFonts w:ascii="Times" w:hAnsi="Times" w:cs="Arial"/>
          <w:bCs/>
        </w:rPr>
        <w:t xml:space="preserve"> workers</w:t>
      </w:r>
      <w:r w:rsidR="00812859" w:rsidRPr="000E50F1">
        <w:rPr>
          <w:rFonts w:ascii="Times" w:hAnsi="Times" w:cs="Arial"/>
          <w:bCs/>
        </w:rPr>
        <w:t xml:space="preserve"> </w:t>
      </w:r>
      <w:r w:rsidR="00537CEF" w:rsidRPr="000E50F1">
        <w:rPr>
          <w:rFonts w:ascii="Times" w:hAnsi="Times" w:cs="Arial"/>
          <w:bCs/>
        </w:rPr>
        <w:t xml:space="preserve">and educators is one </w:t>
      </w:r>
      <w:r w:rsidR="001E4182" w:rsidRPr="000E50F1">
        <w:rPr>
          <w:rFonts w:ascii="Times" w:hAnsi="Times" w:cs="Arial"/>
          <w:bCs/>
        </w:rPr>
        <w:t>opportunity to build staff capacity in learning and</w:t>
      </w:r>
      <w:r w:rsidR="00074D6B" w:rsidRPr="000E50F1">
        <w:rPr>
          <w:rFonts w:ascii="Times" w:hAnsi="Times" w:cs="Arial"/>
          <w:bCs/>
        </w:rPr>
        <w:t xml:space="preserve"> building</w:t>
      </w:r>
      <w:r w:rsidR="001E4182" w:rsidRPr="000E50F1">
        <w:rPr>
          <w:rFonts w:ascii="Times" w:hAnsi="Times" w:cs="Arial"/>
          <w:bCs/>
        </w:rPr>
        <w:t xml:space="preserve"> mental health literacy</w:t>
      </w:r>
      <w:r w:rsidR="00537CEF" w:rsidRPr="000E50F1">
        <w:rPr>
          <w:rFonts w:ascii="Times" w:hAnsi="Times" w:cs="Arial"/>
          <w:bCs/>
        </w:rPr>
        <w:t xml:space="preserve"> while supporting MHP, innovation and scale-up.</w:t>
      </w:r>
    </w:p>
    <w:p w14:paraId="4BC219CA" w14:textId="77777777" w:rsidR="00082219" w:rsidRPr="000E50F1" w:rsidRDefault="00082219" w:rsidP="00537CEF">
      <w:pPr>
        <w:pStyle w:val="NormalWeb"/>
        <w:spacing w:before="0" w:beforeAutospacing="0" w:after="0" w:afterAutospacing="0"/>
        <w:rPr>
          <w:rFonts w:ascii="Arial Narrow" w:hAnsi="Arial Narrow"/>
          <w:b/>
          <w:bCs/>
          <w:i/>
          <w:iCs/>
          <w:sz w:val="20"/>
          <w:szCs w:val="20"/>
        </w:rPr>
      </w:pPr>
    </w:p>
    <w:p w14:paraId="6FF2C82D" w14:textId="77777777" w:rsidR="00583171" w:rsidRPr="000E50F1" w:rsidRDefault="00EA74C0" w:rsidP="00583171">
      <w:pPr>
        <w:rPr>
          <w:rFonts w:ascii="Times" w:hAnsi="Times" w:cs="Arial"/>
          <w:b/>
        </w:rPr>
      </w:pPr>
      <w:r w:rsidRPr="000E50F1">
        <w:rPr>
          <w:rFonts w:ascii="Times" w:hAnsi="Times" w:cs="Arial"/>
          <w:b/>
        </w:rPr>
        <w:t>Discussion and Conclusion</w:t>
      </w:r>
    </w:p>
    <w:p w14:paraId="3978B02D" w14:textId="49333AC8" w:rsidR="00583171" w:rsidRPr="000E50F1" w:rsidRDefault="00812859" w:rsidP="00BD2EBF">
      <w:pPr>
        <w:rPr>
          <w:rFonts w:ascii="Times" w:hAnsi="Times" w:cs="Arial"/>
          <w:b/>
        </w:rPr>
      </w:pPr>
      <w:r w:rsidRPr="000E50F1">
        <w:rPr>
          <w:rFonts w:ascii="Times" w:hAnsi="Times" w:cs="Arial"/>
          <w:bCs/>
          <w:lang w:val="en-US"/>
        </w:rPr>
        <w:t xml:space="preserve">Despite the growing research and evidence for school-based mental health intervention for youth, very little has been translated into practice for immigrant students in Canada. In this research, we explored the use of settlement workers in schools to bridge mental health education for immigrant students. </w:t>
      </w:r>
      <w:r w:rsidR="006768BD" w:rsidRPr="000E50F1">
        <w:rPr>
          <w:rFonts w:ascii="Times" w:hAnsi="Times" w:cs="Arial"/>
          <w:bCs/>
          <w:lang w:val="en-US"/>
        </w:rPr>
        <w:t xml:space="preserve">A limitation of this research is that it did not include the voices of newcomer students or families: </w:t>
      </w:r>
      <w:r w:rsidR="006768BD" w:rsidRPr="000E50F1">
        <w:rPr>
          <w:rFonts w:ascii="Times" w:hAnsi="Times"/>
        </w:rPr>
        <w:t xml:space="preserve">their experiences would be valuable to corroborate the emergent themes </w:t>
      </w:r>
      <w:r w:rsidR="00583171" w:rsidRPr="000E50F1">
        <w:rPr>
          <w:rFonts w:ascii="Times" w:hAnsi="Times"/>
        </w:rPr>
        <w:t>found in</w:t>
      </w:r>
      <w:r w:rsidR="006768BD" w:rsidRPr="000E50F1">
        <w:rPr>
          <w:rFonts w:ascii="Times" w:hAnsi="Times"/>
        </w:rPr>
        <w:t xml:space="preserve"> this study</w:t>
      </w:r>
      <w:r w:rsidR="006768BD" w:rsidRPr="000E50F1">
        <w:rPr>
          <w:rFonts w:ascii="Times" w:hAnsi="Times" w:cs="Arial"/>
          <w:bCs/>
          <w:lang w:val="en-US"/>
        </w:rPr>
        <w:t xml:space="preserve">. </w:t>
      </w:r>
      <w:r w:rsidRPr="000E50F1">
        <w:rPr>
          <w:rFonts w:ascii="Times" w:hAnsi="Times" w:cs="Arial"/>
          <w:bCs/>
          <w:lang w:val="en-US"/>
        </w:rPr>
        <w:t xml:space="preserve">Implications for practice using settlement workers as cultural brokers in schools in MHP are discussed below. Additionally, rich findings embedded in the data on cultural barriers and individual and family-level converge and </w:t>
      </w:r>
      <w:r w:rsidRPr="000E50F1">
        <w:rPr>
          <w:rFonts w:ascii="Times" w:hAnsi="Times" w:cs="Arial"/>
          <w:bCs/>
          <w:lang w:val="en-US"/>
        </w:rPr>
        <w:lastRenderedPageBreak/>
        <w:t>challenge some key assumptions in the current literature on immigrant health equity, expanding the discussion of mental health inaccessibility amongst youth.</w:t>
      </w:r>
    </w:p>
    <w:p w14:paraId="1A0F1955" w14:textId="77777777" w:rsidR="000B196E" w:rsidRPr="000E50F1" w:rsidRDefault="000B196E" w:rsidP="00812859">
      <w:pPr>
        <w:ind w:right="4"/>
        <w:rPr>
          <w:rFonts w:ascii="Times" w:hAnsi="Times" w:cs="Arial"/>
          <w:b/>
          <w:i/>
          <w:iCs/>
          <w:lang w:val="en-US"/>
        </w:rPr>
      </w:pPr>
    </w:p>
    <w:p w14:paraId="765C34AF" w14:textId="36CAB85A" w:rsidR="00812859" w:rsidRPr="000E50F1" w:rsidRDefault="00812859" w:rsidP="00812859">
      <w:pPr>
        <w:ind w:right="4"/>
        <w:rPr>
          <w:rFonts w:ascii="Times" w:hAnsi="Times" w:cs="Arial"/>
          <w:bCs/>
          <w:i/>
          <w:iCs/>
          <w:lang w:val="en-US"/>
        </w:rPr>
      </w:pPr>
      <w:r w:rsidRPr="000E50F1">
        <w:rPr>
          <w:rFonts w:ascii="Times" w:hAnsi="Times" w:cs="Arial"/>
          <w:b/>
          <w:i/>
          <w:iCs/>
          <w:lang w:val="en-US"/>
        </w:rPr>
        <w:t xml:space="preserve">Implications for Practice </w:t>
      </w:r>
    </w:p>
    <w:p w14:paraId="4A5E24BF" w14:textId="77777777" w:rsidR="00812859" w:rsidRPr="000E50F1" w:rsidRDefault="00812859" w:rsidP="00812859">
      <w:pPr>
        <w:ind w:right="4"/>
        <w:rPr>
          <w:rFonts w:ascii="Times" w:hAnsi="Times" w:cs="Arial"/>
          <w:bCs/>
          <w:lang w:val="en-US"/>
        </w:rPr>
      </w:pPr>
      <w:r w:rsidRPr="000E50F1">
        <w:rPr>
          <w:rFonts w:ascii="Times" w:hAnsi="Times" w:cs="Arial"/>
          <w:bCs/>
          <w:lang w:val="en-US"/>
        </w:rPr>
        <w:t>Cultural brokering remains a relatively new concept in mental health service delivery for immigrants and refugees despite its recognition in the field (Singh et al. 1999; Kirmayer et al 2003; Brar-Josan and Yohani 2014). Kirmayer et al. (2011) notes that the use of professional interpreters in the medical field can substantially improve communication and reduce disparities in medical services, including psychosocial interventions. Kanagaratnam et al. (2017) notes that little is known about the actual process of using brokers in immigrant mental health and call for further research to develop best practices. The findings from this study suggest several strengths and challenges in the use of cultural brokers in mental health practice.</w:t>
      </w:r>
    </w:p>
    <w:p w14:paraId="18B480F1" w14:textId="77777777" w:rsidR="00812859" w:rsidRPr="000E50F1" w:rsidRDefault="00812859" w:rsidP="00812859">
      <w:pPr>
        <w:ind w:right="4"/>
        <w:rPr>
          <w:rFonts w:ascii="Times" w:hAnsi="Times" w:cs="Arial"/>
          <w:bCs/>
          <w:lang w:val="en-US"/>
        </w:rPr>
      </w:pPr>
    </w:p>
    <w:p w14:paraId="5FC350F3" w14:textId="395C45A4" w:rsidR="00812859" w:rsidRPr="000E50F1" w:rsidRDefault="00812859" w:rsidP="00812859">
      <w:pPr>
        <w:ind w:right="4"/>
        <w:rPr>
          <w:rFonts w:ascii="Times" w:hAnsi="Times" w:cs="Arial"/>
          <w:bCs/>
          <w:lang w:val="en-US"/>
        </w:rPr>
      </w:pPr>
      <w:r w:rsidRPr="000E50F1">
        <w:rPr>
          <w:rFonts w:ascii="Times" w:hAnsi="Times" w:cs="Arial"/>
          <w:bCs/>
          <w:lang w:val="en-US"/>
        </w:rPr>
        <w:t>Overall, the current findings echoed the findings Brar-Josan and Yohani (201</w:t>
      </w:r>
      <w:r w:rsidR="00D86D86" w:rsidRPr="000E50F1">
        <w:rPr>
          <w:rFonts w:ascii="Times" w:hAnsi="Times" w:cs="Arial"/>
          <w:bCs/>
          <w:lang w:val="en-US"/>
        </w:rPr>
        <w:t>9</w:t>
      </w:r>
      <w:r w:rsidRPr="000E50F1">
        <w:rPr>
          <w:rFonts w:ascii="Times" w:hAnsi="Times" w:cs="Arial"/>
          <w:bCs/>
          <w:lang w:val="en-US"/>
        </w:rPr>
        <w:t xml:space="preserve">) of cultural brokers successfully engaging youth in mental health education and mediating youth service connection, fostered by brokers strong connection to the service landscape and skills in cultural competency. Integrating practices such as </w:t>
      </w:r>
      <w:r w:rsidRPr="000E50F1">
        <w:rPr>
          <w:rFonts w:ascii="Times" w:hAnsi="Times" w:cs="Arial"/>
          <w:bCs/>
        </w:rPr>
        <w:t xml:space="preserve">taking a </w:t>
      </w:r>
      <w:r w:rsidRPr="000E50F1">
        <w:rPr>
          <w:rFonts w:ascii="Times" w:hAnsi="Times" w:cs="Arial"/>
          <w:bCs/>
          <w:lang w:val="en-US"/>
        </w:rPr>
        <w:t xml:space="preserve">countercultural direction with students (Lo and Fung 2003) and modifying prescriptive training modules to fit within students’ social, cultural and post-migration context also helped students to increase engagement and achieve learning outcomes. </w:t>
      </w:r>
      <w:r w:rsidR="00DE3330" w:rsidRPr="000E50F1">
        <w:rPr>
          <w:rFonts w:ascii="Times" w:hAnsi="Times" w:cs="Arial"/>
          <w:bCs/>
        </w:rPr>
        <w:t xml:space="preserve">SWIS </w:t>
      </w:r>
      <w:r w:rsidR="00DE3330" w:rsidRPr="000E50F1">
        <w:rPr>
          <w:rFonts w:ascii="Times" w:hAnsi="Times" w:cs="Arial"/>
          <w:bCs/>
          <w:lang w:val="en-US"/>
        </w:rPr>
        <w:t>workers</w:t>
      </w:r>
      <w:r w:rsidR="00DE3330" w:rsidRPr="000E50F1">
        <w:rPr>
          <w:rFonts w:ascii="Times" w:hAnsi="Times" w:cs="Arial"/>
          <w:bCs/>
        </w:rPr>
        <w:t xml:space="preserve"> </w:t>
      </w:r>
      <w:r w:rsidRPr="000E50F1">
        <w:rPr>
          <w:rFonts w:ascii="Times" w:hAnsi="Times" w:cs="Arial"/>
          <w:bCs/>
          <w:lang w:val="en-US"/>
        </w:rPr>
        <w:t xml:space="preserve">also helped youth to </w:t>
      </w:r>
      <w:r w:rsidRPr="000E50F1">
        <w:rPr>
          <w:rFonts w:ascii="Times" w:eastAsia="Calibri" w:hAnsi="Times" w:cs="Arial"/>
          <w:bCs/>
        </w:rPr>
        <w:t>navigate local systems and locate</w:t>
      </w:r>
      <w:r w:rsidRPr="000E50F1">
        <w:rPr>
          <w:rFonts w:ascii="Times" w:hAnsi="Times" w:cs="Arial"/>
          <w:bCs/>
        </w:rPr>
        <w:t xml:space="preserve"> </w:t>
      </w:r>
      <w:r w:rsidRPr="000E50F1">
        <w:rPr>
          <w:rFonts w:ascii="Times" w:hAnsi="Times" w:cs="Arial"/>
          <w:bCs/>
          <w:lang w:val="en-US"/>
        </w:rPr>
        <w:t xml:space="preserve">resources within the formal host networks. Activated host support networks are important resources for immigrant communities in mental health given that </w:t>
      </w:r>
      <w:r w:rsidRPr="000E50F1">
        <w:rPr>
          <w:rFonts w:ascii="Times" w:hAnsi="Times" w:cs="Arial"/>
          <w:bCs/>
        </w:rPr>
        <w:t>groups access, navigate, negotiate, and utilize their informal network (</w:t>
      </w:r>
      <w:r w:rsidR="00FF51A9" w:rsidRPr="000E50F1">
        <w:rPr>
          <w:rFonts w:ascii="Times" w:hAnsi="Times" w:cs="Arial"/>
          <w:bCs/>
        </w:rPr>
        <w:t>e.g.,</w:t>
      </w:r>
      <w:r w:rsidRPr="000E50F1">
        <w:rPr>
          <w:rFonts w:ascii="Times" w:hAnsi="Times" w:cs="Arial"/>
          <w:bCs/>
        </w:rPr>
        <w:t xml:space="preserve"> family, friends, one’s ethnic community, and religious institution) in strategic ways based on the kind and level of support each informal network offer (Shakya, Khanlou and Gonslaves 2010).</w:t>
      </w:r>
      <w:r w:rsidRPr="000E50F1">
        <w:rPr>
          <w:rFonts w:ascii="Times" w:hAnsi="Times" w:cs="Arial"/>
          <w:bCs/>
          <w:lang w:val="en-US"/>
        </w:rPr>
        <w:t xml:space="preserve"> For example, </w:t>
      </w:r>
      <w:r w:rsidRPr="000E50F1">
        <w:rPr>
          <w:rFonts w:ascii="Times" w:hAnsi="Times" w:cs="Arial"/>
          <w:bCs/>
        </w:rPr>
        <w:t xml:space="preserve">in one study with African immigrant youth in the US, Moses (2009) found safety when turning to family for support but not with their peers. </w:t>
      </w:r>
      <w:r w:rsidRPr="000E50F1">
        <w:rPr>
          <w:rFonts w:ascii="Times" w:hAnsi="Times" w:cs="Arial"/>
          <w:bCs/>
          <w:lang w:val="en-US"/>
        </w:rPr>
        <w:t xml:space="preserve">Donnelly et al. (2011) also found that </w:t>
      </w:r>
      <w:r w:rsidRPr="000E50F1">
        <w:rPr>
          <w:rFonts w:ascii="Times" w:hAnsi="Times" w:cs="Arial"/>
          <w:bCs/>
        </w:rPr>
        <w:t xml:space="preserve">immigrant women with mental illness </w:t>
      </w:r>
      <w:r w:rsidRPr="000E50F1">
        <w:rPr>
          <w:rFonts w:ascii="Times" w:hAnsi="Times" w:cs="Arial"/>
          <w:bCs/>
          <w:lang w:val="en-US"/>
        </w:rPr>
        <w:t>censured information from family and friends due to fear of discrimination and stigmatization. Thus, when immigrants perceive</w:t>
      </w:r>
      <w:r w:rsidR="0091014C" w:rsidRPr="000E50F1">
        <w:rPr>
          <w:rFonts w:ascii="Times" w:hAnsi="Times" w:cs="Arial"/>
          <w:bCs/>
          <w:lang w:val="en-US"/>
        </w:rPr>
        <w:t xml:space="preserve">d </w:t>
      </w:r>
      <w:r w:rsidRPr="000E50F1">
        <w:rPr>
          <w:rFonts w:ascii="Times" w:hAnsi="Times" w:cs="Arial"/>
          <w:bCs/>
          <w:lang w:val="en-US"/>
        </w:rPr>
        <w:t>discrimination, they may avoid interaction with their ethnic community to protect themselves and look for support elsewhere (</w:t>
      </w:r>
      <w:r w:rsidRPr="000E50F1">
        <w:rPr>
          <w:rFonts w:ascii="Times" w:hAnsi="Times" w:cs="Arial"/>
          <w:bCs/>
        </w:rPr>
        <w:t xml:space="preserve">Jorden et al. 2009, </w:t>
      </w:r>
      <w:r w:rsidRPr="000E50F1">
        <w:rPr>
          <w:rFonts w:ascii="Times" w:hAnsi="Times" w:cs="Arial"/>
          <w:bCs/>
          <w:lang w:val="en-US"/>
        </w:rPr>
        <w:t xml:space="preserve">Jasinskaja-Lahti et al. 2006). This was also found amongst immigrant youth in this study. Similar to findings in Jasinskaja-Lahti et al. (2006), </w:t>
      </w:r>
      <w:r w:rsidR="00DE3330" w:rsidRPr="000E50F1">
        <w:rPr>
          <w:rFonts w:ascii="Times" w:hAnsi="Times" w:cs="Arial"/>
          <w:bCs/>
        </w:rPr>
        <w:t xml:space="preserve">SWIS </w:t>
      </w:r>
      <w:r w:rsidR="00DE3330" w:rsidRPr="000E50F1">
        <w:rPr>
          <w:rFonts w:ascii="Times" w:hAnsi="Times" w:cs="Arial"/>
          <w:bCs/>
          <w:lang w:val="en-US"/>
        </w:rPr>
        <w:t>workers</w:t>
      </w:r>
      <w:r w:rsidR="00DE3330" w:rsidRPr="000E50F1">
        <w:rPr>
          <w:rFonts w:ascii="Times" w:hAnsi="Times" w:cs="Arial"/>
          <w:bCs/>
        </w:rPr>
        <w:t xml:space="preserve"> </w:t>
      </w:r>
      <w:r w:rsidRPr="000E50F1">
        <w:rPr>
          <w:rFonts w:ascii="Times" w:hAnsi="Times" w:cs="Arial"/>
          <w:bCs/>
          <w:lang w:val="en-US"/>
        </w:rPr>
        <w:t xml:space="preserve">activating formal supportive networks for youth was critical, especially seen when youth accessed and utilized these networks in crisis situations, lending credence to research on </w:t>
      </w:r>
      <w:r w:rsidRPr="000E50F1">
        <w:rPr>
          <w:rFonts w:ascii="Times" w:hAnsi="Times" w:cs="Arial"/>
          <w:bCs/>
        </w:rPr>
        <w:t>spaces of supportive environments and relationships in promoting health agency and youth empowerment (Edge et al. 2014).</w:t>
      </w:r>
    </w:p>
    <w:p w14:paraId="63056B58" w14:textId="77777777" w:rsidR="00812859" w:rsidRPr="000E50F1" w:rsidRDefault="00812859" w:rsidP="00812859">
      <w:pPr>
        <w:pStyle w:val="NormalWeb"/>
        <w:tabs>
          <w:tab w:val="left" w:pos="2344"/>
        </w:tabs>
        <w:spacing w:before="0" w:beforeAutospacing="0" w:after="0" w:afterAutospacing="0"/>
        <w:rPr>
          <w:rFonts w:ascii="Times" w:hAnsi="Times" w:cs="Arial"/>
          <w:b/>
        </w:rPr>
      </w:pPr>
    </w:p>
    <w:p w14:paraId="0F187101" w14:textId="445D6EC1" w:rsidR="00333830" w:rsidRPr="000E50F1" w:rsidRDefault="00812859" w:rsidP="005E127F">
      <w:pPr>
        <w:rPr>
          <w:rFonts w:ascii="Times" w:hAnsi="Times" w:cs="Arial"/>
          <w:bCs/>
        </w:rPr>
      </w:pPr>
      <w:r w:rsidRPr="000E50F1">
        <w:rPr>
          <w:rFonts w:ascii="Times" w:hAnsi="Times" w:cs="Arial"/>
          <w:bCs/>
          <w:lang w:val="en-US"/>
        </w:rPr>
        <w:t xml:space="preserve">Immigrant health research often cite sociocultural differences between practitioner and clients as factors to weigh when providing care to ethnocultural communities, </w:t>
      </w:r>
      <w:r w:rsidRPr="000E50F1">
        <w:rPr>
          <w:rFonts w:ascii="Times" w:hAnsi="Times" w:cs="Arial"/>
          <w:bCs/>
          <w:lang w:val="en-US"/>
        </w:rPr>
        <w:lastRenderedPageBreak/>
        <w:t>particularly to avoid a utilitarian intervention that imposes culturally dissonant values (</w:t>
      </w:r>
      <w:r w:rsidR="00FF51A9" w:rsidRPr="000E50F1">
        <w:rPr>
          <w:rFonts w:ascii="Times" w:hAnsi="Times" w:cs="Arial"/>
          <w:bCs/>
          <w:lang w:val="en-US"/>
        </w:rPr>
        <w:t>e.g.,</w:t>
      </w:r>
      <w:r w:rsidRPr="000E50F1">
        <w:rPr>
          <w:rFonts w:ascii="Times" w:hAnsi="Times" w:cs="Arial"/>
          <w:bCs/>
          <w:lang w:val="en-US"/>
        </w:rPr>
        <w:t xml:space="preserve"> favouring shared decision-making) on patients at a time when they are most vulnerable (Whitley et al. 2011). Yet the over-cautionary perspectives of valuing group norms within a mental health context can undermine ethical and equitable access for individuals in need of mental health support. </w:t>
      </w:r>
      <w:r w:rsidRPr="000E50F1">
        <w:rPr>
          <w:rFonts w:ascii="Times" w:hAnsi="Times" w:cs="Arial"/>
          <w:bCs/>
        </w:rPr>
        <w:t xml:space="preserve">Individuals utilizing mental health services may be viewed as exercising socially unaccepted behaviour that falls outside of group value of collectivism, hierarchical, and harmonious relationship (Yeh and </w:t>
      </w:r>
      <w:r w:rsidRPr="000E50F1">
        <w:rPr>
          <w:rFonts w:ascii="Times" w:hAnsi="Times" w:cs="Arial"/>
          <w:shd w:val="clear" w:color="auto" w:fill="FFFFFF"/>
        </w:rPr>
        <w:t>Inose</w:t>
      </w:r>
      <w:r w:rsidRPr="000E50F1">
        <w:rPr>
          <w:rFonts w:ascii="Times" w:hAnsi="Times" w:cs="Arial"/>
          <w:bCs/>
        </w:rPr>
        <w:t xml:space="preserve"> 2002; Sanchez and Gaw 2007). For </w:t>
      </w:r>
      <w:r w:rsidRPr="000E50F1">
        <w:rPr>
          <w:rFonts w:ascii="Times" w:hAnsi="Times" w:cs="Arial"/>
          <w:bCs/>
          <w:lang w:val="en-US"/>
        </w:rPr>
        <w:t>individuals looking to access mental health services on their own, and in particular for youth, agency can be overshadowed by group choice, particularly in settings of families opposing treatment (Sanchez and Gaw 2007)</w:t>
      </w:r>
      <w:r w:rsidRPr="000E50F1">
        <w:rPr>
          <w:rFonts w:ascii="Times" w:hAnsi="Times" w:cs="Arial"/>
          <w:bCs/>
        </w:rPr>
        <w:t xml:space="preserve">. </w:t>
      </w:r>
    </w:p>
    <w:p w14:paraId="3627B17A" w14:textId="286BA35E" w:rsidR="00846973" w:rsidRPr="000E50F1" w:rsidRDefault="00DA3396" w:rsidP="0091014C">
      <w:pPr>
        <w:pStyle w:val="NormalWeb"/>
        <w:rPr>
          <w:rFonts w:ascii="Times" w:hAnsi="Times" w:cs="Arial"/>
          <w:bCs/>
        </w:rPr>
      </w:pPr>
      <w:r w:rsidRPr="000E50F1">
        <w:rPr>
          <w:rFonts w:ascii="Times" w:hAnsi="Times" w:cs="Arial"/>
          <w:bCs/>
        </w:rPr>
        <w:t xml:space="preserve">The findings from this study builds evidence for cultural brokering as responsive practice and path to equity in mental health, particularly </w:t>
      </w:r>
      <w:r w:rsidR="00474BB2" w:rsidRPr="000E50F1">
        <w:rPr>
          <w:rFonts w:ascii="Times" w:hAnsi="Times" w:cs="Arial"/>
          <w:bCs/>
        </w:rPr>
        <w:t xml:space="preserve">as </w:t>
      </w:r>
      <w:r w:rsidRPr="000E50F1">
        <w:rPr>
          <w:rFonts w:ascii="Times" w:hAnsi="Times" w:cs="Arial"/>
          <w:bCs/>
        </w:rPr>
        <w:t xml:space="preserve">demonstrated by the significance of layered constraints within geo-sociopolitical environments, </w:t>
      </w:r>
      <w:r w:rsidR="00867246" w:rsidRPr="000E50F1">
        <w:rPr>
          <w:rFonts w:ascii="Times" w:hAnsi="Times" w:cs="Arial"/>
          <w:bCs/>
        </w:rPr>
        <w:t xml:space="preserve">existing systems and policies </w:t>
      </w:r>
      <w:r w:rsidRPr="000E50F1">
        <w:rPr>
          <w:rFonts w:ascii="Times" w:hAnsi="Times" w:cs="Arial"/>
          <w:bCs/>
        </w:rPr>
        <w:t xml:space="preserve">reinforcing points of inaccess and inaccessibility, and the influence of cultural systems in generating health disadvantages. </w:t>
      </w:r>
      <w:r w:rsidR="0057247D" w:rsidRPr="000E50F1">
        <w:rPr>
          <w:rFonts w:ascii="Times" w:hAnsi="Times" w:cs="Arial"/>
          <w:bCs/>
        </w:rPr>
        <w:t xml:space="preserve">The role that culture brokers </w:t>
      </w:r>
      <w:r w:rsidR="0091231B" w:rsidRPr="000E50F1">
        <w:rPr>
          <w:rFonts w:ascii="Times" w:hAnsi="Times" w:cs="Arial"/>
          <w:bCs/>
        </w:rPr>
        <w:t>have played in this research</w:t>
      </w:r>
      <w:r w:rsidR="00CE2511" w:rsidRPr="000E50F1">
        <w:rPr>
          <w:rFonts w:ascii="Times" w:hAnsi="Times" w:cs="Arial"/>
          <w:bCs/>
        </w:rPr>
        <w:t xml:space="preserve"> </w:t>
      </w:r>
      <w:r w:rsidR="003E6123" w:rsidRPr="000E50F1">
        <w:rPr>
          <w:rFonts w:ascii="Times" w:hAnsi="Times" w:cs="Arial"/>
          <w:bCs/>
        </w:rPr>
        <w:t xml:space="preserve">demonstrate </w:t>
      </w:r>
      <w:r w:rsidR="006D164B" w:rsidRPr="000E50F1">
        <w:rPr>
          <w:rFonts w:ascii="Times" w:hAnsi="Times" w:cs="Arial"/>
          <w:bCs/>
        </w:rPr>
        <w:t>population-specific</w:t>
      </w:r>
      <w:r w:rsidR="005E127F" w:rsidRPr="000E50F1">
        <w:rPr>
          <w:rFonts w:ascii="Times" w:hAnsi="Times" w:cs="Arial"/>
          <w:bCs/>
        </w:rPr>
        <w:t xml:space="preserve"> target</w:t>
      </w:r>
      <w:r w:rsidR="006D164B" w:rsidRPr="000E50F1">
        <w:rPr>
          <w:rFonts w:ascii="Times" w:hAnsi="Times" w:cs="Arial"/>
          <w:bCs/>
        </w:rPr>
        <w:t>ed</w:t>
      </w:r>
      <w:r w:rsidR="00FE4108" w:rsidRPr="000E50F1">
        <w:rPr>
          <w:rFonts w:ascii="Times" w:hAnsi="Times" w:cs="Arial"/>
          <w:bCs/>
        </w:rPr>
        <w:t xml:space="preserve"> strategies</w:t>
      </w:r>
      <w:r w:rsidR="00EC11FC" w:rsidRPr="000E50F1">
        <w:rPr>
          <w:rFonts w:ascii="Times" w:hAnsi="Times" w:cs="Arial"/>
          <w:bCs/>
        </w:rPr>
        <w:t xml:space="preserve"> </w:t>
      </w:r>
      <w:r w:rsidR="003E6123" w:rsidRPr="000E50F1">
        <w:rPr>
          <w:rFonts w:ascii="Times" w:hAnsi="Times" w:cs="Arial"/>
          <w:bCs/>
        </w:rPr>
        <w:t xml:space="preserve">for immigrant and refugee youth </w:t>
      </w:r>
      <w:r w:rsidR="00EC11FC" w:rsidRPr="000E50F1">
        <w:rPr>
          <w:rFonts w:ascii="Times" w:hAnsi="Times" w:cs="Arial"/>
          <w:bCs/>
        </w:rPr>
        <w:t>that</w:t>
      </w:r>
      <w:r w:rsidR="003E6123" w:rsidRPr="000E50F1">
        <w:rPr>
          <w:rFonts w:ascii="Times" w:hAnsi="Times" w:cs="Arial"/>
          <w:bCs/>
        </w:rPr>
        <w:t xml:space="preserve"> may have potential implications for other </w:t>
      </w:r>
      <w:r w:rsidR="00867246" w:rsidRPr="000E50F1">
        <w:rPr>
          <w:rFonts w:ascii="Times" w:hAnsi="Times" w:cs="Arial"/>
          <w:bCs/>
        </w:rPr>
        <w:t>groups</w:t>
      </w:r>
      <w:r w:rsidR="003E6123" w:rsidRPr="000E50F1">
        <w:rPr>
          <w:rFonts w:ascii="Times" w:hAnsi="Times" w:cs="Arial"/>
          <w:bCs/>
        </w:rPr>
        <w:t xml:space="preserve"> facing </w:t>
      </w:r>
      <w:r w:rsidR="00EC11FC" w:rsidRPr="000E50F1">
        <w:rPr>
          <w:rFonts w:ascii="Times" w:hAnsi="Times" w:cs="Arial"/>
          <w:bCs/>
        </w:rPr>
        <w:t>substantial inequities in mental health</w:t>
      </w:r>
      <w:r w:rsidR="003E6123" w:rsidRPr="000E50F1">
        <w:rPr>
          <w:rFonts w:ascii="Times" w:hAnsi="Times" w:cs="Arial"/>
          <w:bCs/>
        </w:rPr>
        <w:t xml:space="preserve">. </w:t>
      </w:r>
      <w:r w:rsidR="00867246" w:rsidRPr="000E50F1">
        <w:rPr>
          <w:rFonts w:ascii="Times" w:hAnsi="Times" w:cs="Arial"/>
          <w:bCs/>
        </w:rPr>
        <w:t>S</w:t>
      </w:r>
      <w:r w:rsidR="003E6123" w:rsidRPr="000E50F1">
        <w:rPr>
          <w:rFonts w:ascii="Times" w:hAnsi="Times" w:cs="Arial"/>
          <w:bCs/>
        </w:rPr>
        <w:t>trategies used by these cultural brokers addresses</w:t>
      </w:r>
      <w:r w:rsidR="00543C20" w:rsidRPr="000E50F1">
        <w:rPr>
          <w:rFonts w:ascii="Times" w:hAnsi="Times" w:cs="Arial"/>
          <w:bCs/>
        </w:rPr>
        <w:t xml:space="preserve"> social </w:t>
      </w:r>
      <w:r w:rsidR="00130F1B" w:rsidRPr="000E50F1">
        <w:rPr>
          <w:rFonts w:ascii="Times" w:hAnsi="Times" w:cs="Arial"/>
          <w:bCs/>
        </w:rPr>
        <w:t>disadvantage</w:t>
      </w:r>
      <w:r w:rsidR="00EC11FC" w:rsidRPr="000E50F1">
        <w:rPr>
          <w:rFonts w:ascii="Times" w:hAnsi="Times" w:cs="Arial"/>
          <w:bCs/>
        </w:rPr>
        <w:t>s</w:t>
      </w:r>
      <w:r w:rsidR="00130F1B" w:rsidRPr="000E50F1">
        <w:rPr>
          <w:rFonts w:ascii="Times" w:hAnsi="Times" w:cs="Arial"/>
          <w:bCs/>
        </w:rPr>
        <w:t xml:space="preserve"> due to </w:t>
      </w:r>
      <w:r w:rsidR="00EC11FC" w:rsidRPr="000E50F1">
        <w:rPr>
          <w:rFonts w:ascii="Times" w:hAnsi="Times" w:cs="Arial"/>
          <w:bCs/>
        </w:rPr>
        <w:t xml:space="preserve">various </w:t>
      </w:r>
      <w:r w:rsidR="00543C20" w:rsidRPr="000E50F1">
        <w:rPr>
          <w:rFonts w:ascii="Times" w:hAnsi="Times" w:cs="Arial"/>
          <w:bCs/>
        </w:rPr>
        <w:t>structural determinants of health</w:t>
      </w:r>
      <w:r w:rsidR="00130F1B" w:rsidRPr="000E50F1">
        <w:rPr>
          <w:rFonts w:ascii="Times" w:hAnsi="Times" w:cs="Arial"/>
          <w:bCs/>
        </w:rPr>
        <w:t xml:space="preserve"> (i.e., </w:t>
      </w:r>
      <w:r w:rsidR="00867246" w:rsidRPr="000E50F1">
        <w:rPr>
          <w:rFonts w:ascii="Times" w:hAnsi="Times" w:cs="Arial"/>
          <w:bCs/>
        </w:rPr>
        <w:t xml:space="preserve">gender, </w:t>
      </w:r>
      <w:r w:rsidR="00EC11FC" w:rsidRPr="000E50F1">
        <w:rPr>
          <w:rFonts w:ascii="Times" w:hAnsi="Times" w:cs="Arial"/>
          <w:bCs/>
        </w:rPr>
        <w:t>culture</w:t>
      </w:r>
      <w:r w:rsidR="00867246" w:rsidRPr="000E50F1">
        <w:rPr>
          <w:rFonts w:ascii="Times" w:hAnsi="Times" w:cs="Arial"/>
          <w:bCs/>
        </w:rPr>
        <w:t>, social supports)</w:t>
      </w:r>
      <w:r w:rsidR="003E6123" w:rsidRPr="000E50F1">
        <w:rPr>
          <w:rFonts w:ascii="Times" w:hAnsi="Times" w:cs="Arial"/>
          <w:bCs/>
        </w:rPr>
        <w:t xml:space="preserve"> </w:t>
      </w:r>
      <w:r w:rsidRPr="000E50F1">
        <w:rPr>
          <w:rFonts w:ascii="Times" w:hAnsi="Times" w:cs="Arial"/>
          <w:bCs/>
        </w:rPr>
        <w:t xml:space="preserve">shaped by and </w:t>
      </w:r>
      <w:r w:rsidR="00543C20" w:rsidRPr="000E50F1">
        <w:rPr>
          <w:rFonts w:ascii="Times" w:hAnsi="Times" w:cs="Arial"/>
          <w:bCs/>
        </w:rPr>
        <w:t xml:space="preserve">embedded in </w:t>
      </w:r>
      <w:r w:rsidR="0091231B" w:rsidRPr="000E50F1">
        <w:rPr>
          <w:rFonts w:ascii="Times" w:hAnsi="Times" w:cs="Arial"/>
          <w:bCs/>
        </w:rPr>
        <w:t>microsystems (</w:t>
      </w:r>
      <w:r w:rsidR="00FF51A9" w:rsidRPr="000E50F1">
        <w:rPr>
          <w:rFonts w:ascii="Times" w:hAnsi="Times" w:cs="Arial"/>
          <w:bCs/>
        </w:rPr>
        <w:t>i.e.,</w:t>
      </w:r>
      <w:r w:rsidR="0091231B" w:rsidRPr="000E50F1">
        <w:rPr>
          <w:rFonts w:ascii="Times" w:hAnsi="Times" w:cs="Arial"/>
          <w:bCs/>
        </w:rPr>
        <w:t xml:space="preserve"> family, cultural groups, peers, school) </w:t>
      </w:r>
      <w:r w:rsidRPr="000E50F1">
        <w:rPr>
          <w:rFonts w:ascii="Times" w:hAnsi="Times" w:cs="Arial"/>
          <w:bCs/>
        </w:rPr>
        <w:t>within in</w:t>
      </w:r>
      <w:r w:rsidR="0091231B" w:rsidRPr="000E50F1">
        <w:rPr>
          <w:rFonts w:ascii="Times" w:hAnsi="Times" w:cs="Arial"/>
          <w:bCs/>
        </w:rPr>
        <w:t xml:space="preserve"> </w:t>
      </w:r>
      <w:r w:rsidRPr="000E50F1">
        <w:rPr>
          <w:rFonts w:ascii="Times" w:hAnsi="Times" w:cs="Arial"/>
          <w:bCs/>
        </w:rPr>
        <w:t xml:space="preserve">a </w:t>
      </w:r>
      <w:r w:rsidR="00EC11FC" w:rsidRPr="000E50F1">
        <w:rPr>
          <w:rFonts w:ascii="Times" w:hAnsi="Times" w:cs="Arial"/>
          <w:bCs/>
        </w:rPr>
        <w:t xml:space="preserve">macrosystem of </w:t>
      </w:r>
      <w:r w:rsidR="0091231B" w:rsidRPr="000E50F1">
        <w:rPr>
          <w:rFonts w:ascii="Times" w:hAnsi="Times" w:cs="Arial"/>
          <w:bCs/>
        </w:rPr>
        <w:t>post-migration</w:t>
      </w:r>
      <w:r w:rsidRPr="000E50F1">
        <w:rPr>
          <w:rFonts w:ascii="Times" w:hAnsi="Times" w:cs="Arial"/>
          <w:bCs/>
        </w:rPr>
        <w:t xml:space="preserve"> context.</w:t>
      </w:r>
      <w:r w:rsidR="00543C20" w:rsidRPr="000E50F1">
        <w:rPr>
          <w:rFonts w:ascii="Times" w:hAnsi="Times" w:cs="Arial"/>
          <w:bCs/>
        </w:rPr>
        <w:t xml:space="preserve"> </w:t>
      </w:r>
      <w:r w:rsidR="0091231B" w:rsidRPr="000E50F1">
        <w:rPr>
          <w:rFonts w:ascii="Times" w:hAnsi="Times" w:cs="Arial"/>
          <w:bCs/>
        </w:rPr>
        <w:t xml:space="preserve">Cultural </w:t>
      </w:r>
      <w:r w:rsidR="006D164B" w:rsidRPr="000E50F1">
        <w:rPr>
          <w:rFonts w:ascii="Times" w:hAnsi="Times" w:cs="Arial"/>
          <w:bCs/>
        </w:rPr>
        <w:t>brokering</w:t>
      </w:r>
      <w:r w:rsidR="0091231B" w:rsidRPr="000E50F1">
        <w:rPr>
          <w:rFonts w:ascii="Times" w:hAnsi="Times" w:cs="Arial"/>
          <w:bCs/>
        </w:rPr>
        <w:t xml:space="preserve"> for</w:t>
      </w:r>
      <w:r w:rsidR="006D164B" w:rsidRPr="000E50F1">
        <w:rPr>
          <w:rFonts w:ascii="Times" w:hAnsi="Times" w:cs="Arial"/>
          <w:bCs/>
        </w:rPr>
        <w:t xml:space="preserve"> th</w:t>
      </w:r>
      <w:r w:rsidR="00867246" w:rsidRPr="000E50F1">
        <w:rPr>
          <w:rFonts w:ascii="Times" w:hAnsi="Times" w:cs="Arial"/>
          <w:bCs/>
        </w:rPr>
        <w:t xml:space="preserve">ese youth in school </w:t>
      </w:r>
      <w:r w:rsidR="00543C20" w:rsidRPr="000E50F1">
        <w:rPr>
          <w:rFonts w:ascii="Times" w:hAnsi="Times" w:cs="Arial"/>
          <w:bCs/>
        </w:rPr>
        <w:t xml:space="preserve">mental health </w:t>
      </w:r>
      <w:r w:rsidR="000B196E" w:rsidRPr="000E50F1">
        <w:rPr>
          <w:rFonts w:ascii="Times" w:hAnsi="Times" w:cs="Arial"/>
          <w:bCs/>
        </w:rPr>
        <w:t>advanc</w:t>
      </w:r>
      <w:r w:rsidR="00EC11FC" w:rsidRPr="000E50F1">
        <w:rPr>
          <w:rFonts w:ascii="Times" w:hAnsi="Times" w:cs="Arial"/>
          <w:bCs/>
        </w:rPr>
        <w:t>ed</w:t>
      </w:r>
      <w:r w:rsidR="000B196E" w:rsidRPr="000E50F1">
        <w:rPr>
          <w:rFonts w:ascii="Times" w:hAnsi="Times" w:cs="Arial"/>
          <w:bCs/>
        </w:rPr>
        <w:t xml:space="preserve"> equitable pathways </w:t>
      </w:r>
      <w:r w:rsidR="00EC11FC" w:rsidRPr="000E50F1">
        <w:rPr>
          <w:rFonts w:ascii="Times" w:hAnsi="Times" w:cs="Arial"/>
          <w:bCs/>
        </w:rPr>
        <w:t>via</w:t>
      </w:r>
      <w:r w:rsidR="000B196E" w:rsidRPr="000E50F1">
        <w:rPr>
          <w:rFonts w:ascii="Times" w:hAnsi="Times" w:cs="Arial"/>
          <w:bCs/>
        </w:rPr>
        <w:t xml:space="preserve"> </w:t>
      </w:r>
      <w:r w:rsidR="00867246" w:rsidRPr="000E50F1">
        <w:rPr>
          <w:rFonts w:ascii="Times" w:hAnsi="Times" w:cs="Arial"/>
          <w:bCs/>
        </w:rPr>
        <w:t>increasing</w:t>
      </w:r>
      <w:r w:rsidR="007D4A35" w:rsidRPr="000E50F1">
        <w:rPr>
          <w:rFonts w:ascii="Times" w:hAnsi="Times" w:cs="Arial"/>
          <w:bCs/>
        </w:rPr>
        <w:t xml:space="preserve"> mental health </w:t>
      </w:r>
      <w:r w:rsidR="000B196E" w:rsidRPr="000E50F1">
        <w:rPr>
          <w:rFonts w:ascii="Times" w:hAnsi="Times" w:cs="Arial"/>
          <w:bCs/>
        </w:rPr>
        <w:t>literacy</w:t>
      </w:r>
      <w:r w:rsidR="00867246" w:rsidRPr="000E50F1">
        <w:rPr>
          <w:rFonts w:ascii="Times" w:hAnsi="Times" w:cs="Arial"/>
          <w:bCs/>
        </w:rPr>
        <w:t xml:space="preserve">, advocating for policies and programming </w:t>
      </w:r>
      <w:r w:rsidR="00EC11FC" w:rsidRPr="000E50F1">
        <w:rPr>
          <w:rFonts w:ascii="Times" w:hAnsi="Times" w:cs="Arial"/>
          <w:bCs/>
        </w:rPr>
        <w:t xml:space="preserve">that </w:t>
      </w:r>
      <w:r w:rsidR="00846973" w:rsidRPr="000E50F1">
        <w:rPr>
          <w:rFonts w:ascii="Times" w:hAnsi="Times" w:cs="Arial"/>
          <w:bCs/>
        </w:rPr>
        <w:t xml:space="preserve">is </w:t>
      </w:r>
      <w:r w:rsidR="00EC11FC" w:rsidRPr="000E50F1">
        <w:rPr>
          <w:rFonts w:ascii="Times" w:hAnsi="Times" w:cs="Arial"/>
          <w:bCs/>
        </w:rPr>
        <w:t xml:space="preserve">guided by </w:t>
      </w:r>
      <w:r w:rsidR="00867246" w:rsidRPr="000E50F1">
        <w:rPr>
          <w:rFonts w:ascii="Times" w:hAnsi="Times" w:cs="Arial"/>
          <w:bCs/>
        </w:rPr>
        <w:t xml:space="preserve">youth </w:t>
      </w:r>
      <w:r w:rsidR="00EC11FC" w:rsidRPr="000E50F1">
        <w:rPr>
          <w:rFonts w:ascii="Times" w:hAnsi="Times" w:cs="Arial"/>
          <w:bCs/>
        </w:rPr>
        <w:t>autonomy, and highlighting ethical</w:t>
      </w:r>
      <w:r w:rsidR="00846973" w:rsidRPr="000E50F1">
        <w:rPr>
          <w:rFonts w:ascii="Times" w:hAnsi="Times" w:cs="Arial"/>
          <w:bCs/>
        </w:rPr>
        <w:t>, privacy, and anonymity concerns when power imbalance and fear intersects with</w:t>
      </w:r>
      <w:r w:rsidR="00EC11FC" w:rsidRPr="000E50F1">
        <w:rPr>
          <w:rFonts w:ascii="Times" w:hAnsi="Times" w:cs="Arial"/>
          <w:bCs/>
        </w:rPr>
        <w:t xml:space="preserve"> </w:t>
      </w:r>
      <w:r w:rsidR="00846973" w:rsidRPr="000E50F1">
        <w:rPr>
          <w:rFonts w:ascii="Times" w:hAnsi="Times" w:cs="Arial"/>
          <w:bCs/>
        </w:rPr>
        <w:t>language barrier</w:t>
      </w:r>
      <w:r w:rsidR="00EC11FC" w:rsidRPr="000E50F1">
        <w:rPr>
          <w:rFonts w:ascii="Times" w:hAnsi="Times" w:cs="Arial"/>
          <w:bCs/>
        </w:rPr>
        <w:t xml:space="preserve"> in mental health consultation and care. </w:t>
      </w:r>
    </w:p>
    <w:p w14:paraId="060AD995" w14:textId="32A835E0" w:rsidR="00812859" w:rsidRPr="000E50F1" w:rsidRDefault="00846973" w:rsidP="00DE3A5E">
      <w:pPr>
        <w:pStyle w:val="NormalWeb"/>
        <w:rPr>
          <w:rFonts w:ascii="Times" w:hAnsi="Times" w:cs="Arial"/>
          <w:bCs/>
        </w:rPr>
      </w:pPr>
      <w:r w:rsidRPr="000E50F1">
        <w:rPr>
          <w:rFonts w:ascii="Times" w:eastAsia="Calibri" w:hAnsi="Times" w:cs="Arial"/>
          <w:bCs/>
        </w:rPr>
        <w:t xml:space="preserve">The limitations of using language </w:t>
      </w:r>
      <w:r w:rsidR="00DE3A5E" w:rsidRPr="000E50F1">
        <w:rPr>
          <w:rFonts w:ascii="Times" w:eastAsia="Calibri" w:hAnsi="Times" w:cs="Arial"/>
          <w:bCs/>
        </w:rPr>
        <w:t>interpreters</w:t>
      </w:r>
      <w:r w:rsidRPr="000E50F1">
        <w:rPr>
          <w:rFonts w:ascii="Times" w:eastAsia="Calibri" w:hAnsi="Times" w:cs="Arial"/>
          <w:bCs/>
        </w:rPr>
        <w:t xml:space="preserve"> </w:t>
      </w:r>
      <w:r w:rsidRPr="000E50F1">
        <w:rPr>
          <w:rFonts w:ascii="Times" w:hAnsi="Times" w:cs="Arial"/>
          <w:bCs/>
        </w:rPr>
        <w:t>in mental health consultation and care</w:t>
      </w:r>
      <w:r w:rsidR="00DE3A5E" w:rsidRPr="000E50F1">
        <w:rPr>
          <w:rFonts w:ascii="Times" w:hAnsi="Times" w:cs="Arial"/>
          <w:bCs/>
        </w:rPr>
        <w:t xml:space="preserve"> remains problematic and challenging at best</w:t>
      </w:r>
      <w:r w:rsidR="00D173BA" w:rsidRPr="000E50F1">
        <w:rPr>
          <w:rFonts w:ascii="Times" w:hAnsi="Times" w:cs="Arial"/>
          <w:bCs/>
        </w:rPr>
        <w:t xml:space="preserve">. For example, the lack of professionally trained </w:t>
      </w:r>
      <w:r w:rsidR="00DE3A5E" w:rsidRPr="000E50F1">
        <w:rPr>
          <w:rFonts w:ascii="Times" w:eastAsia="Calibri" w:hAnsi="Times" w:cs="Arial"/>
          <w:bCs/>
        </w:rPr>
        <w:t>interpreters</w:t>
      </w:r>
      <w:r w:rsidR="00D173BA" w:rsidRPr="000E50F1">
        <w:rPr>
          <w:rFonts w:ascii="Times" w:eastAsia="Calibri" w:hAnsi="Times" w:cs="Arial"/>
          <w:bCs/>
        </w:rPr>
        <w:t xml:space="preserve"> or</w:t>
      </w:r>
      <w:r w:rsidR="00DE3A5E" w:rsidRPr="000E50F1">
        <w:rPr>
          <w:rFonts w:ascii="Times" w:eastAsia="Calibri" w:hAnsi="Times" w:cs="Arial"/>
          <w:bCs/>
        </w:rPr>
        <w:t xml:space="preserve"> professional misconduct</w:t>
      </w:r>
      <w:r w:rsidR="00D173BA" w:rsidRPr="000E50F1">
        <w:rPr>
          <w:rFonts w:ascii="Times" w:eastAsia="Calibri" w:hAnsi="Times" w:cs="Arial"/>
          <w:bCs/>
        </w:rPr>
        <w:t xml:space="preserve"> </w:t>
      </w:r>
      <w:r w:rsidR="00DE3A5E" w:rsidRPr="000E50F1">
        <w:rPr>
          <w:rFonts w:ascii="Times" w:eastAsia="Calibri" w:hAnsi="Times" w:cs="Arial"/>
          <w:bCs/>
        </w:rPr>
        <w:t>can impede trust and open communication between patient and clinician</w:t>
      </w:r>
      <w:r w:rsidR="00D173BA" w:rsidRPr="000E50F1">
        <w:rPr>
          <w:rFonts w:ascii="Times" w:hAnsi="Times" w:cs="Arial"/>
          <w:bCs/>
        </w:rPr>
        <w:t xml:space="preserve">, resulting in </w:t>
      </w:r>
      <w:r w:rsidR="00B8620B" w:rsidRPr="000E50F1">
        <w:rPr>
          <w:rFonts w:ascii="Times" w:hAnsi="Times" w:cs="Arial"/>
          <w:bCs/>
        </w:rPr>
        <w:t xml:space="preserve">poor </w:t>
      </w:r>
      <w:r w:rsidR="00D173BA" w:rsidRPr="000E50F1">
        <w:rPr>
          <w:rFonts w:ascii="Times" w:hAnsi="Times" w:cs="Arial"/>
          <w:bCs/>
        </w:rPr>
        <w:t xml:space="preserve">communication </w:t>
      </w:r>
      <w:r w:rsidR="00B8620B" w:rsidRPr="000E50F1">
        <w:rPr>
          <w:rFonts w:ascii="Times" w:hAnsi="Times" w:cs="Arial"/>
          <w:bCs/>
        </w:rPr>
        <w:t xml:space="preserve">and compromised cultural safety in care </w:t>
      </w:r>
      <w:r w:rsidR="00812859" w:rsidRPr="000E50F1">
        <w:rPr>
          <w:rFonts w:ascii="Times" w:eastAsia="Calibri" w:hAnsi="Times" w:cs="Arial"/>
          <w:bCs/>
        </w:rPr>
        <w:t>(</w:t>
      </w:r>
      <w:r w:rsidR="003E4D44" w:rsidRPr="000E50F1">
        <w:rPr>
          <w:rFonts w:ascii="Times" w:eastAsia="Calibri" w:hAnsi="Times" w:cs="Arial"/>
          <w:bCs/>
        </w:rPr>
        <w:t>Khanlou</w:t>
      </w:r>
      <w:r w:rsidR="003E4D44" w:rsidRPr="000E50F1">
        <w:rPr>
          <w:rFonts w:ascii="Times" w:hAnsi="Times" w:cs="Arial"/>
          <w:bCs/>
        </w:rPr>
        <w:t xml:space="preserve"> 2009</w:t>
      </w:r>
      <w:r w:rsidR="00DE3A5E" w:rsidRPr="000E50F1">
        <w:rPr>
          <w:rFonts w:ascii="Times" w:hAnsi="Times" w:cs="Arial"/>
          <w:bCs/>
        </w:rPr>
        <w:t>;</w:t>
      </w:r>
      <w:r w:rsidR="003E4D44" w:rsidRPr="000E50F1">
        <w:rPr>
          <w:rFonts w:ascii="Times" w:hAnsi="Times" w:cs="Arial"/>
          <w:bCs/>
        </w:rPr>
        <w:t xml:space="preserve"> </w:t>
      </w:r>
      <w:r w:rsidR="00812859" w:rsidRPr="000E50F1">
        <w:rPr>
          <w:rFonts w:ascii="Times" w:eastAsia="Calibri" w:hAnsi="Times" w:cs="Arial"/>
          <w:bCs/>
        </w:rPr>
        <w:t>Kirmayer, Guzder, and Rousseau 2013</w:t>
      </w:r>
      <w:r w:rsidR="00DE3A5E" w:rsidRPr="000E50F1">
        <w:rPr>
          <w:rFonts w:ascii="Times" w:eastAsia="Calibri" w:hAnsi="Times" w:cs="Arial"/>
          <w:bCs/>
        </w:rPr>
        <w:t>;</w:t>
      </w:r>
      <w:r w:rsidR="000D7FEC" w:rsidRPr="000E50F1">
        <w:rPr>
          <w:rFonts w:ascii="Times" w:eastAsia="Calibri" w:hAnsi="Times" w:cs="Arial"/>
          <w:bCs/>
        </w:rPr>
        <w:t xml:space="preserve"> </w:t>
      </w:r>
      <w:r w:rsidR="00DE3A5E" w:rsidRPr="000E50F1">
        <w:rPr>
          <w:rFonts w:ascii="Times" w:hAnsi="Times"/>
        </w:rPr>
        <w:t xml:space="preserve">Leanza, Miklavcic, Boivin and Rosenberg 2014; </w:t>
      </w:r>
      <w:r w:rsidR="000D7FEC" w:rsidRPr="000E50F1">
        <w:rPr>
          <w:rFonts w:ascii="Times" w:eastAsia="Calibri" w:hAnsi="Times" w:cs="Arial"/>
          <w:bCs/>
        </w:rPr>
        <w:t>Thomson et al. 2015</w:t>
      </w:r>
      <w:r w:rsidR="00DE3A5E" w:rsidRPr="000E50F1">
        <w:rPr>
          <w:rFonts w:ascii="Times" w:eastAsia="Calibri" w:hAnsi="Times" w:cs="Arial"/>
          <w:bCs/>
        </w:rPr>
        <w:t>; Kirmayer and Jarvis 2019</w:t>
      </w:r>
      <w:r w:rsidR="00812859" w:rsidRPr="000E50F1">
        <w:rPr>
          <w:rFonts w:ascii="Times" w:eastAsia="Calibri" w:hAnsi="Times" w:cs="Arial"/>
          <w:bCs/>
        </w:rPr>
        <w:t>)</w:t>
      </w:r>
      <w:r w:rsidR="000D7FEC" w:rsidRPr="000E50F1">
        <w:rPr>
          <w:rFonts w:ascii="Times" w:eastAsia="Calibri" w:hAnsi="Times" w:cs="Arial"/>
          <w:bCs/>
        </w:rPr>
        <w:t>.</w:t>
      </w:r>
      <w:r w:rsidR="00D96EC1" w:rsidRPr="000E50F1">
        <w:rPr>
          <w:rFonts w:ascii="Times" w:eastAsia="Calibri" w:hAnsi="Times" w:cs="Arial"/>
          <w:bCs/>
        </w:rPr>
        <w:t xml:space="preserve"> </w:t>
      </w:r>
      <w:r w:rsidR="00812859" w:rsidRPr="000E50F1">
        <w:rPr>
          <w:rFonts w:ascii="Times" w:hAnsi="Times" w:cs="Arial"/>
          <w:bCs/>
        </w:rPr>
        <w:t>Confidentiality concerns have also been raised amongst some groups, particularly in cases where race and gender intersect</w:t>
      </w:r>
      <w:r w:rsidR="00DE3A5E" w:rsidRPr="000E50F1">
        <w:rPr>
          <w:rFonts w:ascii="Times" w:hAnsi="Times" w:cs="Arial"/>
          <w:bCs/>
        </w:rPr>
        <w:t>s</w:t>
      </w:r>
      <w:r w:rsidR="00812859" w:rsidRPr="000E50F1">
        <w:rPr>
          <w:rFonts w:ascii="Times" w:hAnsi="Times" w:cs="Arial"/>
          <w:bCs/>
        </w:rPr>
        <w:t xml:space="preserve">, exacerbating fear of emotional and physical repercussion from family as a consequence of seeking help (Donnelly et al. 2011). The use of </w:t>
      </w:r>
      <w:r w:rsidR="00C85F79" w:rsidRPr="000E50F1">
        <w:rPr>
          <w:rFonts w:ascii="Times" w:hAnsi="Times" w:cs="Arial"/>
          <w:bCs/>
        </w:rPr>
        <w:t>an</w:t>
      </w:r>
      <w:r w:rsidR="00812859" w:rsidRPr="000E50F1">
        <w:rPr>
          <w:rFonts w:ascii="Times" w:hAnsi="Times" w:cs="Arial"/>
          <w:bCs/>
        </w:rPr>
        <w:t xml:space="preserve"> interpreter from one’s own linguistic community can raise confidentiality concerns and be perceived as threatening (Kirmayer et al. 2011). Issues of safety and confidentiality in therapeutic relationships calls for greater attention of client anonymity within the health service environment. In situations where linguistic </w:t>
      </w:r>
      <w:r w:rsidR="00812859" w:rsidRPr="000E50F1">
        <w:rPr>
          <w:rFonts w:ascii="Times" w:hAnsi="Times" w:cs="Arial"/>
          <w:bCs/>
        </w:rPr>
        <w:lastRenderedPageBreak/>
        <w:t>barriers exist in addition to clients with intersecting of social identities</w:t>
      </w:r>
      <w:r w:rsidR="003E4D44" w:rsidRPr="000E50F1">
        <w:rPr>
          <w:rFonts w:ascii="Times" w:hAnsi="Times" w:cs="Arial"/>
          <w:bCs/>
        </w:rPr>
        <w:t>,</w:t>
      </w:r>
      <w:r w:rsidR="00812859" w:rsidRPr="000E50F1">
        <w:rPr>
          <w:rFonts w:ascii="Times" w:hAnsi="Times" w:cs="Arial"/>
          <w:bCs/>
        </w:rPr>
        <w:t xml:space="preserve"> greater attentions should be paid to power relations, risk exposure, and stigma as a key deterrent </w:t>
      </w:r>
      <w:r w:rsidR="003E4D44" w:rsidRPr="000E50F1">
        <w:rPr>
          <w:rFonts w:ascii="Times" w:hAnsi="Times" w:cs="Arial"/>
          <w:bCs/>
        </w:rPr>
        <w:t>in</w:t>
      </w:r>
      <w:r w:rsidR="00812859" w:rsidRPr="000E50F1">
        <w:rPr>
          <w:rFonts w:ascii="Times" w:hAnsi="Times" w:cs="Arial"/>
          <w:bCs/>
        </w:rPr>
        <w:t xml:space="preserve"> health </w:t>
      </w:r>
      <w:r w:rsidR="003E4D44" w:rsidRPr="000E50F1">
        <w:rPr>
          <w:rFonts w:ascii="Times" w:hAnsi="Times" w:cs="Arial"/>
          <w:bCs/>
        </w:rPr>
        <w:t>seeking spaces</w:t>
      </w:r>
      <w:r w:rsidR="00812859" w:rsidRPr="000E50F1">
        <w:rPr>
          <w:rFonts w:ascii="Times" w:hAnsi="Times" w:cs="Arial"/>
          <w:bCs/>
        </w:rPr>
        <w:t xml:space="preserve">. Telephone interpretive service, as opposed to </w:t>
      </w:r>
      <w:r w:rsidR="00FF51A9" w:rsidRPr="000E50F1">
        <w:rPr>
          <w:rFonts w:ascii="Times" w:hAnsi="Times" w:cs="Arial"/>
          <w:bCs/>
        </w:rPr>
        <w:t>face-to-face</w:t>
      </w:r>
      <w:r w:rsidR="00812859" w:rsidRPr="000E50F1">
        <w:rPr>
          <w:rFonts w:ascii="Times" w:hAnsi="Times" w:cs="Arial"/>
          <w:bCs/>
        </w:rPr>
        <w:t xml:space="preserve"> contact, may be one way to increase privacy and anonymity for clients in care. </w:t>
      </w:r>
    </w:p>
    <w:p w14:paraId="6949E1C6" w14:textId="77777777" w:rsidR="00812859" w:rsidRPr="000E50F1" w:rsidRDefault="00812859" w:rsidP="00812859">
      <w:pPr>
        <w:rPr>
          <w:rFonts w:ascii="Times" w:hAnsi="Times" w:cs="Arial"/>
          <w:b/>
          <w:i/>
          <w:iCs/>
          <w:lang w:val="en-US"/>
        </w:rPr>
      </w:pPr>
      <w:r w:rsidRPr="000E50F1">
        <w:rPr>
          <w:rFonts w:ascii="Times" w:hAnsi="Times" w:cs="Arial"/>
          <w:b/>
          <w:i/>
          <w:iCs/>
          <w:lang w:val="en-US"/>
        </w:rPr>
        <w:t>Implications for Future Research</w:t>
      </w:r>
    </w:p>
    <w:p w14:paraId="5C8779C4" w14:textId="4A1DDEBC" w:rsidR="00736552" w:rsidRPr="000E50F1" w:rsidRDefault="00812859" w:rsidP="00812859">
      <w:pPr>
        <w:rPr>
          <w:rFonts w:ascii="Times" w:hAnsi="Times" w:cs="Arial"/>
          <w:bCs/>
        </w:rPr>
      </w:pPr>
      <w:r w:rsidRPr="000E50F1">
        <w:rPr>
          <w:rFonts w:ascii="Times" w:hAnsi="Times" w:cs="Arial"/>
          <w:bCs/>
        </w:rPr>
        <w:t xml:space="preserve">Although underutilization of health services amongst immigrant populations have been widely researched, the body of work may have fallen short due to conflation of </w:t>
      </w:r>
      <w:r w:rsidR="00DA3396" w:rsidRPr="000E50F1">
        <w:rPr>
          <w:rFonts w:ascii="Times" w:hAnsi="Times" w:cs="Arial"/>
          <w:bCs/>
        </w:rPr>
        <w:t>inacc</w:t>
      </w:r>
      <w:r w:rsidRPr="000E50F1">
        <w:rPr>
          <w:rFonts w:ascii="Times" w:hAnsi="Times" w:cs="Arial"/>
          <w:bCs/>
        </w:rPr>
        <w:t>ess with inaccessibility. Ricketts (2009) suggests that the concept of access in health is highly related to issues of justice and equity; however, an increase in equity may not result in an increase in service accessibility or utilization or improved health outcome(s). Some argue that even if language services were fully available, or if treatment was delivered in the same language as the patient’s, this will only address one aspect of equity in service delivery (</w:t>
      </w:r>
      <w:r w:rsidR="00021A61" w:rsidRPr="000E50F1">
        <w:rPr>
          <w:rFonts w:ascii="Times" w:hAnsi="Times" w:cs="Arial"/>
          <w:bCs/>
        </w:rPr>
        <w:t xml:space="preserve">Centre for Addictions and Mental Health </w:t>
      </w:r>
      <w:r w:rsidRPr="000E50F1">
        <w:rPr>
          <w:rFonts w:ascii="Times" w:hAnsi="Times" w:cs="Arial"/>
          <w:bCs/>
        </w:rPr>
        <w:t>2009). The extent to which an immigrant can fully utilize a health service remains less known and under investigated overall, particularly in the area of mental health. Underuse of service may be intricately linked to intersecting influences of individual- interpersonal-, and macro-level of culture, stigma, and power that culminate at the system-level to perpetuate immigrant inaccessibility and unmet mental health needs. Despite alleviating points of inaccess for immigrant youth in this research (e.g. engaging students in mental health promotion, bringing free counselling services into schools for students and families, providing family psychoeducation and using interpreters, etc.) early termination of services was still found amongst youth. Future research on immigrant youth mental health could significantly benefit from deeper examination and evaluation of service inaccessibility to explore the experiences of interpersonal-stigma on youth during service use, or the power relations between youth and linguistic interpreter in care, or youth’s experience of family-based shame in care. Factors leading to early termination of services/support would also be critical to explore</w:t>
      </w:r>
      <w:r w:rsidR="004755E7" w:rsidRPr="000E50F1">
        <w:rPr>
          <w:rFonts w:ascii="Times" w:hAnsi="Times" w:cs="Arial"/>
          <w:bCs/>
        </w:rPr>
        <w:t xml:space="preserve"> that</w:t>
      </w:r>
      <w:r w:rsidRPr="000E50F1">
        <w:rPr>
          <w:rFonts w:ascii="Times" w:hAnsi="Times" w:cs="Arial"/>
          <w:bCs/>
        </w:rPr>
        <w:t xml:space="preserve"> </w:t>
      </w:r>
      <w:r w:rsidR="004755E7" w:rsidRPr="000E50F1">
        <w:rPr>
          <w:rFonts w:ascii="Times" w:hAnsi="Times" w:cs="Arial"/>
          <w:bCs/>
        </w:rPr>
        <w:t>is attuned</w:t>
      </w:r>
      <w:r w:rsidR="00885BE3" w:rsidRPr="000E50F1">
        <w:rPr>
          <w:rFonts w:ascii="Times" w:hAnsi="Times" w:cs="Arial"/>
          <w:bCs/>
        </w:rPr>
        <w:t xml:space="preserve"> to </w:t>
      </w:r>
      <w:r w:rsidR="00885BE3" w:rsidRPr="000E50F1">
        <w:rPr>
          <w:rFonts w:ascii="Times" w:eastAsiaTheme="minorHAnsi" w:hAnsi="Times" w:cs="Arial"/>
          <w:bCs/>
          <w:lang w:val="en-US"/>
        </w:rPr>
        <w:t>cultural systems in immigrant and refugee health research remains vital. As noted by Kirmayer and Jarvis (2019) the social categories that position individuals and communities in ways that may cause disadvantage or adversity, and given</w:t>
      </w:r>
      <w:r w:rsidR="00885BE3" w:rsidRPr="000E50F1">
        <w:rPr>
          <w:rFonts w:ascii="Times" w:hAnsi="Times" w:cs="Arial"/>
          <w:bCs/>
        </w:rPr>
        <w:t xml:space="preserve"> the </w:t>
      </w:r>
      <w:r w:rsidR="00885BE3" w:rsidRPr="000E50F1">
        <w:rPr>
          <w:rFonts w:ascii="Times" w:eastAsiaTheme="minorHAnsi" w:hAnsi="Times" w:cs="Arial"/>
          <w:bCs/>
          <w:lang w:val="en-US"/>
        </w:rPr>
        <w:t xml:space="preserve">central role of cultural knowledge, values </w:t>
      </w:r>
      <w:r w:rsidR="00885BE3" w:rsidRPr="000E50F1">
        <w:rPr>
          <w:rFonts w:ascii="Times" w:hAnsi="Times" w:cs="Arial"/>
          <w:bCs/>
        </w:rPr>
        <w:t>and practices in creating and maintaining health inequities, calls for systematic attention to culture in health policy, research, training</w:t>
      </w:r>
      <w:r w:rsidR="004755E7" w:rsidRPr="000E50F1">
        <w:rPr>
          <w:rFonts w:ascii="Times" w:hAnsi="Times" w:cs="Arial"/>
          <w:bCs/>
        </w:rPr>
        <w:t>. Kirmayer and Jarvis (2019) also notes the potential limitation of introducing a “cultural expert” that can undermine and displace the patient as expert and lead to cultural objectification of the patient. This research echo’s Edge et al. (2014) call for greater attention in health promotion strategies that facilitate health agency and self-determination amongst immigrant youth, and further enquiry into structural barriers that can undermine youth self-determination and agency in mental health access.</w:t>
      </w:r>
    </w:p>
    <w:p w14:paraId="70F6DF4D" w14:textId="77777777" w:rsidR="004755E7" w:rsidRPr="000E50F1" w:rsidRDefault="004755E7" w:rsidP="00812859">
      <w:pPr>
        <w:rPr>
          <w:rFonts w:ascii="Times" w:hAnsi="Times" w:cs="Arial"/>
          <w:b/>
          <w:bCs/>
          <w:shd w:val="clear" w:color="auto" w:fill="FFFFFF"/>
        </w:rPr>
      </w:pPr>
    </w:p>
    <w:p w14:paraId="7F9DD2B3" w14:textId="7C695E71" w:rsidR="00812859" w:rsidRPr="000E50F1" w:rsidRDefault="00EA74C0" w:rsidP="00812859">
      <w:pPr>
        <w:rPr>
          <w:rFonts w:ascii="Times" w:hAnsi="Times" w:cs="Arial"/>
          <w:b/>
          <w:bCs/>
          <w:shd w:val="clear" w:color="auto" w:fill="FFFFFF"/>
        </w:rPr>
      </w:pPr>
      <w:r w:rsidRPr="000E50F1">
        <w:rPr>
          <w:rFonts w:ascii="Times" w:hAnsi="Times" w:cs="Arial"/>
          <w:b/>
          <w:bCs/>
          <w:shd w:val="clear" w:color="auto" w:fill="FFFFFF"/>
        </w:rPr>
        <w:lastRenderedPageBreak/>
        <w:t>References</w:t>
      </w:r>
    </w:p>
    <w:p w14:paraId="64A90D0B" w14:textId="77777777" w:rsidR="00812859" w:rsidRPr="000E50F1" w:rsidRDefault="00812859" w:rsidP="00812859">
      <w:pPr>
        <w:rPr>
          <w:rFonts w:ascii="Times" w:hAnsi="Times" w:cs="Arial"/>
          <w:b/>
          <w:bCs/>
          <w:shd w:val="clear" w:color="auto" w:fill="FFFFFF"/>
        </w:rPr>
      </w:pPr>
    </w:p>
    <w:p w14:paraId="44664E1D" w14:textId="77777777" w:rsidR="00812859" w:rsidRPr="000E50F1" w:rsidRDefault="00812859" w:rsidP="00812859">
      <w:pPr>
        <w:ind w:left="567" w:hanging="567"/>
        <w:rPr>
          <w:rFonts w:ascii="Times" w:hAnsi="Times" w:cs="Arial"/>
          <w:shd w:val="clear" w:color="auto" w:fill="FFFFFF"/>
        </w:rPr>
      </w:pPr>
      <w:r w:rsidRPr="000E50F1">
        <w:rPr>
          <w:rFonts w:ascii="Times" w:hAnsi="Times" w:cs="Arial"/>
          <w:shd w:val="clear" w:color="auto" w:fill="FFFFFF"/>
        </w:rPr>
        <w:t>Archie, S., Akhtar-Danesh, N., Norman, R., Malla, A., Roy, P., &amp; Zipursky, R. B. (2010). Ethnic diversity and pathways to care for a first episode of psychosis in Ontario. Schizophrenia Bulletin, 36(4), 688-701.</w:t>
      </w:r>
    </w:p>
    <w:p w14:paraId="23CF96B0" w14:textId="77777777" w:rsidR="00812859" w:rsidRPr="000E50F1" w:rsidRDefault="00812859" w:rsidP="00812859">
      <w:pPr>
        <w:ind w:left="567" w:hanging="567"/>
        <w:rPr>
          <w:rFonts w:ascii="Times" w:hAnsi="Times" w:cs="Arial"/>
          <w:shd w:val="clear" w:color="auto" w:fill="FFFFFF"/>
        </w:rPr>
      </w:pPr>
    </w:p>
    <w:p w14:paraId="6DD4A3D8" w14:textId="77777777" w:rsidR="00812859" w:rsidRPr="000E50F1" w:rsidRDefault="00812859" w:rsidP="00812859">
      <w:pPr>
        <w:autoSpaceDE w:val="0"/>
        <w:autoSpaceDN w:val="0"/>
        <w:adjustRightInd w:val="0"/>
        <w:ind w:left="567" w:hanging="567"/>
        <w:rPr>
          <w:rFonts w:ascii="Times" w:hAnsi="Times" w:cs="Calibri"/>
        </w:rPr>
      </w:pPr>
      <w:r w:rsidRPr="000E50F1">
        <w:rPr>
          <w:rFonts w:ascii="Times" w:hAnsi="Times" w:cs="Calibri"/>
        </w:rPr>
        <w:t>Asanin, J. &amp; Wilson, K. (2010). “My health has improved because I always have everything I need here…”: A qualitative exploration of health improvement and decline among immigrants. </w:t>
      </w:r>
      <w:r w:rsidRPr="000E50F1">
        <w:rPr>
          <w:rFonts w:ascii="Times" w:hAnsi="Times" w:cs="Calibri"/>
          <w:i/>
        </w:rPr>
        <w:t>Social Science and Medicine, 70</w:t>
      </w:r>
      <w:r w:rsidRPr="000E50F1">
        <w:rPr>
          <w:rFonts w:ascii="Times" w:hAnsi="Times" w:cs="Calibri"/>
        </w:rPr>
        <w:t>(8), 1219-1228.</w:t>
      </w:r>
    </w:p>
    <w:p w14:paraId="119E815E" w14:textId="77777777" w:rsidR="00812859" w:rsidRPr="000E50F1" w:rsidRDefault="00812859" w:rsidP="00812859">
      <w:pPr>
        <w:ind w:left="567" w:hanging="567"/>
        <w:rPr>
          <w:rFonts w:ascii="Times" w:hAnsi="Times" w:cs="Arial"/>
          <w:shd w:val="clear" w:color="auto" w:fill="FFFFFF"/>
        </w:rPr>
      </w:pPr>
    </w:p>
    <w:p w14:paraId="08D5BC35" w14:textId="77777777" w:rsidR="00812859" w:rsidRPr="000E50F1" w:rsidRDefault="00812859" w:rsidP="00812859">
      <w:pPr>
        <w:ind w:left="567" w:hanging="567"/>
        <w:rPr>
          <w:rFonts w:ascii="Times" w:hAnsi="Times" w:cs="Arial"/>
          <w:shd w:val="clear" w:color="auto" w:fill="FFFFFF"/>
        </w:rPr>
      </w:pPr>
      <w:r w:rsidRPr="000E50F1">
        <w:rPr>
          <w:rFonts w:ascii="Times" w:hAnsi="Times" w:cs="Arial"/>
          <w:shd w:val="clear" w:color="auto" w:fill="FFFFFF"/>
        </w:rPr>
        <w:t>Azuero, C. B. (2012).</w:t>
      </w:r>
      <w:r w:rsidRPr="000E50F1">
        <w:rPr>
          <w:rFonts w:ascii="Times" w:hAnsi="Times"/>
        </w:rPr>
        <w:t> </w:t>
      </w:r>
      <w:r w:rsidRPr="000E50F1">
        <w:rPr>
          <w:rFonts w:ascii="Times" w:hAnsi="Times" w:cs="Arial"/>
          <w:shd w:val="clear" w:color="auto" w:fill="FFFFFF"/>
        </w:rPr>
        <w:t>Determinants of mental health utilization in a palliative care outpatient setting</w:t>
      </w:r>
      <w:r w:rsidRPr="000E50F1">
        <w:rPr>
          <w:rFonts w:ascii="Times" w:hAnsi="Times"/>
        </w:rPr>
        <w:t xml:space="preserve">, </w:t>
      </w:r>
      <w:r w:rsidRPr="000E50F1">
        <w:rPr>
          <w:rFonts w:ascii="Times" w:hAnsi="Times" w:cs="Arial"/>
          <w:shd w:val="clear" w:color="auto" w:fill="FFFFFF"/>
        </w:rPr>
        <w:t>doctoral dissertation, University of Alabama Libraries.</w:t>
      </w:r>
    </w:p>
    <w:p w14:paraId="0AA1F48E" w14:textId="77777777" w:rsidR="00812859" w:rsidRPr="000E50F1" w:rsidRDefault="00812859" w:rsidP="00812859">
      <w:pPr>
        <w:ind w:left="567" w:hanging="567"/>
        <w:rPr>
          <w:rFonts w:ascii="Times" w:hAnsi="Times" w:cs="Arial"/>
          <w:shd w:val="clear" w:color="auto" w:fill="FFFFFF"/>
        </w:rPr>
      </w:pPr>
    </w:p>
    <w:p w14:paraId="022FA104" w14:textId="77777777" w:rsidR="00812859" w:rsidRPr="000E50F1" w:rsidRDefault="00812859" w:rsidP="00812859">
      <w:pPr>
        <w:ind w:left="567" w:hanging="567"/>
        <w:rPr>
          <w:rFonts w:ascii="Times" w:hAnsi="Times" w:cs="Arial"/>
          <w:shd w:val="clear" w:color="auto" w:fill="FFFFFF"/>
        </w:rPr>
      </w:pPr>
      <w:r w:rsidRPr="000E50F1">
        <w:rPr>
          <w:rFonts w:ascii="Times" w:hAnsi="Times" w:cs="Arial"/>
          <w:shd w:val="clear" w:color="auto" w:fill="FFFFFF"/>
        </w:rPr>
        <w:t>Bambra, C., Gibson, M., Sowden, A., Wright, K., Whitehead, M., &amp; Petticrew, M. (2010). Tackling the wider social determinants of health and health inequalities: evidence from systematic reviews. </w:t>
      </w:r>
      <w:r w:rsidRPr="000E50F1">
        <w:rPr>
          <w:rFonts w:ascii="Times" w:hAnsi="Times" w:cs="Arial"/>
          <w:i/>
          <w:iCs/>
          <w:shd w:val="clear" w:color="auto" w:fill="FFFFFF"/>
        </w:rPr>
        <w:t>Journal of Epidemiology &amp; Community Health, 64</w:t>
      </w:r>
      <w:r w:rsidRPr="000E50F1">
        <w:rPr>
          <w:rFonts w:ascii="Times" w:hAnsi="Times" w:cs="Arial"/>
          <w:shd w:val="clear" w:color="auto" w:fill="FFFFFF"/>
        </w:rPr>
        <w:t>(4), 284-291.</w:t>
      </w:r>
    </w:p>
    <w:p w14:paraId="7840B71E" w14:textId="77777777" w:rsidR="00812859" w:rsidRPr="000E50F1" w:rsidRDefault="00812859" w:rsidP="00812859">
      <w:pPr>
        <w:rPr>
          <w:rFonts w:ascii="Times" w:hAnsi="Times" w:cs="Arial"/>
          <w:shd w:val="clear" w:color="auto" w:fill="FFFFFF"/>
        </w:rPr>
      </w:pPr>
    </w:p>
    <w:p w14:paraId="65BE0198"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Beehler, S., Birman, D., &amp; Campbell, R. (2012). The effectiveness of cultural adjustment and trauma services (CATS): Generating practice-based evidence on a comprehensive, school-based mental health intervention for immigrant youth.</w:t>
      </w:r>
      <w:r w:rsidRPr="000E50F1">
        <w:rPr>
          <w:rStyle w:val="apple-converted-space"/>
          <w:rFonts w:ascii="Times" w:hAnsi="Times" w:cs="Arial"/>
          <w:shd w:val="clear" w:color="auto" w:fill="FFFFFF"/>
        </w:rPr>
        <w:t> </w:t>
      </w:r>
      <w:r w:rsidRPr="000E50F1">
        <w:rPr>
          <w:rFonts w:ascii="Times" w:hAnsi="Times" w:cs="Arial"/>
          <w:i/>
          <w:iCs/>
        </w:rPr>
        <w:t>American journal of community psychology</w:t>
      </w:r>
      <w:r w:rsidRPr="000E50F1">
        <w:rPr>
          <w:rFonts w:ascii="Times" w:hAnsi="Times" w:cs="Arial"/>
          <w:shd w:val="clear" w:color="auto" w:fill="FFFFFF"/>
        </w:rPr>
        <w:t>,</w:t>
      </w:r>
      <w:r w:rsidRPr="000E50F1">
        <w:rPr>
          <w:rStyle w:val="apple-converted-space"/>
          <w:rFonts w:ascii="Times" w:hAnsi="Times" w:cs="Arial"/>
          <w:shd w:val="clear" w:color="auto" w:fill="FFFFFF"/>
        </w:rPr>
        <w:t> </w:t>
      </w:r>
      <w:r w:rsidRPr="000E50F1">
        <w:rPr>
          <w:rFonts w:ascii="Times" w:hAnsi="Times" w:cs="Arial"/>
          <w:i/>
          <w:iCs/>
        </w:rPr>
        <w:t>50</w:t>
      </w:r>
      <w:r w:rsidRPr="000E50F1">
        <w:rPr>
          <w:rFonts w:ascii="Times" w:hAnsi="Times" w:cs="Arial"/>
          <w:shd w:val="clear" w:color="auto" w:fill="FFFFFF"/>
        </w:rPr>
        <w:t>(1-2), 155-168.</w:t>
      </w:r>
    </w:p>
    <w:p w14:paraId="45501330"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p>
    <w:p w14:paraId="2BFCF2A7"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Beiser, M. (2005). The health of immigrants and refugees in Canada.</w:t>
      </w:r>
      <w:r w:rsidRPr="000E50F1">
        <w:rPr>
          <w:rFonts w:ascii="Times" w:hAnsi="Times"/>
        </w:rPr>
        <w:t> </w:t>
      </w:r>
      <w:r w:rsidRPr="000E50F1">
        <w:rPr>
          <w:rFonts w:ascii="Times" w:hAnsi="Times" w:cs="Arial"/>
          <w:i/>
          <w:iCs/>
          <w:shd w:val="clear" w:color="auto" w:fill="FFFFFF"/>
        </w:rPr>
        <w:t>Canadian Journal of Public Health,</w:t>
      </w:r>
      <w:r w:rsidRPr="000E50F1">
        <w:rPr>
          <w:rFonts w:ascii="Times" w:hAnsi="Times"/>
          <w:i/>
          <w:iCs/>
        </w:rPr>
        <w:t> </w:t>
      </w:r>
      <w:r w:rsidRPr="000E50F1">
        <w:rPr>
          <w:rFonts w:ascii="Times" w:hAnsi="Times" w:cs="Arial"/>
          <w:i/>
          <w:iCs/>
          <w:shd w:val="clear" w:color="auto" w:fill="FFFFFF"/>
        </w:rPr>
        <w:t>96</w:t>
      </w:r>
      <w:r w:rsidRPr="000E50F1">
        <w:rPr>
          <w:rFonts w:ascii="Times" w:hAnsi="Times" w:cs="Arial"/>
          <w:shd w:val="clear" w:color="auto" w:fill="FFFFFF"/>
        </w:rPr>
        <w:t>(2), S30-S44.</w:t>
      </w:r>
    </w:p>
    <w:p w14:paraId="21F5BED2" w14:textId="03397124"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p>
    <w:p w14:paraId="4031C92A" w14:textId="77777777" w:rsidR="00D56476" w:rsidRPr="000E50F1" w:rsidRDefault="00D56476" w:rsidP="00D56476">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Berry, J. W., Phinney, J. S., Sam, D. L., &amp; Vedder, P. E. (2006).</w:t>
      </w:r>
      <w:r w:rsidRPr="000E50F1">
        <w:rPr>
          <w:rFonts w:ascii="Times" w:hAnsi="Times"/>
        </w:rPr>
        <w:t> </w:t>
      </w:r>
      <w:r w:rsidRPr="000E50F1">
        <w:rPr>
          <w:rFonts w:ascii="Times" w:hAnsi="Times" w:cs="Arial"/>
          <w:i/>
          <w:iCs/>
          <w:shd w:val="clear" w:color="auto" w:fill="FFFFFF"/>
        </w:rPr>
        <w:t>Immigrant youth in cultural transition: Acculturation, identity, and adaptation across national contexts</w:t>
      </w:r>
      <w:r w:rsidRPr="000E50F1">
        <w:rPr>
          <w:rFonts w:ascii="Times" w:hAnsi="Times" w:cs="Arial"/>
          <w:shd w:val="clear" w:color="auto" w:fill="FFFFFF"/>
        </w:rPr>
        <w:t>. Lawrence Erlbaum Associates Publishers.</w:t>
      </w:r>
    </w:p>
    <w:p w14:paraId="4DB61286" w14:textId="77777777" w:rsidR="00D56476" w:rsidRPr="000E50F1" w:rsidRDefault="00D56476" w:rsidP="00812859">
      <w:pPr>
        <w:pStyle w:val="NormalWeb"/>
        <w:spacing w:before="0" w:beforeAutospacing="0" w:after="0" w:afterAutospacing="0"/>
        <w:ind w:left="567" w:hanging="567"/>
        <w:rPr>
          <w:rFonts w:ascii="Times" w:hAnsi="Times" w:cs="Arial"/>
          <w:shd w:val="clear" w:color="auto" w:fill="FFFFFF"/>
        </w:rPr>
      </w:pPr>
    </w:p>
    <w:p w14:paraId="3CB6B92F" w14:textId="2C6B93BC" w:rsidR="00331205" w:rsidRPr="000E50F1" w:rsidRDefault="00812859" w:rsidP="00331205">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Brar-Josan, N., &amp; Yohani, S. C. (201</w:t>
      </w:r>
      <w:r w:rsidR="00331205" w:rsidRPr="000E50F1">
        <w:rPr>
          <w:rFonts w:ascii="Times" w:hAnsi="Times" w:cs="Arial"/>
          <w:shd w:val="clear" w:color="auto" w:fill="FFFFFF"/>
        </w:rPr>
        <w:t>9</w:t>
      </w:r>
      <w:r w:rsidRPr="000E50F1">
        <w:rPr>
          <w:rFonts w:ascii="Times" w:hAnsi="Times" w:cs="Arial"/>
          <w:shd w:val="clear" w:color="auto" w:fill="FFFFFF"/>
        </w:rPr>
        <w:t>). Cultural brokers’ role in facilitating informal and formal mental health supports for refugee youth in school and community context: a Canadian case study.</w:t>
      </w:r>
      <w:r w:rsidRPr="000E50F1">
        <w:rPr>
          <w:rFonts w:ascii="Times" w:hAnsi="Times"/>
        </w:rPr>
        <w:t> </w:t>
      </w:r>
      <w:r w:rsidRPr="000E50F1">
        <w:rPr>
          <w:rFonts w:ascii="Times" w:hAnsi="Times" w:cs="Arial"/>
          <w:i/>
          <w:iCs/>
          <w:shd w:val="clear" w:color="auto" w:fill="FFFFFF"/>
        </w:rPr>
        <w:t>British Journal of Guidance &amp; Counselling,</w:t>
      </w:r>
      <w:r w:rsidRPr="000E50F1">
        <w:rPr>
          <w:rFonts w:ascii="Times" w:hAnsi="Times"/>
          <w:i/>
          <w:iCs/>
        </w:rPr>
        <w:t> </w:t>
      </w:r>
      <w:r w:rsidRPr="000E50F1">
        <w:rPr>
          <w:rFonts w:ascii="Times" w:hAnsi="Times" w:cs="Arial"/>
          <w:i/>
          <w:iCs/>
          <w:shd w:val="clear" w:color="auto" w:fill="FFFFFF"/>
        </w:rPr>
        <w:t>47</w:t>
      </w:r>
      <w:r w:rsidRPr="000E50F1">
        <w:rPr>
          <w:rFonts w:ascii="Times" w:hAnsi="Times" w:cs="Arial"/>
          <w:shd w:val="clear" w:color="auto" w:fill="FFFFFF"/>
        </w:rPr>
        <w:t>(4), 512-523.</w:t>
      </w:r>
    </w:p>
    <w:p w14:paraId="004C830D" w14:textId="77777777" w:rsidR="00331205" w:rsidRPr="000E50F1" w:rsidRDefault="00331205" w:rsidP="00331205">
      <w:pPr>
        <w:pStyle w:val="NormalWeb"/>
        <w:spacing w:before="0" w:beforeAutospacing="0" w:after="0" w:afterAutospacing="0"/>
        <w:rPr>
          <w:rFonts w:ascii="Times" w:hAnsi="Times" w:cs="Arial"/>
          <w:shd w:val="clear" w:color="auto" w:fill="FFFFFF"/>
        </w:rPr>
      </w:pPr>
    </w:p>
    <w:p w14:paraId="04D4E096" w14:textId="77777777" w:rsidR="00812859" w:rsidRPr="000E50F1" w:rsidRDefault="00812859" w:rsidP="00812859">
      <w:pPr>
        <w:pStyle w:val="NormalWeb"/>
        <w:spacing w:before="0" w:beforeAutospacing="0" w:after="0" w:afterAutospacing="0"/>
        <w:ind w:left="567" w:hanging="567"/>
        <w:rPr>
          <w:rFonts w:ascii="Times" w:hAnsi="Times" w:cs="Arial"/>
        </w:rPr>
      </w:pPr>
      <w:r w:rsidRPr="000E50F1">
        <w:rPr>
          <w:rFonts w:ascii="Times" w:hAnsi="Times" w:cs="Arial"/>
        </w:rPr>
        <w:t xml:space="preserve">Brar-Josan, N., &amp; Yohani, S. C. (2014). A framework for counsellor-cultural broker collaboration. </w:t>
      </w:r>
      <w:r w:rsidRPr="000E50F1">
        <w:rPr>
          <w:rFonts w:ascii="Times" w:hAnsi="Times" w:cs="Arial"/>
          <w:i/>
          <w:iCs/>
        </w:rPr>
        <w:t>Canadian Journal of Counselling and Psychotherapy, 48</w:t>
      </w:r>
      <w:r w:rsidRPr="000E50F1">
        <w:rPr>
          <w:rFonts w:ascii="Times" w:hAnsi="Times" w:cs="Arial"/>
        </w:rPr>
        <w:t>(2), 81–99.</w:t>
      </w:r>
    </w:p>
    <w:p w14:paraId="75B89323" w14:textId="77777777" w:rsidR="00812859" w:rsidRPr="000E50F1" w:rsidRDefault="00812859" w:rsidP="00812859">
      <w:pPr>
        <w:pStyle w:val="NormalWeb"/>
        <w:spacing w:before="0" w:beforeAutospacing="0" w:after="0" w:afterAutospacing="0"/>
        <w:ind w:left="567" w:hanging="567"/>
        <w:rPr>
          <w:rFonts w:ascii="Times" w:hAnsi="Times" w:cs="Arial"/>
        </w:rPr>
      </w:pPr>
    </w:p>
    <w:p w14:paraId="44F18BD8" w14:textId="77777777" w:rsidR="00812859" w:rsidRPr="000E50F1" w:rsidRDefault="00812859" w:rsidP="00812859">
      <w:pPr>
        <w:pStyle w:val="NormalWeb"/>
        <w:spacing w:before="0" w:beforeAutospacing="0" w:after="0" w:afterAutospacing="0"/>
        <w:ind w:left="567" w:hanging="567"/>
        <w:rPr>
          <w:rFonts w:ascii="Times" w:hAnsi="Times" w:cs="Arial"/>
          <w:bCs/>
        </w:rPr>
      </w:pPr>
      <w:r w:rsidRPr="000E50F1">
        <w:rPr>
          <w:rFonts w:ascii="Times" w:hAnsi="Times" w:cs="Arial"/>
          <w:bCs/>
        </w:rPr>
        <w:t xml:space="preserve">Canadian Mental Health Association. 2013. Fast Facts about Mental Illness </w:t>
      </w:r>
      <w:hyperlink r:id="rId45" w:history="1">
        <w:r w:rsidRPr="000E50F1">
          <w:rPr>
            <w:rStyle w:val="Hyperlink"/>
            <w:rFonts w:ascii="Times" w:hAnsi="Times" w:cs="Arial"/>
            <w:bCs/>
            <w:color w:val="auto"/>
            <w:u w:val="none"/>
          </w:rPr>
          <w:t>https://cmha.ca/fast-facts-about-mental-illness</w:t>
        </w:r>
      </w:hyperlink>
    </w:p>
    <w:p w14:paraId="018EA721" w14:textId="77777777" w:rsidR="00812859" w:rsidRPr="000E50F1" w:rsidRDefault="00812859" w:rsidP="00812859">
      <w:pPr>
        <w:pStyle w:val="NormalWeb"/>
        <w:spacing w:before="0" w:beforeAutospacing="0" w:after="0" w:afterAutospacing="0"/>
        <w:ind w:left="567" w:hanging="567"/>
        <w:rPr>
          <w:rFonts w:ascii="Times" w:hAnsi="Times" w:cs="Arial"/>
          <w:bCs/>
        </w:rPr>
      </w:pPr>
    </w:p>
    <w:p w14:paraId="58AE3F4E" w14:textId="77777777" w:rsidR="00812859" w:rsidRPr="000E50F1" w:rsidRDefault="00812859" w:rsidP="00812859">
      <w:pPr>
        <w:pStyle w:val="NormalWeb"/>
        <w:spacing w:before="0" w:beforeAutospacing="0" w:after="0" w:afterAutospacing="0"/>
        <w:ind w:left="567" w:hanging="567"/>
        <w:rPr>
          <w:rFonts w:ascii="Times" w:hAnsi="Times" w:cs="Arial"/>
          <w:bCs/>
        </w:rPr>
      </w:pPr>
      <w:r w:rsidRPr="000E50F1">
        <w:rPr>
          <w:rFonts w:ascii="Times" w:hAnsi="Times" w:cs="Arial"/>
          <w:bCs/>
        </w:rPr>
        <w:lastRenderedPageBreak/>
        <w:t>Centre for Addictions and Mental Health. 2019. Mental Illness and Addiction: Facts and Statistics. Accessed online:  https://www.camh.ca/en/driving-change/the-crisis-is-real/mental-health-statistics</w:t>
      </w:r>
    </w:p>
    <w:p w14:paraId="2FBF7485" w14:textId="77777777" w:rsidR="00812859" w:rsidRPr="000E50F1" w:rsidRDefault="00812859" w:rsidP="00812859">
      <w:pPr>
        <w:pStyle w:val="NormalWeb"/>
        <w:spacing w:before="0" w:beforeAutospacing="0" w:after="0" w:afterAutospacing="0"/>
        <w:rPr>
          <w:rFonts w:ascii="Times" w:hAnsi="Times" w:cs="Arial"/>
        </w:rPr>
      </w:pPr>
    </w:p>
    <w:p w14:paraId="5EE5E7CF"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Donnelly, T. T., Hwang, J. J., Este, D., Ewashen, C., Adair, C., &amp; Clinton, M. (2011). If I was going to kill myself, I wouldn't be calling you. I am asking for help: Challenges influencing immigrant and refugee women's mental health. </w:t>
      </w:r>
      <w:r w:rsidRPr="000E50F1">
        <w:rPr>
          <w:rFonts w:ascii="Times" w:hAnsi="Times" w:cs="Arial"/>
          <w:i/>
          <w:iCs/>
        </w:rPr>
        <w:t>Issues in mental health nursing</w:t>
      </w:r>
      <w:r w:rsidRPr="000E50F1">
        <w:rPr>
          <w:rFonts w:ascii="Times" w:hAnsi="Times" w:cs="Arial"/>
          <w:shd w:val="clear" w:color="auto" w:fill="FFFFFF"/>
        </w:rPr>
        <w:t>, </w:t>
      </w:r>
      <w:r w:rsidRPr="000E50F1">
        <w:rPr>
          <w:rFonts w:ascii="Times" w:hAnsi="Times" w:cs="Arial"/>
          <w:i/>
          <w:iCs/>
        </w:rPr>
        <w:t>32</w:t>
      </w:r>
      <w:r w:rsidRPr="000E50F1">
        <w:rPr>
          <w:rFonts w:ascii="Times" w:hAnsi="Times" w:cs="Arial"/>
          <w:shd w:val="clear" w:color="auto" w:fill="FFFFFF"/>
        </w:rPr>
        <w:t>(5), 279-290.</w:t>
      </w:r>
    </w:p>
    <w:p w14:paraId="34FAD3B4"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p>
    <w:p w14:paraId="0DC11703" w14:textId="77777777" w:rsidR="004A2076" w:rsidRPr="000E50F1" w:rsidRDefault="00812859" w:rsidP="004A2076">
      <w:pPr>
        <w:pStyle w:val="NormalWeb"/>
        <w:spacing w:before="0" w:beforeAutospacing="0" w:after="0" w:afterAutospacing="0"/>
        <w:ind w:left="480" w:hanging="480"/>
        <w:rPr>
          <w:rFonts w:ascii="Times" w:hAnsi="Times" w:cs="Arial"/>
          <w:shd w:val="clear" w:color="auto" w:fill="FFFFFF"/>
        </w:rPr>
      </w:pPr>
      <w:r w:rsidRPr="000E50F1">
        <w:rPr>
          <w:rFonts w:ascii="Times" w:hAnsi="Times" w:cs="Arial"/>
          <w:shd w:val="clear" w:color="auto" w:fill="FFFFFF"/>
        </w:rPr>
        <w:t>Durbin, A., Lin, E., Taylor, L., &amp; Callaghan, R. C. (2011). First-Generation Immigrants and Hospital Admission Rates for Psychosis and Affective Disorders: An Ecological Study in Ontario. </w:t>
      </w:r>
      <w:r w:rsidRPr="000E50F1">
        <w:rPr>
          <w:rFonts w:ascii="Times" w:hAnsi="Times" w:cs="Arial"/>
          <w:i/>
          <w:iCs/>
          <w:shd w:val="clear" w:color="auto" w:fill="FFFFFF"/>
        </w:rPr>
        <w:t>Canadian Journal of Psychiatry, 56</w:t>
      </w:r>
      <w:r w:rsidRPr="000E50F1">
        <w:rPr>
          <w:rFonts w:ascii="Times" w:hAnsi="Times" w:cs="Arial"/>
          <w:shd w:val="clear" w:color="auto" w:fill="FFFFFF"/>
        </w:rPr>
        <w:t>(7), 418-426.</w:t>
      </w:r>
    </w:p>
    <w:p w14:paraId="67095F00" w14:textId="77777777" w:rsidR="004A2076" w:rsidRPr="000E50F1" w:rsidRDefault="004A2076" w:rsidP="004A2076">
      <w:pPr>
        <w:pStyle w:val="NormalWeb"/>
        <w:spacing w:before="0" w:beforeAutospacing="0" w:after="0" w:afterAutospacing="0"/>
        <w:ind w:left="480" w:hanging="480"/>
        <w:rPr>
          <w:rFonts w:ascii="Times" w:hAnsi="Times" w:cs="Arial"/>
          <w:shd w:val="clear" w:color="auto" w:fill="FFFFFF"/>
        </w:rPr>
      </w:pPr>
    </w:p>
    <w:p w14:paraId="49DEEC57" w14:textId="6D8E6BF9" w:rsidR="004A2076" w:rsidRPr="000E50F1" w:rsidRDefault="004A2076" w:rsidP="004A2076">
      <w:pPr>
        <w:pStyle w:val="NormalWeb"/>
        <w:spacing w:before="0" w:beforeAutospacing="0" w:after="0" w:afterAutospacing="0"/>
        <w:ind w:left="480" w:hanging="480"/>
        <w:rPr>
          <w:rFonts w:ascii="Times" w:hAnsi="Times" w:cs="Arial"/>
          <w:shd w:val="clear" w:color="auto" w:fill="FFFFFF"/>
        </w:rPr>
      </w:pPr>
      <w:r w:rsidRPr="000E50F1">
        <w:rPr>
          <w:rFonts w:ascii="Times" w:hAnsi="Times"/>
        </w:rPr>
        <w:t xml:space="preserve">Durbin, A., R. Moineddin, E. Lin, L.S. Steele &amp; R.H. Glazier. (2015). Mental Health Service Use by Recent Immigrants from Different World Regions and by Non-Immigrants in Ontario, Canada: A Cross-Sectional Study. </w:t>
      </w:r>
      <w:r w:rsidRPr="000E50F1">
        <w:rPr>
          <w:rFonts w:ascii="Times" w:hAnsi="Times"/>
          <w:i/>
          <w:iCs/>
        </w:rPr>
        <w:t xml:space="preserve">BMC Health Services Research </w:t>
      </w:r>
      <w:r w:rsidRPr="000E50F1">
        <w:rPr>
          <w:rFonts w:ascii="Times" w:hAnsi="Times"/>
        </w:rPr>
        <w:t xml:space="preserve">15(1): 336. </w:t>
      </w:r>
    </w:p>
    <w:p w14:paraId="16D7ECA0" w14:textId="77777777" w:rsidR="00812859" w:rsidRPr="000E50F1" w:rsidRDefault="00812859" w:rsidP="00812859">
      <w:pPr>
        <w:pStyle w:val="NormalWeb"/>
        <w:spacing w:before="0" w:beforeAutospacing="0" w:after="0" w:afterAutospacing="0"/>
        <w:rPr>
          <w:rFonts w:ascii="Times" w:hAnsi="Times" w:cs="Arial"/>
        </w:rPr>
      </w:pPr>
    </w:p>
    <w:p w14:paraId="749D67F3" w14:textId="7B071E88" w:rsidR="00812859" w:rsidRPr="000E50F1" w:rsidRDefault="00812859" w:rsidP="00812859">
      <w:pPr>
        <w:ind w:left="567" w:hanging="567"/>
        <w:rPr>
          <w:rFonts w:ascii="Times" w:hAnsi="Times" w:cs="Arial"/>
          <w:shd w:val="clear" w:color="auto" w:fill="FFFFFF"/>
        </w:rPr>
      </w:pPr>
      <w:r w:rsidRPr="000E50F1">
        <w:rPr>
          <w:rFonts w:ascii="Times" w:hAnsi="Times" w:cs="Arial"/>
          <w:shd w:val="clear" w:color="auto" w:fill="FFFFFF"/>
        </w:rPr>
        <w:t xml:space="preserve">Edge, S., Newbold, K. B., </w:t>
      </w:r>
      <w:r w:rsidR="00D036F8" w:rsidRPr="000E50F1">
        <w:rPr>
          <w:rFonts w:ascii="Times" w:hAnsi="Times" w:cs="Arial"/>
          <w:shd w:val="clear" w:color="auto" w:fill="FFFFFF"/>
        </w:rPr>
        <w:t>&amp;</w:t>
      </w:r>
      <w:r w:rsidRPr="000E50F1">
        <w:rPr>
          <w:rFonts w:ascii="Times" w:hAnsi="Times" w:cs="Arial"/>
          <w:shd w:val="clear" w:color="auto" w:fill="FFFFFF"/>
        </w:rPr>
        <w:t xml:space="preserve"> McKeary, M. (2014). Exploring socio-cultural factors that mediate, facilitate, &amp; constrain the health and empowerment of refugee youth.</w:t>
      </w:r>
      <w:r w:rsidRPr="000E50F1">
        <w:rPr>
          <w:rStyle w:val="apple-converted-space"/>
          <w:rFonts w:ascii="Times" w:hAnsi="Times" w:cs="Arial"/>
          <w:shd w:val="clear" w:color="auto" w:fill="FFFFFF"/>
        </w:rPr>
        <w:t> </w:t>
      </w:r>
      <w:r w:rsidRPr="000E50F1">
        <w:rPr>
          <w:rFonts w:ascii="Times" w:hAnsi="Times" w:cs="Arial"/>
          <w:i/>
          <w:iCs/>
        </w:rPr>
        <w:t>Social Science and Medicine</w:t>
      </w:r>
      <w:r w:rsidRPr="000E50F1">
        <w:rPr>
          <w:rFonts w:ascii="Times" w:hAnsi="Times" w:cs="Arial"/>
          <w:shd w:val="clear" w:color="auto" w:fill="FFFFFF"/>
        </w:rPr>
        <w:t>,</w:t>
      </w:r>
      <w:r w:rsidRPr="000E50F1">
        <w:rPr>
          <w:rStyle w:val="apple-converted-space"/>
          <w:rFonts w:ascii="Times" w:hAnsi="Times" w:cs="Arial"/>
          <w:shd w:val="clear" w:color="auto" w:fill="FFFFFF"/>
        </w:rPr>
        <w:t> </w:t>
      </w:r>
      <w:r w:rsidRPr="000E50F1">
        <w:rPr>
          <w:rFonts w:ascii="Times" w:hAnsi="Times" w:cs="Arial"/>
          <w:i/>
          <w:iCs/>
        </w:rPr>
        <w:t>117</w:t>
      </w:r>
      <w:r w:rsidRPr="000E50F1">
        <w:rPr>
          <w:rFonts w:ascii="Times" w:hAnsi="Times" w:cs="Arial"/>
          <w:shd w:val="clear" w:color="auto" w:fill="FFFFFF"/>
        </w:rPr>
        <w:t>, 34-41.</w:t>
      </w:r>
    </w:p>
    <w:p w14:paraId="55A9CD76" w14:textId="77777777" w:rsidR="00812859" w:rsidRPr="000E50F1" w:rsidRDefault="00812859" w:rsidP="00812859">
      <w:pPr>
        <w:pStyle w:val="NormalWeb"/>
        <w:spacing w:before="0" w:beforeAutospacing="0" w:after="0" w:afterAutospacing="0"/>
        <w:ind w:left="567" w:hanging="567"/>
        <w:rPr>
          <w:rFonts w:ascii="Times" w:hAnsi="Times" w:cs="Arial"/>
        </w:rPr>
      </w:pPr>
    </w:p>
    <w:p w14:paraId="6E3C0F31" w14:textId="77777777" w:rsidR="00812859" w:rsidRPr="000E50F1" w:rsidRDefault="00812859" w:rsidP="00812859">
      <w:pPr>
        <w:pStyle w:val="NormalWeb"/>
        <w:spacing w:before="0" w:beforeAutospacing="0" w:after="0" w:afterAutospacing="0"/>
        <w:ind w:left="567" w:hanging="567"/>
        <w:rPr>
          <w:rFonts w:ascii="Times" w:hAnsi="Times" w:cs="Arial"/>
        </w:rPr>
      </w:pPr>
      <w:r w:rsidRPr="000E50F1">
        <w:rPr>
          <w:rFonts w:ascii="Times" w:hAnsi="Times" w:cs="Arial"/>
        </w:rPr>
        <w:t>Ellis, B. H., Miller, A. B., Baldwin, H., &amp; Abdi, S. (2011). New directions in refugee youth mental health services: Overcoming barriers to engagement.</w:t>
      </w:r>
      <w:r w:rsidRPr="000E50F1">
        <w:rPr>
          <w:rFonts w:ascii="Times" w:hAnsi="Times"/>
        </w:rPr>
        <w:t> </w:t>
      </w:r>
      <w:r w:rsidRPr="000E50F1">
        <w:rPr>
          <w:rFonts w:ascii="Times" w:hAnsi="Times" w:cs="Arial"/>
          <w:i/>
          <w:iCs/>
        </w:rPr>
        <w:t>Journal of Child &amp; Adolescent Trauma,</w:t>
      </w:r>
      <w:r w:rsidRPr="000E50F1">
        <w:rPr>
          <w:rFonts w:ascii="Times" w:hAnsi="Times"/>
          <w:i/>
          <w:iCs/>
        </w:rPr>
        <w:t> </w:t>
      </w:r>
      <w:r w:rsidRPr="000E50F1">
        <w:rPr>
          <w:rFonts w:ascii="Times" w:hAnsi="Times" w:cs="Arial"/>
          <w:i/>
          <w:iCs/>
        </w:rPr>
        <w:t>4</w:t>
      </w:r>
      <w:r w:rsidRPr="000E50F1">
        <w:rPr>
          <w:rFonts w:ascii="Times" w:hAnsi="Times" w:cs="Arial"/>
        </w:rPr>
        <w:t>(1), 69-85.</w:t>
      </w:r>
    </w:p>
    <w:p w14:paraId="111FB726" w14:textId="77777777" w:rsidR="00812859" w:rsidRPr="000E50F1" w:rsidRDefault="00812859" w:rsidP="00812859">
      <w:pPr>
        <w:pStyle w:val="NormalWeb"/>
        <w:spacing w:before="0" w:beforeAutospacing="0" w:after="0" w:afterAutospacing="0"/>
        <w:ind w:left="567" w:hanging="567"/>
        <w:rPr>
          <w:rFonts w:ascii="Times" w:hAnsi="Times" w:cs="Arial"/>
        </w:rPr>
      </w:pPr>
    </w:p>
    <w:p w14:paraId="4AEE8E1F" w14:textId="77777777" w:rsidR="00C61A27" w:rsidRPr="000E50F1" w:rsidRDefault="00812859" w:rsidP="00C61A27">
      <w:pPr>
        <w:pStyle w:val="NormalWeb"/>
        <w:spacing w:before="0" w:beforeAutospacing="0" w:after="0" w:afterAutospacing="0"/>
        <w:ind w:left="567" w:hanging="567"/>
        <w:rPr>
          <w:rFonts w:ascii="Times" w:hAnsi="Times" w:cs="Arial"/>
        </w:rPr>
      </w:pPr>
      <w:r w:rsidRPr="000E50F1">
        <w:rPr>
          <w:rFonts w:ascii="Times" w:hAnsi="Times" w:cs="Arial"/>
        </w:rPr>
        <w:t>Ehntholt, K. A., Smith, P. A., &amp; Yule, W. (2005). School-based cognitive-behavioural therapy group intervention for refugee children who have experienced war-related trauma.</w:t>
      </w:r>
      <w:r w:rsidRPr="000E50F1">
        <w:rPr>
          <w:rFonts w:ascii="Times" w:hAnsi="Times"/>
        </w:rPr>
        <w:t> </w:t>
      </w:r>
      <w:r w:rsidRPr="000E50F1">
        <w:rPr>
          <w:rFonts w:ascii="Times" w:hAnsi="Times" w:cs="Arial"/>
          <w:i/>
          <w:iCs/>
        </w:rPr>
        <w:t>Clinical Child Psychology and Psychiatry,</w:t>
      </w:r>
      <w:r w:rsidRPr="000E50F1">
        <w:rPr>
          <w:rFonts w:ascii="Times" w:hAnsi="Times"/>
          <w:i/>
          <w:iCs/>
        </w:rPr>
        <w:t> </w:t>
      </w:r>
      <w:r w:rsidRPr="000E50F1">
        <w:rPr>
          <w:rFonts w:ascii="Times" w:hAnsi="Times" w:cs="Arial"/>
          <w:i/>
          <w:iCs/>
        </w:rPr>
        <w:t>10(</w:t>
      </w:r>
      <w:r w:rsidRPr="000E50F1">
        <w:rPr>
          <w:rFonts w:ascii="Times" w:hAnsi="Times" w:cs="Arial"/>
        </w:rPr>
        <w:t>2), 235-250.</w:t>
      </w:r>
    </w:p>
    <w:p w14:paraId="70DF074D" w14:textId="77777777" w:rsidR="00C61A27" w:rsidRPr="000E50F1" w:rsidRDefault="00C61A27" w:rsidP="00C61A27">
      <w:pPr>
        <w:pStyle w:val="NormalWeb"/>
        <w:spacing w:before="0" w:beforeAutospacing="0" w:after="0" w:afterAutospacing="0"/>
        <w:ind w:left="567" w:hanging="567"/>
        <w:rPr>
          <w:rFonts w:ascii="Times" w:hAnsi="Times" w:cs="Arial"/>
        </w:rPr>
      </w:pPr>
    </w:p>
    <w:p w14:paraId="2686F1E6" w14:textId="3CCF1ED8" w:rsidR="00C61A27" w:rsidRPr="000E50F1" w:rsidRDefault="00C61A27" w:rsidP="00C61A27">
      <w:pPr>
        <w:pStyle w:val="NormalWeb"/>
        <w:spacing w:before="0" w:beforeAutospacing="0" w:after="0" w:afterAutospacing="0"/>
        <w:ind w:left="567" w:hanging="567"/>
        <w:rPr>
          <w:rFonts w:ascii="Times" w:hAnsi="Times" w:cs="Arial"/>
        </w:rPr>
      </w:pPr>
      <w:r w:rsidRPr="000E50F1">
        <w:rPr>
          <w:highlight w:val="white"/>
        </w:rPr>
        <w:t>Farmer, T., Robinson, K., Elliott, S. J., &amp; Eyles, J. (2006). Developing and implementing a triangulation protocol for qualitative health research. </w:t>
      </w:r>
      <w:r w:rsidRPr="000E50F1">
        <w:rPr>
          <w:i/>
          <w:highlight w:val="white"/>
        </w:rPr>
        <w:t>Qualitative health research</w:t>
      </w:r>
      <w:r w:rsidRPr="000E50F1">
        <w:rPr>
          <w:highlight w:val="white"/>
        </w:rPr>
        <w:t>, </w:t>
      </w:r>
      <w:r w:rsidRPr="000E50F1">
        <w:rPr>
          <w:i/>
          <w:highlight w:val="white"/>
        </w:rPr>
        <w:t>16</w:t>
      </w:r>
      <w:r w:rsidRPr="000E50F1">
        <w:rPr>
          <w:highlight w:val="white"/>
        </w:rPr>
        <w:t>(3), 377-394.</w:t>
      </w:r>
    </w:p>
    <w:p w14:paraId="148BD061" w14:textId="77777777" w:rsidR="00812859" w:rsidRPr="000E50F1" w:rsidRDefault="00812859" w:rsidP="00C61A27">
      <w:pPr>
        <w:pStyle w:val="NormalWeb"/>
        <w:spacing w:before="0" w:beforeAutospacing="0" w:after="0" w:afterAutospacing="0"/>
        <w:rPr>
          <w:rFonts w:ascii="Times" w:hAnsi="Times" w:cs="Arial"/>
        </w:rPr>
      </w:pPr>
    </w:p>
    <w:p w14:paraId="52C5C8AB"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rPr>
        <w:t>George, U., Thomson, M. S., Chaze, F., &amp; Guruge, S. (2015). Immigrant mental health, a public health issue: Looking back and moving forward.</w:t>
      </w:r>
      <w:r w:rsidRPr="000E50F1">
        <w:rPr>
          <w:rFonts w:ascii="Times" w:hAnsi="Times"/>
        </w:rPr>
        <w:t> </w:t>
      </w:r>
      <w:r w:rsidRPr="000E50F1">
        <w:rPr>
          <w:rFonts w:ascii="Times" w:hAnsi="Times" w:cs="Arial"/>
          <w:i/>
          <w:iCs/>
        </w:rPr>
        <w:t>International Journal of Environmental Research and Public Health,</w:t>
      </w:r>
      <w:r w:rsidRPr="000E50F1">
        <w:rPr>
          <w:rFonts w:ascii="Times" w:hAnsi="Times"/>
          <w:i/>
          <w:iCs/>
        </w:rPr>
        <w:t> </w:t>
      </w:r>
      <w:r w:rsidRPr="000E50F1">
        <w:rPr>
          <w:rFonts w:ascii="Times" w:hAnsi="Times" w:cs="Arial"/>
          <w:i/>
          <w:iCs/>
        </w:rPr>
        <w:t>12</w:t>
      </w:r>
      <w:r w:rsidRPr="000E50F1">
        <w:rPr>
          <w:rFonts w:ascii="Times" w:hAnsi="Times" w:cs="Arial"/>
        </w:rPr>
        <w:t>(10), 13624-13648.</w:t>
      </w:r>
    </w:p>
    <w:p w14:paraId="08B02124" w14:textId="77777777" w:rsidR="00812859" w:rsidRPr="000E50F1" w:rsidRDefault="00812859" w:rsidP="00812859">
      <w:pPr>
        <w:rPr>
          <w:rFonts w:ascii="Times" w:hAnsi="Times" w:cs="Arial"/>
        </w:rPr>
      </w:pPr>
    </w:p>
    <w:p w14:paraId="67F40D76" w14:textId="25308B63"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 xml:space="preserve">Guruge, S., </w:t>
      </w:r>
      <w:r w:rsidR="00D036F8" w:rsidRPr="000E50F1">
        <w:rPr>
          <w:rFonts w:ascii="Times" w:hAnsi="Times" w:cs="Arial"/>
          <w:shd w:val="clear" w:color="auto" w:fill="FFFFFF"/>
        </w:rPr>
        <w:t>&amp;</w:t>
      </w:r>
      <w:r w:rsidRPr="000E50F1">
        <w:rPr>
          <w:rFonts w:ascii="Times" w:hAnsi="Times" w:cs="Arial"/>
          <w:shd w:val="clear" w:color="auto" w:fill="FFFFFF"/>
        </w:rPr>
        <w:t xml:space="preserve"> Butt, H. (2015). A scoping review of mental health issues and concerns among immigrant and refugee youth in Canada: Looking back, moving forward.</w:t>
      </w:r>
      <w:r w:rsidRPr="000E50F1">
        <w:rPr>
          <w:rFonts w:ascii="Times" w:hAnsi="Times"/>
        </w:rPr>
        <w:t> </w:t>
      </w:r>
      <w:r w:rsidRPr="000E50F1">
        <w:rPr>
          <w:rFonts w:ascii="Times" w:hAnsi="Times" w:cs="Arial"/>
          <w:i/>
          <w:iCs/>
          <w:shd w:val="clear" w:color="auto" w:fill="FFFFFF"/>
        </w:rPr>
        <w:t>Canadian Journal of Public Health,</w:t>
      </w:r>
      <w:r w:rsidRPr="000E50F1">
        <w:rPr>
          <w:rFonts w:ascii="Times" w:hAnsi="Times"/>
          <w:i/>
          <w:iCs/>
        </w:rPr>
        <w:t> </w:t>
      </w:r>
      <w:r w:rsidRPr="000E50F1">
        <w:rPr>
          <w:rFonts w:ascii="Times" w:hAnsi="Times" w:cs="Arial"/>
          <w:i/>
          <w:iCs/>
          <w:shd w:val="clear" w:color="auto" w:fill="FFFFFF"/>
        </w:rPr>
        <w:t>106</w:t>
      </w:r>
      <w:r w:rsidRPr="000E50F1">
        <w:rPr>
          <w:rFonts w:ascii="Times" w:hAnsi="Times" w:cs="Arial"/>
          <w:shd w:val="clear" w:color="auto" w:fill="FFFFFF"/>
        </w:rPr>
        <w:t>(2), E72-E78.</w:t>
      </w:r>
    </w:p>
    <w:p w14:paraId="18B5483A"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p>
    <w:p w14:paraId="7DA0A32C" w14:textId="5D467AC3" w:rsidR="00812859" w:rsidRPr="000E50F1" w:rsidRDefault="00812859" w:rsidP="00812859">
      <w:pPr>
        <w:ind w:left="567" w:hanging="567"/>
        <w:rPr>
          <w:rFonts w:ascii="Times" w:hAnsi="Times" w:cs="Arial"/>
          <w:shd w:val="clear" w:color="auto" w:fill="FFFFFF"/>
        </w:rPr>
      </w:pPr>
      <w:r w:rsidRPr="000E50F1">
        <w:rPr>
          <w:rFonts w:ascii="Times" w:hAnsi="Times" w:cs="Arial"/>
          <w:shd w:val="clear" w:color="auto" w:fill="FFFFFF"/>
        </w:rPr>
        <w:t xml:space="preserve">Han, M., </w:t>
      </w:r>
      <w:r w:rsidR="00D036F8" w:rsidRPr="000E50F1">
        <w:rPr>
          <w:rFonts w:ascii="Times" w:hAnsi="Times" w:cs="Arial"/>
          <w:shd w:val="clear" w:color="auto" w:fill="FFFFFF"/>
        </w:rPr>
        <w:t>&amp;</w:t>
      </w:r>
      <w:r w:rsidRPr="000E50F1">
        <w:rPr>
          <w:rFonts w:ascii="Times" w:hAnsi="Times" w:cs="Arial"/>
          <w:shd w:val="clear" w:color="auto" w:fill="FFFFFF"/>
        </w:rPr>
        <w:t xml:space="preserve"> Pong, H. (2015). Mental health help-seeking behaviors among Asian American community college students: The effect of stigma, cultural barriers, and acculturation.</w:t>
      </w:r>
      <w:r w:rsidRPr="000E50F1">
        <w:rPr>
          <w:rStyle w:val="apple-converted-space"/>
          <w:rFonts w:ascii="Times" w:hAnsi="Times" w:cs="Arial"/>
          <w:shd w:val="clear" w:color="auto" w:fill="FFFFFF"/>
        </w:rPr>
        <w:t> </w:t>
      </w:r>
      <w:r w:rsidRPr="000E50F1">
        <w:rPr>
          <w:rFonts w:ascii="Times" w:hAnsi="Times" w:cs="Arial"/>
          <w:i/>
          <w:iCs/>
        </w:rPr>
        <w:t>Journal of College Student Development</w:t>
      </w:r>
      <w:r w:rsidRPr="000E50F1">
        <w:rPr>
          <w:rFonts w:ascii="Times" w:hAnsi="Times" w:cs="Arial"/>
          <w:shd w:val="clear" w:color="auto" w:fill="FFFFFF"/>
        </w:rPr>
        <w:t>,</w:t>
      </w:r>
      <w:r w:rsidRPr="000E50F1">
        <w:rPr>
          <w:rStyle w:val="apple-converted-space"/>
          <w:rFonts w:ascii="Times" w:hAnsi="Times" w:cs="Arial"/>
          <w:shd w:val="clear" w:color="auto" w:fill="FFFFFF"/>
        </w:rPr>
        <w:t> </w:t>
      </w:r>
      <w:r w:rsidRPr="000E50F1">
        <w:rPr>
          <w:rFonts w:ascii="Times" w:hAnsi="Times" w:cs="Arial"/>
          <w:i/>
          <w:iCs/>
        </w:rPr>
        <w:t>56</w:t>
      </w:r>
      <w:r w:rsidRPr="000E50F1">
        <w:rPr>
          <w:rFonts w:ascii="Times" w:hAnsi="Times" w:cs="Arial"/>
          <w:shd w:val="clear" w:color="auto" w:fill="FFFFFF"/>
        </w:rPr>
        <w:t>(1), 1-14.</w:t>
      </w:r>
    </w:p>
    <w:p w14:paraId="73E071A3" w14:textId="77777777" w:rsidR="004A2076" w:rsidRPr="000E50F1" w:rsidRDefault="004A2076" w:rsidP="00812859">
      <w:pPr>
        <w:ind w:left="567" w:hanging="567"/>
        <w:rPr>
          <w:rFonts w:ascii="Times" w:hAnsi="Times" w:cs="Arial"/>
        </w:rPr>
      </w:pPr>
    </w:p>
    <w:p w14:paraId="10D6C42E" w14:textId="77777777" w:rsidR="004A2076" w:rsidRPr="000E50F1" w:rsidRDefault="004A2076" w:rsidP="004A2076">
      <w:pPr>
        <w:ind w:left="567" w:hanging="567"/>
        <w:rPr>
          <w:rFonts w:ascii="Times" w:hAnsi="Times"/>
        </w:rPr>
      </w:pPr>
      <w:r w:rsidRPr="000E50F1">
        <w:rPr>
          <w:rFonts w:ascii="Times" w:hAnsi="Times" w:cs="Arial"/>
          <w:shd w:val="clear" w:color="auto" w:fill="FFFFFF"/>
        </w:rPr>
        <w:t>Hansson, E., Tuck, A., Lurie, S., &amp; McKenzie, K. (2010). Improving mental health services for immigrant, refugee, ethno-cultural and racialized groups: Issues and options for service improvement.</w:t>
      </w:r>
      <w:r w:rsidRPr="000E50F1">
        <w:rPr>
          <w:rStyle w:val="apple-converted-space"/>
          <w:rFonts w:ascii="Times" w:hAnsi="Times" w:cs="Arial"/>
          <w:shd w:val="clear" w:color="auto" w:fill="FFFFFF"/>
        </w:rPr>
        <w:t> </w:t>
      </w:r>
      <w:r w:rsidRPr="000E50F1">
        <w:rPr>
          <w:rFonts w:ascii="Times" w:hAnsi="Times" w:cs="Arial"/>
          <w:i/>
          <w:iCs/>
        </w:rPr>
        <w:t>Mental Health Commission of Canada</w:t>
      </w:r>
      <w:r w:rsidRPr="000E50F1">
        <w:rPr>
          <w:rFonts w:ascii="Times" w:hAnsi="Times" w:cs="Arial"/>
          <w:shd w:val="clear" w:color="auto" w:fill="FFFFFF"/>
        </w:rPr>
        <w:t>, 1-54.</w:t>
      </w:r>
    </w:p>
    <w:p w14:paraId="5DC85717" w14:textId="77777777" w:rsidR="004A2076" w:rsidRPr="000E50F1" w:rsidRDefault="004A2076" w:rsidP="004A2076">
      <w:pPr>
        <w:ind w:left="567" w:hanging="567"/>
        <w:rPr>
          <w:rFonts w:ascii="Times" w:hAnsi="Times"/>
        </w:rPr>
      </w:pPr>
    </w:p>
    <w:p w14:paraId="21545392" w14:textId="2FD886C1" w:rsidR="004A2076" w:rsidRPr="000E50F1" w:rsidRDefault="004A2076" w:rsidP="004A2076">
      <w:pPr>
        <w:ind w:left="567" w:hanging="567"/>
        <w:rPr>
          <w:rFonts w:ascii="Times" w:hAnsi="Times"/>
        </w:rPr>
      </w:pPr>
      <w:r w:rsidRPr="000E50F1">
        <w:rPr>
          <w:rFonts w:ascii="Times" w:hAnsi="Times"/>
        </w:rPr>
        <w:t xml:space="preserve">Hansson, E. K., A. Tuck, S. Lurie &amp; K. McKenzie </w:t>
      </w:r>
      <w:r w:rsidR="001F440B" w:rsidRPr="000E50F1">
        <w:rPr>
          <w:rFonts w:ascii="Times" w:hAnsi="Times"/>
        </w:rPr>
        <w:t>(</w:t>
      </w:r>
      <w:r w:rsidRPr="000E50F1">
        <w:rPr>
          <w:rFonts w:ascii="Times" w:hAnsi="Times"/>
        </w:rPr>
        <w:t>2012</w:t>
      </w:r>
      <w:r w:rsidR="001F440B" w:rsidRPr="000E50F1">
        <w:rPr>
          <w:rFonts w:ascii="Times" w:hAnsi="Times"/>
        </w:rPr>
        <w:t>)</w:t>
      </w:r>
      <w:r w:rsidRPr="000E50F1">
        <w:rPr>
          <w:rFonts w:ascii="Times" w:hAnsi="Times"/>
        </w:rPr>
        <w:t xml:space="preserve">. Rates of Mental Illness and Suicidality in Immigrant, Refugee, Ethnocultural, and Racialized Groups in Canada: A Review of the Literature. </w:t>
      </w:r>
      <w:r w:rsidRPr="000E50F1">
        <w:rPr>
          <w:rFonts w:ascii="Times" w:hAnsi="Times"/>
          <w:i/>
          <w:iCs/>
        </w:rPr>
        <w:t xml:space="preserve">Canadian Journal of Psychiatry </w:t>
      </w:r>
      <w:r w:rsidRPr="000E50F1">
        <w:rPr>
          <w:rFonts w:ascii="Times" w:hAnsi="Times"/>
        </w:rPr>
        <w:t xml:space="preserve">57(2): 111–21. </w:t>
      </w:r>
    </w:p>
    <w:p w14:paraId="6AD27149" w14:textId="77777777" w:rsidR="004A2076" w:rsidRPr="000E50F1" w:rsidRDefault="004A2076" w:rsidP="00812859">
      <w:pPr>
        <w:pStyle w:val="NormalWeb"/>
        <w:spacing w:before="0" w:beforeAutospacing="0" w:after="0" w:afterAutospacing="0"/>
        <w:rPr>
          <w:rFonts w:ascii="Times" w:hAnsi="Times" w:cs="Arial"/>
          <w:shd w:val="clear" w:color="auto" w:fill="FFFFFF"/>
        </w:rPr>
      </w:pPr>
    </w:p>
    <w:p w14:paraId="1231726F" w14:textId="77777777" w:rsidR="00812859" w:rsidRPr="000E50F1" w:rsidRDefault="00812859" w:rsidP="00812859">
      <w:pPr>
        <w:autoSpaceDE w:val="0"/>
        <w:autoSpaceDN w:val="0"/>
        <w:adjustRightInd w:val="0"/>
        <w:ind w:left="567" w:hanging="567"/>
        <w:rPr>
          <w:rFonts w:ascii="Times" w:hAnsi="Times"/>
        </w:rPr>
      </w:pPr>
      <w:r w:rsidRPr="000E50F1">
        <w:rPr>
          <w:rFonts w:ascii="Times" w:hAnsi="Times"/>
        </w:rPr>
        <w:t xml:space="preserve">Heifetz, R. A., &amp; Laurie D. L. (1997). The work of leadership. </w:t>
      </w:r>
      <w:r w:rsidRPr="000E50F1">
        <w:rPr>
          <w:rFonts w:ascii="Times" w:hAnsi="Times"/>
          <w:i/>
        </w:rPr>
        <w:t>Harvard Business Review</w:t>
      </w:r>
      <w:r w:rsidRPr="000E50F1">
        <w:rPr>
          <w:rFonts w:ascii="Times" w:hAnsi="Times"/>
        </w:rPr>
        <w:t>, 75(1), 124–134.</w:t>
      </w:r>
    </w:p>
    <w:p w14:paraId="0DFFD05D" w14:textId="77777777" w:rsidR="00812859" w:rsidRPr="000E50F1" w:rsidRDefault="00812859" w:rsidP="00812859">
      <w:pPr>
        <w:pStyle w:val="NormalWeb"/>
        <w:spacing w:before="0" w:beforeAutospacing="0" w:after="0" w:afterAutospacing="0"/>
        <w:rPr>
          <w:rFonts w:ascii="Times" w:hAnsi="Times" w:cs="Arial"/>
        </w:rPr>
      </w:pPr>
    </w:p>
    <w:p w14:paraId="29E93091" w14:textId="77777777" w:rsidR="00812859" w:rsidRPr="000E50F1" w:rsidRDefault="00812859" w:rsidP="00812859">
      <w:pPr>
        <w:pStyle w:val="NormalWeb"/>
        <w:spacing w:before="0" w:beforeAutospacing="0" w:after="0" w:afterAutospacing="0"/>
        <w:ind w:left="567" w:hanging="567"/>
        <w:rPr>
          <w:rFonts w:ascii="Times" w:hAnsi="Times" w:cs="Arial"/>
        </w:rPr>
      </w:pPr>
      <w:r w:rsidRPr="000E50F1">
        <w:rPr>
          <w:rFonts w:ascii="Times" w:hAnsi="Times" w:cs="Arial"/>
        </w:rPr>
        <w:t>Hilario, C. T., Oliffe, J. L., Wong, J. P. H., Browne, A. J., &amp; Johnson, J. L. (2015). Migration and young people’s mental health in Canada: A scoping review.</w:t>
      </w:r>
      <w:r w:rsidRPr="000E50F1">
        <w:rPr>
          <w:rFonts w:ascii="Times" w:hAnsi="Times"/>
        </w:rPr>
        <w:t> </w:t>
      </w:r>
      <w:r w:rsidRPr="000E50F1">
        <w:rPr>
          <w:rFonts w:ascii="Times" w:hAnsi="Times" w:cs="Arial"/>
          <w:i/>
          <w:iCs/>
        </w:rPr>
        <w:t>Journal of Mental Health,</w:t>
      </w:r>
      <w:r w:rsidRPr="000E50F1">
        <w:rPr>
          <w:rFonts w:ascii="Times" w:hAnsi="Times"/>
          <w:i/>
          <w:iCs/>
        </w:rPr>
        <w:t> </w:t>
      </w:r>
      <w:r w:rsidRPr="000E50F1">
        <w:rPr>
          <w:rFonts w:ascii="Times" w:hAnsi="Times" w:cs="Arial"/>
          <w:i/>
          <w:iCs/>
        </w:rPr>
        <w:t>24</w:t>
      </w:r>
      <w:r w:rsidRPr="000E50F1">
        <w:rPr>
          <w:rFonts w:ascii="Times" w:hAnsi="Times" w:cs="Arial"/>
        </w:rPr>
        <w:t>(6), 414-422.</w:t>
      </w:r>
    </w:p>
    <w:p w14:paraId="71F8E7AA" w14:textId="77777777" w:rsidR="00812859" w:rsidRPr="000E50F1" w:rsidRDefault="00812859" w:rsidP="00812859">
      <w:pPr>
        <w:pStyle w:val="NormalWeb"/>
        <w:spacing w:before="0" w:beforeAutospacing="0" w:after="0" w:afterAutospacing="0"/>
        <w:ind w:left="567" w:hanging="567"/>
        <w:rPr>
          <w:rFonts w:ascii="Times" w:hAnsi="Times" w:cs="Arial"/>
        </w:rPr>
      </w:pPr>
    </w:p>
    <w:p w14:paraId="74DC5F6A" w14:textId="77777777" w:rsidR="00812859" w:rsidRPr="000E50F1" w:rsidRDefault="00812859" w:rsidP="00812859">
      <w:pPr>
        <w:pStyle w:val="NormalWeb"/>
        <w:spacing w:before="0" w:beforeAutospacing="0" w:after="0" w:afterAutospacing="0"/>
        <w:ind w:left="567" w:hanging="567"/>
        <w:rPr>
          <w:rFonts w:ascii="Times" w:hAnsi="Times" w:cs="Arial"/>
        </w:rPr>
      </w:pPr>
      <w:r w:rsidRPr="000E50F1">
        <w:rPr>
          <w:rFonts w:ascii="Times" w:hAnsi="Times" w:cs="Arial"/>
        </w:rPr>
        <w:t>Hynie, M. (2018). The social determinants of refugee mental health in the post-migration context: A critical review.</w:t>
      </w:r>
      <w:r w:rsidRPr="000E50F1">
        <w:rPr>
          <w:rFonts w:ascii="Times" w:hAnsi="Times"/>
        </w:rPr>
        <w:t> </w:t>
      </w:r>
      <w:r w:rsidRPr="000E50F1">
        <w:rPr>
          <w:rFonts w:ascii="Times" w:hAnsi="Times" w:cs="Arial"/>
          <w:i/>
          <w:iCs/>
        </w:rPr>
        <w:t>The Canadian Journal of Psychiatry,</w:t>
      </w:r>
      <w:r w:rsidRPr="000E50F1">
        <w:rPr>
          <w:rFonts w:ascii="Times" w:hAnsi="Times"/>
          <w:i/>
          <w:iCs/>
        </w:rPr>
        <w:t> </w:t>
      </w:r>
      <w:r w:rsidRPr="000E50F1">
        <w:rPr>
          <w:rFonts w:ascii="Times" w:hAnsi="Times" w:cs="Arial"/>
          <w:i/>
          <w:iCs/>
        </w:rPr>
        <w:t>63</w:t>
      </w:r>
      <w:r w:rsidRPr="000E50F1">
        <w:rPr>
          <w:rFonts w:ascii="Times" w:hAnsi="Times" w:cs="Arial"/>
        </w:rPr>
        <w:t>(5), 297-303.</w:t>
      </w:r>
    </w:p>
    <w:p w14:paraId="45454CAF" w14:textId="77777777" w:rsidR="00812859" w:rsidRPr="000E50F1" w:rsidRDefault="00812859" w:rsidP="00812859">
      <w:pPr>
        <w:pStyle w:val="NormalWeb"/>
        <w:spacing w:before="0" w:beforeAutospacing="0" w:after="0" w:afterAutospacing="0"/>
        <w:ind w:left="567" w:hanging="567"/>
        <w:rPr>
          <w:rFonts w:ascii="Times" w:hAnsi="Times" w:cs="Arial"/>
        </w:rPr>
      </w:pPr>
    </w:p>
    <w:p w14:paraId="0E9BB410" w14:textId="4A0DFDA9" w:rsidR="00812859" w:rsidRPr="000E50F1" w:rsidRDefault="00812859" w:rsidP="00812859">
      <w:pPr>
        <w:ind w:left="567" w:hanging="567"/>
        <w:rPr>
          <w:rFonts w:ascii="Times" w:hAnsi="Times" w:cs="Arial"/>
          <w:bCs/>
        </w:rPr>
      </w:pPr>
      <w:r w:rsidRPr="000E50F1">
        <w:rPr>
          <w:rFonts w:ascii="Times" w:hAnsi="Times" w:cs="Arial"/>
          <w:bCs/>
        </w:rPr>
        <w:t xml:space="preserve">Jasinskaja-Lahti, I., Liebkind, K., Jaakkola, M., </w:t>
      </w:r>
      <w:r w:rsidR="00D036F8" w:rsidRPr="000E50F1">
        <w:rPr>
          <w:rFonts w:ascii="Times" w:hAnsi="Times" w:cs="Arial"/>
          <w:bCs/>
        </w:rPr>
        <w:t>&amp;</w:t>
      </w:r>
      <w:r w:rsidRPr="000E50F1">
        <w:rPr>
          <w:rFonts w:ascii="Times" w:hAnsi="Times" w:cs="Arial"/>
          <w:bCs/>
        </w:rPr>
        <w:t xml:space="preserve"> Reuter, A. (2006). Perceived discrimination, social support networks, and psychological well-being among three immigrant groups. Journal of cross-cultural psychology, 37(3), 293-311.</w:t>
      </w:r>
    </w:p>
    <w:p w14:paraId="06577F2A" w14:textId="77777777" w:rsidR="00812859" w:rsidRPr="000E50F1" w:rsidRDefault="00812859" w:rsidP="00812859">
      <w:pPr>
        <w:pStyle w:val="NormalWeb"/>
        <w:spacing w:before="0" w:beforeAutospacing="0" w:after="0" w:afterAutospacing="0"/>
        <w:ind w:left="567" w:hanging="567"/>
        <w:rPr>
          <w:rFonts w:ascii="Times" w:hAnsi="Times" w:cs="Arial"/>
        </w:rPr>
      </w:pPr>
    </w:p>
    <w:p w14:paraId="65B62E52" w14:textId="77777777" w:rsidR="00812859" w:rsidRPr="000E50F1" w:rsidRDefault="00812859" w:rsidP="00812859">
      <w:pPr>
        <w:autoSpaceDE w:val="0"/>
        <w:autoSpaceDN w:val="0"/>
        <w:adjustRightInd w:val="0"/>
        <w:ind w:left="567" w:hanging="567"/>
        <w:rPr>
          <w:rFonts w:ascii="Times" w:hAnsi="Times"/>
        </w:rPr>
      </w:pPr>
      <w:r w:rsidRPr="000E50F1">
        <w:rPr>
          <w:rFonts w:ascii="Times" w:hAnsi="Times"/>
        </w:rPr>
        <w:t>Jezewski, M.A., &amp; Sotnik, P. (2001). Culture brokering: Providing culturally competent rehabilitation services to foreign-born persons. (J. Stone, Ed.). Buffalo, NY: Center for International Rehabilitation Research Information and Exchange. Retrieved from the World Wide Web: http://cirrie.buffalo.edu/monographs/cb.pdf</w:t>
      </w:r>
    </w:p>
    <w:p w14:paraId="191BE53F" w14:textId="77777777" w:rsidR="00812859" w:rsidRPr="000E50F1" w:rsidRDefault="00812859" w:rsidP="00812859">
      <w:pPr>
        <w:pStyle w:val="NormalWeb"/>
        <w:spacing w:before="0" w:beforeAutospacing="0" w:after="0" w:afterAutospacing="0"/>
        <w:ind w:left="567" w:hanging="567"/>
        <w:rPr>
          <w:rFonts w:ascii="Times" w:hAnsi="Times" w:cs="Arial"/>
        </w:rPr>
      </w:pPr>
    </w:p>
    <w:p w14:paraId="5E36531D" w14:textId="611B8E4D" w:rsidR="00812859" w:rsidRPr="000E50F1" w:rsidRDefault="00812859" w:rsidP="00812859">
      <w:pPr>
        <w:ind w:left="567" w:hanging="567"/>
        <w:rPr>
          <w:rFonts w:ascii="Times" w:hAnsi="Times" w:cs="Arial"/>
          <w:shd w:val="clear" w:color="auto" w:fill="FFFFFF"/>
        </w:rPr>
      </w:pPr>
      <w:r w:rsidRPr="000E50F1">
        <w:rPr>
          <w:rFonts w:ascii="Times" w:hAnsi="Times" w:cs="Arial"/>
          <w:shd w:val="clear" w:color="auto" w:fill="FFFFFF"/>
        </w:rPr>
        <w:t xml:space="preserve">Jorden, S., Matheson, K., </w:t>
      </w:r>
      <w:r w:rsidR="00D036F8" w:rsidRPr="000E50F1">
        <w:rPr>
          <w:rFonts w:ascii="Times" w:hAnsi="Times" w:cs="Arial"/>
          <w:shd w:val="clear" w:color="auto" w:fill="FFFFFF"/>
        </w:rPr>
        <w:t>&amp;</w:t>
      </w:r>
      <w:r w:rsidRPr="000E50F1">
        <w:rPr>
          <w:rFonts w:ascii="Times" w:hAnsi="Times" w:cs="Arial"/>
          <w:shd w:val="clear" w:color="auto" w:fill="FFFFFF"/>
        </w:rPr>
        <w:t xml:space="preserve"> Anisman, H. (2009). Supportive and unsupportive social interactions in relation to cultural adaptation and psychological distress among Somali refugees exposed to collective or personal traumas. </w:t>
      </w:r>
      <w:r w:rsidRPr="000E50F1">
        <w:rPr>
          <w:rFonts w:ascii="Times" w:hAnsi="Times" w:cs="Arial"/>
          <w:i/>
          <w:iCs/>
        </w:rPr>
        <w:t>Journal of Cross-Cultural Psychology</w:t>
      </w:r>
      <w:r w:rsidRPr="000E50F1">
        <w:rPr>
          <w:rFonts w:ascii="Times" w:hAnsi="Times" w:cs="Arial"/>
          <w:shd w:val="clear" w:color="auto" w:fill="FFFFFF"/>
        </w:rPr>
        <w:t>, </w:t>
      </w:r>
      <w:r w:rsidRPr="000E50F1">
        <w:rPr>
          <w:rFonts w:ascii="Times" w:hAnsi="Times" w:cs="Arial"/>
          <w:i/>
          <w:iCs/>
        </w:rPr>
        <w:t>40</w:t>
      </w:r>
      <w:r w:rsidRPr="000E50F1">
        <w:rPr>
          <w:rFonts w:ascii="Times" w:hAnsi="Times" w:cs="Arial"/>
          <w:shd w:val="clear" w:color="auto" w:fill="FFFFFF"/>
        </w:rPr>
        <w:t>(5), 853-874.</w:t>
      </w:r>
    </w:p>
    <w:p w14:paraId="651F6656" w14:textId="77777777" w:rsidR="00812859" w:rsidRPr="000E50F1" w:rsidRDefault="00812859" w:rsidP="00812859">
      <w:pPr>
        <w:ind w:left="567" w:hanging="567"/>
        <w:rPr>
          <w:rFonts w:ascii="Times" w:hAnsi="Times" w:cs="Arial"/>
          <w:shd w:val="clear" w:color="auto" w:fill="FFFFFF"/>
        </w:rPr>
      </w:pPr>
    </w:p>
    <w:p w14:paraId="00A5D32D" w14:textId="77777777" w:rsidR="00812859" w:rsidRPr="000E50F1" w:rsidRDefault="00812859" w:rsidP="00812859">
      <w:pPr>
        <w:ind w:left="567" w:hanging="567"/>
        <w:rPr>
          <w:rFonts w:ascii="Times" w:hAnsi="Times" w:cs="Arial"/>
          <w:shd w:val="clear" w:color="auto" w:fill="FFFFFF"/>
        </w:rPr>
      </w:pPr>
      <w:r w:rsidRPr="000E50F1">
        <w:rPr>
          <w:rFonts w:ascii="Times" w:hAnsi="Times" w:cs="Arial"/>
          <w:shd w:val="clear" w:color="auto" w:fill="FFFFFF"/>
        </w:rPr>
        <w:lastRenderedPageBreak/>
        <w:t>Kanagaratnam, P., Pain, C., McKenzie, K., Ratnalingam, N., &amp; Toner, B. (2017). Recommendations for Canadian Mental Health Practitioners Working with War-Exposed Immigrants and Refugees.</w:t>
      </w:r>
      <w:r w:rsidRPr="000E50F1">
        <w:rPr>
          <w:rFonts w:ascii="Times" w:hAnsi="Times"/>
        </w:rPr>
        <w:t> </w:t>
      </w:r>
      <w:r w:rsidRPr="000E50F1">
        <w:rPr>
          <w:rFonts w:ascii="Times" w:hAnsi="Times" w:cs="Arial"/>
          <w:i/>
          <w:iCs/>
          <w:shd w:val="clear" w:color="auto" w:fill="FFFFFF"/>
        </w:rPr>
        <w:t>Canadian Journal of Community Mental Health</w:t>
      </w:r>
      <w:r w:rsidRPr="000E50F1">
        <w:rPr>
          <w:rFonts w:ascii="Times" w:hAnsi="Times" w:cs="Arial"/>
          <w:shd w:val="clear" w:color="auto" w:fill="FFFFFF"/>
        </w:rPr>
        <w:t>,</w:t>
      </w:r>
      <w:r w:rsidRPr="000E50F1">
        <w:rPr>
          <w:rFonts w:ascii="Times" w:hAnsi="Times"/>
        </w:rPr>
        <w:t> </w:t>
      </w:r>
      <w:r w:rsidRPr="000E50F1">
        <w:rPr>
          <w:rFonts w:ascii="Times" w:hAnsi="Times" w:cs="Arial"/>
          <w:shd w:val="clear" w:color="auto" w:fill="FFFFFF"/>
        </w:rPr>
        <w:t>36, 107-119.</w:t>
      </w:r>
    </w:p>
    <w:p w14:paraId="74A32855" w14:textId="77777777" w:rsidR="00812859" w:rsidRPr="000E50F1" w:rsidRDefault="00812859" w:rsidP="00812859">
      <w:pPr>
        <w:pStyle w:val="NormalWeb"/>
        <w:spacing w:before="0" w:beforeAutospacing="0" w:after="0" w:afterAutospacing="0"/>
        <w:rPr>
          <w:rFonts w:ascii="Times" w:hAnsi="Times" w:cs="Arial"/>
        </w:rPr>
      </w:pPr>
    </w:p>
    <w:p w14:paraId="324F2D8E" w14:textId="77777777" w:rsidR="00812859" w:rsidRPr="000E50F1" w:rsidRDefault="00812859" w:rsidP="00812859">
      <w:pPr>
        <w:pStyle w:val="NormalWeb"/>
        <w:spacing w:before="0" w:beforeAutospacing="0" w:after="0" w:afterAutospacing="0"/>
        <w:ind w:left="567" w:hanging="567"/>
        <w:rPr>
          <w:rFonts w:ascii="Times" w:hAnsi="Times" w:cs="Arial"/>
        </w:rPr>
      </w:pPr>
      <w:r w:rsidRPr="000E50F1">
        <w:rPr>
          <w:rFonts w:ascii="Times" w:hAnsi="Times" w:cs="Arial"/>
        </w:rPr>
        <w:t>Kataoka, S.H., Stein, B.D., Jaycox, L.H., Wong, M., Escudero, P., Tu, W., Zaragoza, C. and Fink, A., 2003. A school-based mental health program for traumatized Latino immigrant children.</w:t>
      </w:r>
      <w:r w:rsidRPr="000E50F1">
        <w:rPr>
          <w:rFonts w:ascii="Times" w:hAnsi="Times"/>
        </w:rPr>
        <w:t> </w:t>
      </w:r>
      <w:r w:rsidRPr="000E50F1">
        <w:rPr>
          <w:rFonts w:ascii="Times" w:hAnsi="Times" w:cs="Arial"/>
        </w:rPr>
        <w:t>Journal of the American Academy of Child &amp; Adolescent Psychiatry,</w:t>
      </w:r>
      <w:r w:rsidRPr="000E50F1">
        <w:rPr>
          <w:rFonts w:ascii="Times" w:hAnsi="Times"/>
        </w:rPr>
        <w:t> </w:t>
      </w:r>
      <w:r w:rsidRPr="000E50F1">
        <w:rPr>
          <w:rFonts w:ascii="Times" w:hAnsi="Times" w:cs="Arial"/>
        </w:rPr>
        <w:t>42(3), 311-318.</w:t>
      </w:r>
    </w:p>
    <w:p w14:paraId="22937C86" w14:textId="77777777" w:rsidR="00812859" w:rsidRPr="000E50F1" w:rsidRDefault="00812859" w:rsidP="00812859">
      <w:pPr>
        <w:pStyle w:val="NormalWeb"/>
        <w:spacing w:before="0" w:beforeAutospacing="0" w:after="0" w:afterAutospacing="0"/>
        <w:ind w:left="567" w:hanging="567"/>
        <w:rPr>
          <w:rFonts w:ascii="Times" w:hAnsi="Times" w:cs="Arial"/>
        </w:rPr>
      </w:pPr>
    </w:p>
    <w:p w14:paraId="0F1CF5A7" w14:textId="4C96D4D3" w:rsidR="00812859" w:rsidRPr="000E50F1" w:rsidRDefault="00812859" w:rsidP="00812859">
      <w:pPr>
        <w:pStyle w:val="NormalWeb"/>
        <w:spacing w:before="0" w:beforeAutospacing="0" w:after="0" w:afterAutospacing="0"/>
        <w:ind w:left="567" w:hanging="567"/>
        <w:rPr>
          <w:rStyle w:val="Hyperlink"/>
          <w:rFonts w:ascii="Times" w:hAnsi="Times" w:cs="Arial"/>
          <w:color w:val="auto"/>
          <w:u w:val="none"/>
          <w:shd w:val="clear" w:color="auto" w:fill="FFFFFF"/>
        </w:rPr>
      </w:pPr>
      <w:r w:rsidRPr="000E50F1">
        <w:rPr>
          <w:rFonts w:ascii="Times" w:hAnsi="Times" w:cs="Arial"/>
          <w:bCs/>
        </w:rPr>
        <w:t>Khanlou, N. (2010). Migrant Mental Health in Canada, in “</w:t>
      </w:r>
      <w:r w:rsidRPr="000E50F1">
        <w:rPr>
          <w:rFonts w:ascii="Times" w:hAnsi="Times" w:cs="Arial"/>
          <w:bCs/>
          <w:i/>
          <w:iCs/>
        </w:rPr>
        <w:t>Canadian Issues: Immigrant Mental Health</w:t>
      </w:r>
      <w:r w:rsidRPr="000E50F1">
        <w:rPr>
          <w:rFonts w:ascii="Times" w:hAnsi="Times" w:cs="Arial"/>
          <w:bCs/>
        </w:rPr>
        <w:t xml:space="preserve">, </w:t>
      </w:r>
      <w:r w:rsidRPr="000E50F1">
        <w:rPr>
          <w:rFonts w:ascii="Times" w:hAnsi="Times" w:cs="Arial"/>
          <w:shd w:val="clear" w:color="auto" w:fill="FFFFFF"/>
        </w:rPr>
        <w:t xml:space="preserve">N. Khanlou and B. Jackson, Eds, 9-16. </w:t>
      </w:r>
      <w:hyperlink r:id="rId46" w:history="1">
        <w:r w:rsidRPr="000E50F1">
          <w:rPr>
            <w:rStyle w:val="Hyperlink"/>
            <w:rFonts w:ascii="Times" w:hAnsi="Times" w:cs="Arial"/>
            <w:color w:val="auto"/>
            <w:u w:val="none"/>
            <w:shd w:val="clear" w:color="auto" w:fill="FFFFFF"/>
          </w:rPr>
          <w:t>http://www.metropolis.net/pdfs/immigrant_mental_health_10aug10.pdf</w:t>
        </w:r>
      </w:hyperlink>
    </w:p>
    <w:p w14:paraId="0126FDC5" w14:textId="77777777" w:rsidR="008D35D8" w:rsidRPr="000E50F1" w:rsidRDefault="008D35D8" w:rsidP="00D56476">
      <w:pPr>
        <w:ind w:left="567" w:hanging="567"/>
        <w:rPr>
          <w:rFonts w:ascii="Times" w:eastAsiaTheme="minorHAnsi" w:hAnsi="Times" w:cs="Arial"/>
          <w:bCs/>
          <w:lang w:val="en-US"/>
        </w:rPr>
      </w:pPr>
    </w:p>
    <w:p w14:paraId="629843CE" w14:textId="47938375" w:rsidR="00D56476" w:rsidRPr="000E50F1" w:rsidRDefault="00D56476" w:rsidP="00D56476">
      <w:pPr>
        <w:ind w:left="567" w:hanging="567"/>
        <w:rPr>
          <w:rFonts w:ascii="Times" w:eastAsiaTheme="minorHAnsi" w:hAnsi="Times" w:cs="Arial"/>
          <w:bCs/>
          <w:lang w:val="en-US"/>
        </w:rPr>
      </w:pPr>
      <w:r w:rsidRPr="000E50F1">
        <w:rPr>
          <w:rFonts w:ascii="Times" w:eastAsiaTheme="minorHAnsi" w:hAnsi="Times" w:cs="Arial"/>
          <w:bCs/>
          <w:lang w:val="en-US"/>
        </w:rPr>
        <w:t>Khanlou, N., Bender, A., Mill, C., Vazquez, L. M., &amp; Rojas, L. (2018). Youth experiences of cultural identity and migration: a systems perspective. In</w:t>
      </w:r>
      <w:r w:rsidRPr="000E50F1">
        <w:rPr>
          <w:rFonts w:ascii="Times" w:eastAsiaTheme="minorHAnsi" w:hAnsi="Times"/>
          <w:bCs/>
          <w:lang w:val="en-US"/>
        </w:rPr>
        <w:t> </w:t>
      </w:r>
      <w:r w:rsidRPr="000E50F1">
        <w:rPr>
          <w:rFonts w:ascii="Times" w:eastAsiaTheme="minorHAnsi" w:hAnsi="Times" w:cs="Arial"/>
          <w:bCs/>
          <w:i/>
          <w:iCs/>
          <w:lang w:val="en-US"/>
        </w:rPr>
        <w:t>Today’s Youth and Mental Health</w:t>
      </w:r>
      <w:r w:rsidRPr="000E50F1">
        <w:rPr>
          <w:rFonts w:ascii="Times" w:eastAsiaTheme="minorHAnsi" w:hAnsi="Times"/>
          <w:bCs/>
          <w:lang w:val="en-US"/>
        </w:rPr>
        <w:t> </w:t>
      </w:r>
      <w:r w:rsidRPr="000E50F1">
        <w:rPr>
          <w:rFonts w:ascii="Times" w:eastAsiaTheme="minorHAnsi" w:hAnsi="Times" w:cs="Arial"/>
          <w:bCs/>
          <w:lang w:val="en-US"/>
        </w:rPr>
        <w:t>(pp. 57-76). Springer, Cham.</w:t>
      </w:r>
    </w:p>
    <w:p w14:paraId="6508BA64" w14:textId="77777777" w:rsidR="00812859" w:rsidRPr="000E50F1" w:rsidRDefault="00812859" w:rsidP="00D56476">
      <w:pPr>
        <w:pStyle w:val="NormalWeb"/>
        <w:spacing w:before="0" w:beforeAutospacing="0" w:after="0" w:afterAutospacing="0"/>
        <w:rPr>
          <w:rFonts w:ascii="Times" w:hAnsi="Times" w:cs="Arial"/>
          <w:shd w:val="clear" w:color="auto" w:fill="FFFFFF"/>
        </w:rPr>
      </w:pPr>
    </w:p>
    <w:p w14:paraId="26B4AB05" w14:textId="505DDBC6" w:rsidR="00812859" w:rsidRPr="000E50F1" w:rsidRDefault="00812859" w:rsidP="0062559D">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Khawaja, N. G., Moisuc, O., &amp; Ramirez, E. (2014). Developing an acculturation and resilience scale for use with culturally and linguistically diverse populations. </w:t>
      </w:r>
      <w:r w:rsidRPr="000E50F1">
        <w:rPr>
          <w:rFonts w:ascii="Times" w:hAnsi="Times" w:cs="Arial"/>
          <w:i/>
          <w:iCs/>
          <w:shd w:val="clear" w:color="auto" w:fill="FFFFFF"/>
        </w:rPr>
        <w:t>Australian Psychologist, 49</w:t>
      </w:r>
      <w:r w:rsidRPr="000E50F1">
        <w:rPr>
          <w:rFonts w:ascii="Times" w:hAnsi="Times" w:cs="Arial"/>
          <w:shd w:val="clear" w:color="auto" w:fill="FFFFFF"/>
        </w:rPr>
        <w:t>(3), 171–180.</w:t>
      </w:r>
    </w:p>
    <w:p w14:paraId="13656C4E" w14:textId="77777777" w:rsidR="00DA7E04" w:rsidRPr="000E50F1" w:rsidRDefault="00DA7E04" w:rsidP="00812859">
      <w:pPr>
        <w:pStyle w:val="NormalWeb"/>
        <w:spacing w:before="0" w:beforeAutospacing="0" w:after="0" w:afterAutospacing="0"/>
        <w:ind w:left="567" w:hanging="567"/>
        <w:rPr>
          <w:rFonts w:ascii="Times" w:hAnsi="Times" w:cs="Arial"/>
          <w:shd w:val="clear" w:color="auto" w:fill="FFFFFF"/>
        </w:rPr>
      </w:pPr>
    </w:p>
    <w:p w14:paraId="7C11A94B" w14:textId="194F5465"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Khawaja, N. G., Ibrahim, O., &amp; Schweitzer, R. D. (2017). Mental wellbeing of students from refugee and migrant backgrounds: The mediating role of resilience.</w:t>
      </w:r>
      <w:r w:rsidRPr="000E50F1">
        <w:rPr>
          <w:rFonts w:ascii="Times" w:hAnsi="Times" w:cs="Arial"/>
        </w:rPr>
        <w:t> </w:t>
      </w:r>
      <w:r w:rsidRPr="000E50F1">
        <w:rPr>
          <w:rFonts w:ascii="Times" w:hAnsi="Times" w:cs="Arial"/>
          <w:shd w:val="clear" w:color="auto" w:fill="FFFFFF"/>
        </w:rPr>
        <w:t>School Mental Health,</w:t>
      </w:r>
      <w:r w:rsidRPr="000E50F1">
        <w:rPr>
          <w:rFonts w:ascii="Times" w:hAnsi="Times" w:cs="Arial"/>
        </w:rPr>
        <w:t> </w:t>
      </w:r>
      <w:r w:rsidRPr="000E50F1">
        <w:rPr>
          <w:rFonts w:ascii="Times" w:hAnsi="Times" w:cs="Arial"/>
          <w:shd w:val="clear" w:color="auto" w:fill="FFFFFF"/>
        </w:rPr>
        <w:t>9(3), 284-293.</w:t>
      </w:r>
    </w:p>
    <w:p w14:paraId="4C989137"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p>
    <w:p w14:paraId="1407C546"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Kieling, C., Baker-Henningham, H., Belfer, M., Conti, G., Ertem, I., Omigbodun, O., ... &amp; Rahman, A. (2011). Child and adolescent mental health worldwide: evidence for action.</w:t>
      </w:r>
      <w:r w:rsidRPr="000E50F1">
        <w:rPr>
          <w:rFonts w:ascii="Times" w:hAnsi="Times"/>
        </w:rPr>
        <w:t> </w:t>
      </w:r>
      <w:r w:rsidRPr="000E50F1">
        <w:rPr>
          <w:rFonts w:ascii="Times" w:hAnsi="Times" w:cs="Arial"/>
          <w:i/>
          <w:iCs/>
          <w:shd w:val="clear" w:color="auto" w:fill="FFFFFF"/>
        </w:rPr>
        <w:t>The Lancet,</w:t>
      </w:r>
      <w:r w:rsidRPr="000E50F1">
        <w:rPr>
          <w:rFonts w:ascii="Times" w:hAnsi="Times"/>
          <w:i/>
          <w:iCs/>
        </w:rPr>
        <w:t> </w:t>
      </w:r>
      <w:r w:rsidRPr="000E50F1">
        <w:rPr>
          <w:rFonts w:ascii="Times" w:hAnsi="Times" w:cs="Arial"/>
          <w:i/>
          <w:iCs/>
          <w:shd w:val="clear" w:color="auto" w:fill="FFFFFF"/>
        </w:rPr>
        <w:t>378</w:t>
      </w:r>
      <w:r w:rsidRPr="000E50F1">
        <w:rPr>
          <w:rFonts w:ascii="Times" w:hAnsi="Times" w:cs="Arial"/>
          <w:shd w:val="clear" w:color="auto" w:fill="FFFFFF"/>
        </w:rPr>
        <w:t>(9801), 1515-1525.</w:t>
      </w:r>
    </w:p>
    <w:p w14:paraId="0927BD30"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p>
    <w:p w14:paraId="4B7DA7C4" w14:textId="77777777" w:rsidR="008D35D8" w:rsidRPr="000E50F1" w:rsidRDefault="00812859" w:rsidP="008D35D8">
      <w:pPr>
        <w:ind w:left="567" w:hanging="567"/>
        <w:rPr>
          <w:rFonts w:ascii="Times" w:hAnsi="Times" w:cs="Arial"/>
          <w:shd w:val="clear" w:color="auto" w:fill="FFFFFF"/>
        </w:rPr>
      </w:pPr>
      <w:r w:rsidRPr="000E50F1">
        <w:rPr>
          <w:rFonts w:ascii="Times" w:hAnsi="Times" w:cs="Arial"/>
          <w:shd w:val="clear" w:color="auto" w:fill="FFFFFF"/>
        </w:rPr>
        <w:t>Kirmayer, L. J., Guzder, J., &amp; Rousseau, C. (Eds.). (2013).</w:t>
      </w:r>
      <w:r w:rsidRPr="000E50F1">
        <w:rPr>
          <w:rFonts w:ascii="Times" w:hAnsi="Times"/>
        </w:rPr>
        <w:t> </w:t>
      </w:r>
      <w:r w:rsidRPr="000E50F1">
        <w:rPr>
          <w:rFonts w:ascii="Times" w:hAnsi="Times" w:cs="Arial"/>
          <w:i/>
          <w:iCs/>
          <w:shd w:val="clear" w:color="auto" w:fill="FFFFFF"/>
        </w:rPr>
        <w:t>Cultural consultation: Encountering the other in mental health care</w:t>
      </w:r>
      <w:r w:rsidRPr="000E50F1">
        <w:rPr>
          <w:rFonts w:ascii="Times" w:hAnsi="Times" w:cs="Arial"/>
          <w:shd w:val="clear" w:color="auto" w:fill="FFFFFF"/>
        </w:rPr>
        <w:t>. Springer Science &amp; Business Media.</w:t>
      </w:r>
    </w:p>
    <w:p w14:paraId="620D5D50" w14:textId="77777777" w:rsidR="008D35D8" w:rsidRPr="000E50F1" w:rsidRDefault="008D35D8" w:rsidP="008D35D8">
      <w:pPr>
        <w:ind w:left="567" w:hanging="567"/>
        <w:rPr>
          <w:rFonts w:ascii="Times" w:hAnsi="Times" w:cs="Arial"/>
          <w:shd w:val="clear" w:color="auto" w:fill="FFFFFF"/>
        </w:rPr>
      </w:pPr>
    </w:p>
    <w:p w14:paraId="3C10BAF7" w14:textId="35C1A260" w:rsidR="008D35D8" w:rsidRPr="000E50F1" w:rsidRDefault="008D35D8" w:rsidP="008D35D8">
      <w:pPr>
        <w:ind w:left="567" w:hanging="567"/>
        <w:rPr>
          <w:rFonts w:ascii="Times" w:hAnsi="Times" w:cs="Arial"/>
          <w:shd w:val="clear" w:color="auto" w:fill="FFFFFF"/>
        </w:rPr>
      </w:pPr>
      <w:r w:rsidRPr="000E50F1">
        <w:rPr>
          <w:rFonts w:ascii="Times" w:hAnsi="Times" w:cs="Arial"/>
          <w:shd w:val="clear" w:color="auto" w:fill="FFFFFF"/>
        </w:rPr>
        <w:t>Kirmayer, L. J., &amp; Jarvis, G. E. (2019). Culturally Responsive Services as a Path to Equity in Mental Healthcare. </w:t>
      </w:r>
      <w:r w:rsidRPr="000E50F1">
        <w:rPr>
          <w:rFonts w:ascii="Times" w:hAnsi="Times" w:cs="Arial"/>
          <w:i/>
          <w:iCs/>
        </w:rPr>
        <w:t>Healthcare Papers</w:t>
      </w:r>
      <w:r w:rsidRPr="000E50F1">
        <w:rPr>
          <w:rFonts w:ascii="Times" w:hAnsi="Times" w:cs="Arial"/>
          <w:shd w:val="clear" w:color="auto" w:fill="FFFFFF"/>
        </w:rPr>
        <w:t>, </w:t>
      </w:r>
      <w:r w:rsidRPr="000E50F1">
        <w:rPr>
          <w:rFonts w:ascii="Times" w:hAnsi="Times" w:cs="Arial"/>
          <w:i/>
          <w:iCs/>
        </w:rPr>
        <w:t>18</w:t>
      </w:r>
      <w:r w:rsidRPr="000E50F1">
        <w:rPr>
          <w:rFonts w:ascii="Times" w:hAnsi="Times" w:cs="Arial"/>
          <w:shd w:val="clear" w:color="auto" w:fill="FFFFFF"/>
        </w:rPr>
        <w:t>(2), 11-23.</w:t>
      </w:r>
    </w:p>
    <w:p w14:paraId="28012E10" w14:textId="77777777" w:rsidR="008D35D8" w:rsidRPr="000E50F1" w:rsidRDefault="008D35D8" w:rsidP="00812859">
      <w:pPr>
        <w:pStyle w:val="NormalWeb"/>
        <w:spacing w:before="0" w:beforeAutospacing="0" w:after="0" w:afterAutospacing="0"/>
        <w:ind w:left="567" w:hanging="567"/>
        <w:rPr>
          <w:rFonts w:ascii="Times" w:hAnsi="Times" w:cs="Arial"/>
          <w:shd w:val="clear" w:color="auto" w:fill="FFFFFF"/>
        </w:rPr>
      </w:pPr>
    </w:p>
    <w:p w14:paraId="75E1885B" w14:textId="68E15831"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Kirmayer, Laurence J., Lavanya Narasiah, Marie Munoz, Meb Rashid, Andrew G. Ryder, Jaswant Guzder, Ghayda Hassan, Cécile Rousseau, and Kevin Pottie. (2011). Common mental health problems in immigrants and refugees: general approach in primary care. </w:t>
      </w:r>
      <w:r w:rsidRPr="000E50F1">
        <w:rPr>
          <w:rFonts w:ascii="Times" w:hAnsi="Times" w:cs="Arial"/>
          <w:i/>
          <w:iCs/>
        </w:rPr>
        <w:t>Cmaj</w:t>
      </w:r>
      <w:r w:rsidRPr="000E50F1">
        <w:rPr>
          <w:rFonts w:ascii="Times" w:hAnsi="Times" w:cs="Arial"/>
          <w:shd w:val="clear" w:color="auto" w:fill="FFFFFF"/>
        </w:rPr>
        <w:t>, </w:t>
      </w:r>
      <w:r w:rsidRPr="000E50F1">
        <w:rPr>
          <w:rFonts w:ascii="Times" w:hAnsi="Times" w:cs="Arial"/>
          <w:i/>
          <w:iCs/>
        </w:rPr>
        <w:t>183</w:t>
      </w:r>
      <w:r w:rsidRPr="000E50F1">
        <w:rPr>
          <w:rFonts w:ascii="Times" w:hAnsi="Times" w:cs="Arial"/>
          <w:shd w:val="clear" w:color="auto" w:fill="FFFFFF"/>
        </w:rPr>
        <w:t>(12), E959-E967.</w:t>
      </w:r>
    </w:p>
    <w:p w14:paraId="2E66B285" w14:textId="77777777" w:rsidR="008D35D8" w:rsidRPr="000E50F1" w:rsidRDefault="008D35D8" w:rsidP="00812859">
      <w:pPr>
        <w:pStyle w:val="NormalWeb"/>
        <w:spacing w:before="0" w:beforeAutospacing="0" w:after="0" w:afterAutospacing="0"/>
        <w:rPr>
          <w:rFonts w:ascii="Times" w:hAnsi="Times" w:cs="Arial"/>
          <w:shd w:val="clear" w:color="auto" w:fill="FFFFFF"/>
        </w:rPr>
      </w:pPr>
    </w:p>
    <w:p w14:paraId="0FE0CFAB" w14:textId="77777777" w:rsidR="00846973" w:rsidRPr="000E50F1" w:rsidRDefault="00812859" w:rsidP="00846973">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lastRenderedPageBreak/>
        <w:t>Kutcher, S., Bagnell, A., &amp; Wei, Y. (2015). Mental health literacy in secondary schools: a Canadian approach. Child and adolescent psychiatric clinics of North America, 24(2), 233-244</w:t>
      </w:r>
      <w:r w:rsidR="00846973" w:rsidRPr="000E50F1">
        <w:rPr>
          <w:rFonts w:ascii="Times" w:hAnsi="Times" w:cs="Arial"/>
          <w:shd w:val="clear" w:color="auto" w:fill="FFFFFF"/>
        </w:rPr>
        <w:t>.</w:t>
      </w:r>
    </w:p>
    <w:p w14:paraId="0A38C770" w14:textId="77777777" w:rsidR="00846973" w:rsidRPr="000E50F1" w:rsidRDefault="00846973" w:rsidP="00846973">
      <w:pPr>
        <w:pStyle w:val="NormalWeb"/>
        <w:spacing w:before="0" w:beforeAutospacing="0" w:after="0" w:afterAutospacing="0"/>
        <w:ind w:left="567" w:hanging="567"/>
        <w:rPr>
          <w:rFonts w:ascii="Times" w:hAnsi="Times" w:cs="Arial"/>
          <w:shd w:val="clear" w:color="auto" w:fill="FFFFFF"/>
        </w:rPr>
      </w:pPr>
    </w:p>
    <w:p w14:paraId="7B731372" w14:textId="3F47CD15" w:rsidR="00846973" w:rsidRPr="000E50F1" w:rsidRDefault="00846973" w:rsidP="00846973">
      <w:pPr>
        <w:pStyle w:val="NormalWeb"/>
        <w:spacing w:before="0" w:beforeAutospacing="0" w:after="0" w:afterAutospacing="0"/>
        <w:ind w:left="567" w:hanging="567"/>
        <w:rPr>
          <w:rFonts w:ascii="Times" w:hAnsi="Times" w:cs="Arial"/>
          <w:shd w:val="clear" w:color="auto" w:fill="FFFFFF"/>
        </w:rPr>
      </w:pPr>
      <w:r w:rsidRPr="000E50F1">
        <w:rPr>
          <w:rFonts w:ascii="Times" w:hAnsi="Times"/>
        </w:rPr>
        <w:t xml:space="preserve">Leanza, Y., A. Miklavcic, I. Boivin and E. Rosenberg. 2014. Working with Interpreters. In L.J. Kirmayer, J. Guzder and C. Rousseau, eds., </w:t>
      </w:r>
      <w:r w:rsidRPr="000E50F1">
        <w:rPr>
          <w:rFonts w:ascii="Times" w:hAnsi="Times"/>
          <w:i/>
          <w:iCs/>
        </w:rPr>
        <w:t xml:space="preserve">Cultural Consultation: Encountering the Other in Mental Health Care </w:t>
      </w:r>
      <w:r w:rsidRPr="000E50F1">
        <w:rPr>
          <w:rFonts w:ascii="Times" w:hAnsi="Times"/>
        </w:rPr>
        <w:t xml:space="preserve">(pp. 89–114). New York, NY: Springer. </w:t>
      </w:r>
    </w:p>
    <w:p w14:paraId="1FF777EF"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p>
    <w:p w14:paraId="73C0D95F"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Lo, H. T., &amp; Fung, K. P. (2003). Culturally competent psychotherapy.</w:t>
      </w:r>
      <w:r w:rsidRPr="000E50F1">
        <w:rPr>
          <w:rFonts w:ascii="Times" w:hAnsi="Times"/>
        </w:rPr>
        <w:t> </w:t>
      </w:r>
      <w:r w:rsidRPr="000E50F1">
        <w:rPr>
          <w:rFonts w:ascii="Times" w:hAnsi="Times" w:cs="Arial"/>
          <w:i/>
          <w:iCs/>
          <w:shd w:val="clear" w:color="auto" w:fill="FFFFFF"/>
        </w:rPr>
        <w:t>The Canadian Journal of Psychiatry,</w:t>
      </w:r>
      <w:r w:rsidRPr="000E50F1">
        <w:rPr>
          <w:rFonts w:ascii="Times" w:hAnsi="Times"/>
          <w:i/>
          <w:iCs/>
        </w:rPr>
        <w:t> </w:t>
      </w:r>
      <w:r w:rsidRPr="000E50F1">
        <w:rPr>
          <w:rFonts w:ascii="Times" w:hAnsi="Times" w:cs="Arial"/>
          <w:i/>
          <w:iCs/>
          <w:shd w:val="clear" w:color="auto" w:fill="FFFFFF"/>
        </w:rPr>
        <w:t>48</w:t>
      </w:r>
      <w:r w:rsidRPr="000E50F1">
        <w:rPr>
          <w:rFonts w:ascii="Times" w:hAnsi="Times" w:cs="Arial"/>
          <w:shd w:val="clear" w:color="auto" w:fill="FFFFFF"/>
        </w:rPr>
        <w:t>(3), 161-170.</w:t>
      </w:r>
    </w:p>
    <w:p w14:paraId="486011A4"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p>
    <w:p w14:paraId="28918B6F"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 xml:space="preserve">Mental Health Commission of Canada. (2016). The Case for Diversity: Building the Case to Improve Mental Health Services for Immigrant, Refugee, Ethno-cultural and Racialized Populations, Ottawa, ON: Mental Health Commission of Canada. </w:t>
      </w:r>
      <w:hyperlink r:id="rId47" w:history="1">
        <w:r w:rsidRPr="000E50F1">
          <w:rPr>
            <w:rStyle w:val="Hyperlink"/>
            <w:rFonts w:ascii="Times" w:hAnsi="Times" w:cs="Arial"/>
            <w:color w:val="auto"/>
            <w:u w:val="none"/>
            <w:shd w:val="clear" w:color="auto" w:fill="FFFFFF"/>
          </w:rPr>
          <w:t>https://www.mentalhealthcommission.ca/sites/default/files/2016-10/case_for_diversity_oct_2016_eng.pdf</w:t>
        </w:r>
      </w:hyperlink>
    </w:p>
    <w:p w14:paraId="729EE668" w14:textId="77777777" w:rsidR="00812859" w:rsidRPr="000E50F1" w:rsidRDefault="00812859" w:rsidP="00812859">
      <w:pPr>
        <w:pStyle w:val="NormalWeb"/>
        <w:spacing w:before="0" w:beforeAutospacing="0" w:after="0" w:afterAutospacing="0"/>
        <w:rPr>
          <w:rFonts w:ascii="Times" w:hAnsi="Times" w:cs="Arial"/>
          <w:shd w:val="clear" w:color="auto" w:fill="FFFFFF"/>
        </w:rPr>
      </w:pPr>
    </w:p>
    <w:p w14:paraId="3836D201" w14:textId="77777777" w:rsidR="00333830" w:rsidRPr="000E50F1" w:rsidRDefault="00812859" w:rsidP="00333830">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McKenzie, K., &amp; Bhui, K. (2007). Institutional racism in mental health care. </w:t>
      </w:r>
      <w:r w:rsidRPr="000E50F1">
        <w:rPr>
          <w:rFonts w:ascii="Times" w:hAnsi="Times" w:cs="Arial"/>
          <w:i/>
          <w:iCs/>
          <w:shd w:val="clear" w:color="auto" w:fill="FFFFFF"/>
        </w:rPr>
        <w:t>British Medical Journal, 334</w:t>
      </w:r>
      <w:r w:rsidRPr="000E50F1">
        <w:rPr>
          <w:rFonts w:ascii="Times" w:hAnsi="Times" w:cs="Arial"/>
          <w:shd w:val="clear" w:color="auto" w:fill="FFFFFF"/>
        </w:rPr>
        <w:t>, 649-650.</w:t>
      </w:r>
    </w:p>
    <w:p w14:paraId="2697C1ED" w14:textId="77777777" w:rsidR="00333830" w:rsidRPr="000E50F1" w:rsidRDefault="00333830" w:rsidP="00333830">
      <w:pPr>
        <w:pStyle w:val="NormalWeb"/>
        <w:spacing w:before="0" w:beforeAutospacing="0" w:after="0" w:afterAutospacing="0"/>
        <w:ind w:left="567" w:hanging="567"/>
        <w:rPr>
          <w:rFonts w:ascii="Times" w:hAnsi="Times" w:cs="Arial"/>
          <w:shd w:val="clear" w:color="auto" w:fill="FFFFFF"/>
        </w:rPr>
      </w:pPr>
    </w:p>
    <w:p w14:paraId="2A278306" w14:textId="26F7728C" w:rsidR="00333830" w:rsidRPr="000E50F1" w:rsidRDefault="00333830" w:rsidP="00333830">
      <w:pPr>
        <w:pStyle w:val="NormalWeb"/>
        <w:spacing w:before="0" w:beforeAutospacing="0" w:after="0" w:afterAutospacing="0"/>
        <w:ind w:left="567" w:hanging="567"/>
        <w:rPr>
          <w:rFonts w:ascii="Times" w:hAnsi="Times" w:cs="Arial"/>
          <w:shd w:val="clear" w:color="auto" w:fill="FFFFFF"/>
        </w:rPr>
      </w:pPr>
      <w:r w:rsidRPr="000E50F1">
        <w:rPr>
          <w:rFonts w:ascii="Times" w:hAnsi="Times"/>
        </w:rPr>
        <w:t xml:space="preserve">McKenzie, K. 2015. Issues and Options for Improving Services for Diverse Populations. </w:t>
      </w:r>
      <w:r w:rsidRPr="000E50F1">
        <w:rPr>
          <w:rFonts w:ascii="Times" w:hAnsi="Times"/>
          <w:i/>
          <w:iCs/>
        </w:rPr>
        <w:t xml:space="preserve">Canadian Journal of Community Mental Health </w:t>
      </w:r>
      <w:r w:rsidRPr="000E50F1">
        <w:rPr>
          <w:rFonts w:ascii="Times" w:hAnsi="Times"/>
        </w:rPr>
        <w:t xml:space="preserve">34(4): 69–88. </w:t>
      </w:r>
    </w:p>
    <w:p w14:paraId="183B2F37" w14:textId="77777777" w:rsidR="00812859" w:rsidRPr="000E50F1" w:rsidRDefault="00812859" w:rsidP="00333830">
      <w:pPr>
        <w:pStyle w:val="NormalWeb"/>
        <w:spacing w:before="0" w:beforeAutospacing="0" w:after="0" w:afterAutospacing="0"/>
        <w:rPr>
          <w:rFonts w:ascii="Times" w:hAnsi="Times" w:cs="Arial"/>
          <w:shd w:val="clear" w:color="auto" w:fill="FFFFFF"/>
        </w:rPr>
      </w:pPr>
    </w:p>
    <w:p w14:paraId="2DE43FEA" w14:textId="77777777" w:rsidR="001D7947" w:rsidRPr="000E50F1" w:rsidRDefault="00812859" w:rsidP="001D7947">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McNeely, C., Sprecher, K., &amp; Bates, D. (2010). Comparative case study of caring across communities: Identifying essential components of comprehensive school-linked mental health services for refugee and immigrant children. Knoxville, TN: Robert Wood Johnson Foundation.</w:t>
      </w:r>
      <w:r w:rsidRPr="000E50F1">
        <w:rPr>
          <w:rFonts w:ascii="Times" w:hAnsi="Times"/>
        </w:rPr>
        <w:t> </w:t>
      </w:r>
      <w:r w:rsidRPr="000E50F1">
        <w:rPr>
          <w:rFonts w:ascii="Times" w:hAnsi="Times" w:cs="Arial"/>
          <w:shd w:val="clear" w:color="auto" w:fill="FFFFFF"/>
        </w:rPr>
        <w:t>The Center for Health and Health Care in Schools, The George Washington University, and The Center for the Study of Youth and Political Violence and Department of Public Health, University of Tennessee.</w:t>
      </w:r>
    </w:p>
    <w:p w14:paraId="21357019" w14:textId="77777777" w:rsidR="001D7947" w:rsidRPr="000E50F1" w:rsidRDefault="001D7947" w:rsidP="001D7947">
      <w:pPr>
        <w:pStyle w:val="NormalWeb"/>
        <w:spacing w:before="0" w:beforeAutospacing="0" w:after="0" w:afterAutospacing="0"/>
        <w:ind w:left="567" w:hanging="567"/>
        <w:rPr>
          <w:rFonts w:ascii="Times" w:hAnsi="Times" w:cs="Arial"/>
          <w:shd w:val="clear" w:color="auto" w:fill="FFFFFF"/>
        </w:rPr>
      </w:pPr>
    </w:p>
    <w:p w14:paraId="3DC739B1" w14:textId="567E068D" w:rsidR="001D7947" w:rsidRPr="000E50F1" w:rsidRDefault="001D7947" w:rsidP="001D7947">
      <w:pPr>
        <w:pStyle w:val="NormalWeb"/>
        <w:spacing w:before="0" w:beforeAutospacing="0" w:after="0" w:afterAutospacing="0"/>
        <w:ind w:left="567" w:hanging="567"/>
        <w:rPr>
          <w:rFonts w:ascii="Times" w:hAnsi="Times" w:cs="Arial"/>
          <w:shd w:val="clear" w:color="auto" w:fill="FFFFFF"/>
        </w:rPr>
      </w:pPr>
      <w:r w:rsidRPr="000E50F1">
        <w:rPr>
          <w:rFonts w:ascii="Times" w:hAnsi="Times"/>
        </w:rPr>
        <w:t xml:space="preserve">Miklavcic, A. &amp; M.N. LeBlanc. (2014). Culture Brokers, Clinically Applied Ethnography, and Cultural Mediation. In L.J. Kirmayer, J. Guzder and C. Rousseau, eds., </w:t>
      </w:r>
      <w:r w:rsidRPr="000E50F1">
        <w:rPr>
          <w:rFonts w:ascii="Times" w:hAnsi="Times"/>
          <w:i/>
          <w:iCs/>
        </w:rPr>
        <w:t xml:space="preserve">Cultural Consultation: Encountering the Other in Mental Health Care </w:t>
      </w:r>
      <w:r w:rsidRPr="000E50F1">
        <w:rPr>
          <w:rFonts w:ascii="Times" w:hAnsi="Times"/>
        </w:rPr>
        <w:t xml:space="preserve">(pp. 115–138). New York, NY: Springer. </w:t>
      </w:r>
    </w:p>
    <w:p w14:paraId="57AAA2AA" w14:textId="77777777"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p>
    <w:p w14:paraId="576A9BEE" w14:textId="3BC5257A" w:rsidR="00812859" w:rsidRPr="000E50F1" w:rsidRDefault="00812859" w:rsidP="0062559D">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shd w:val="clear" w:color="auto" w:fill="FFFFFF"/>
        </w:rPr>
        <w:t xml:space="preserve">Moses T. (2009). Stigma and self-concept among adolescents receiving mental health treatment. </w:t>
      </w:r>
      <w:r w:rsidRPr="000E50F1">
        <w:rPr>
          <w:rFonts w:ascii="Times" w:hAnsi="Times" w:cs="Arial"/>
          <w:i/>
          <w:iCs/>
          <w:shd w:val="clear" w:color="auto" w:fill="FFFFFF"/>
        </w:rPr>
        <w:t>American Journal of Orthopsychiatry,</w:t>
      </w:r>
      <w:r w:rsidRPr="000E50F1">
        <w:rPr>
          <w:rFonts w:ascii="Times" w:hAnsi="Times"/>
          <w:i/>
          <w:iCs/>
        </w:rPr>
        <w:t> </w:t>
      </w:r>
      <w:r w:rsidRPr="000E50F1">
        <w:rPr>
          <w:rFonts w:ascii="Times" w:hAnsi="Times" w:cs="Arial"/>
          <w:i/>
          <w:iCs/>
          <w:shd w:val="clear" w:color="auto" w:fill="FFFFFF"/>
        </w:rPr>
        <w:t>79</w:t>
      </w:r>
      <w:r w:rsidRPr="000E50F1">
        <w:rPr>
          <w:rFonts w:ascii="Times" w:hAnsi="Times" w:cs="Arial"/>
          <w:shd w:val="clear" w:color="auto" w:fill="FFFFFF"/>
        </w:rPr>
        <w:t>(2), 261-274.</w:t>
      </w:r>
    </w:p>
    <w:p w14:paraId="3F9F312D" w14:textId="77777777" w:rsidR="00DA7E04" w:rsidRPr="000E50F1" w:rsidRDefault="00DA7E04" w:rsidP="00812859">
      <w:pPr>
        <w:pStyle w:val="NormalWeb"/>
        <w:spacing w:before="0" w:beforeAutospacing="0" w:after="0" w:afterAutospacing="0"/>
        <w:ind w:left="567" w:hanging="567"/>
        <w:rPr>
          <w:rFonts w:ascii="Times" w:hAnsi="Times" w:cs="Arial"/>
          <w:bCs/>
        </w:rPr>
      </w:pPr>
    </w:p>
    <w:p w14:paraId="2FECE50F" w14:textId="34F895FF" w:rsidR="00812859" w:rsidRPr="000E50F1" w:rsidRDefault="00812859" w:rsidP="00812859">
      <w:pPr>
        <w:pStyle w:val="NormalWeb"/>
        <w:spacing w:before="0" w:beforeAutospacing="0" w:after="0" w:afterAutospacing="0"/>
        <w:ind w:left="567" w:hanging="567"/>
        <w:rPr>
          <w:rFonts w:ascii="Times" w:hAnsi="Times" w:cs="Arial"/>
          <w:shd w:val="clear" w:color="auto" w:fill="FFFFFF"/>
        </w:rPr>
      </w:pPr>
      <w:r w:rsidRPr="000E50F1">
        <w:rPr>
          <w:rFonts w:ascii="Times" w:hAnsi="Times" w:cs="Arial"/>
          <w:bCs/>
        </w:rPr>
        <w:t>Newbold, K.B</w:t>
      </w:r>
      <w:r w:rsidRPr="000E50F1">
        <w:rPr>
          <w:rFonts w:ascii="Times" w:hAnsi="Times" w:cs="Arial"/>
          <w:shd w:val="clear" w:color="auto" w:fill="FFFFFF"/>
        </w:rPr>
        <w:t>. (2009). The Short-Term Health of Canada’s New Immigrant Arrivals: Evidence from LSIC.</w:t>
      </w:r>
      <w:r w:rsidRPr="000E50F1">
        <w:rPr>
          <w:rFonts w:ascii="Times" w:hAnsi="Times" w:cs="Arial"/>
        </w:rPr>
        <w:t> </w:t>
      </w:r>
      <w:r w:rsidRPr="000E50F1">
        <w:rPr>
          <w:rFonts w:ascii="Times" w:hAnsi="Times" w:cs="Arial"/>
          <w:i/>
          <w:iCs/>
        </w:rPr>
        <w:t xml:space="preserve">Ethnicity and </w:t>
      </w:r>
      <w:r w:rsidRPr="000E50F1">
        <w:rPr>
          <w:rFonts w:ascii="Times" w:hAnsi="Times" w:cs="Arial"/>
        </w:rPr>
        <w:t>Health</w:t>
      </w:r>
      <w:r w:rsidRPr="000E50F1">
        <w:rPr>
          <w:rFonts w:ascii="Times" w:hAnsi="Times" w:cs="Arial"/>
          <w:shd w:val="clear" w:color="auto" w:fill="FFFFFF"/>
        </w:rPr>
        <w:t>, 14(3), 1-22.</w:t>
      </w:r>
    </w:p>
    <w:p w14:paraId="2E1C43FF" w14:textId="77777777" w:rsidR="00812859" w:rsidRPr="000E50F1" w:rsidRDefault="00812859" w:rsidP="00812859">
      <w:pPr>
        <w:pStyle w:val="NormalWeb"/>
        <w:spacing w:before="0" w:beforeAutospacing="0" w:after="0" w:afterAutospacing="0"/>
        <w:rPr>
          <w:rFonts w:ascii="Times" w:hAnsi="Times" w:cs="Arial"/>
          <w:shd w:val="clear" w:color="auto" w:fill="FFFFFF"/>
        </w:rPr>
      </w:pPr>
    </w:p>
    <w:p w14:paraId="0D69556C" w14:textId="77777777" w:rsidR="00812859" w:rsidRPr="000E50F1" w:rsidRDefault="00812859" w:rsidP="00812859">
      <w:pPr>
        <w:ind w:left="567" w:hanging="567"/>
        <w:rPr>
          <w:rFonts w:ascii="Times" w:hAnsi="Times" w:cs="Arial"/>
        </w:rPr>
      </w:pPr>
      <w:r w:rsidRPr="000E50F1">
        <w:rPr>
          <w:rStyle w:val="authors"/>
          <w:rFonts w:ascii="Times" w:eastAsiaTheme="minorHAnsi" w:hAnsi="Times" w:cs="Arial"/>
        </w:rPr>
        <w:lastRenderedPageBreak/>
        <w:t>Newbold</w:t>
      </w:r>
      <w:r w:rsidRPr="000E50F1">
        <w:rPr>
          <w:rStyle w:val="apple-converted-space"/>
          <w:rFonts w:ascii="Times" w:hAnsi="Times" w:cs="Arial"/>
          <w:shd w:val="clear" w:color="auto" w:fill="FFFFFF"/>
        </w:rPr>
        <w:t xml:space="preserve">, K. B. </w:t>
      </w:r>
      <w:r w:rsidRPr="000E50F1">
        <w:rPr>
          <w:rStyle w:val="Date1"/>
          <w:rFonts w:ascii="Times" w:hAnsi="Times" w:cs="Arial"/>
        </w:rPr>
        <w:t>(2006)</w:t>
      </w:r>
      <w:r w:rsidRPr="000E50F1">
        <w:rPr>
          <w:rStyle w:val="apple-converted-space"/>
          <w:rFonts w:ascii="Times" w:hAnsi="Times" w:cs="Arial"/>
          <w:shd w:val="clear" w:color="auto" w:fill="FFFFFF"/>
        </w:rPr>
        <w:t> </w:t>
      </w:r>
      <w:r w:rsidRPr="000E50F1">
        <w:rPr>
          <w:rStyle w:val="arttitle"/>
          <w:rFonts w:ascii="Times" w:eastAsiaTheme="minorHAnsi" w:hAnsi="Times" w:cs="Arial"/>
        </w:rPr>
        <w:t>Chronic Conditions and the Healthy Immigrant Effect: Evidence from Canadian Immigrants,</w:t>
      </w:r>
      <w:r w:rsidRPr="000E50F1">
        <w:rPr>
          <w:rStyle w:val="apple-converted-space"/>
          <w:rFonts w:ascii="Times" w:hAnsi="Times" w:cs="Arial"/>
          <w:shd w:val="clear" w:color="auto" w:fill="FFFFFF"/>
        </w:rPr>
        <w:t> </w:t>
      </w:r>
      <w:r w:rsidRPr="000E50F1">
        <w:rPr>
          <w:rStyle w:val="serialtitle"/>
          <w:rFonts w:ascii="Times" w:hAnsi="Times" w:cs="Arial"/>
          <w:i/>
          <w:iCs/>
        </w:rPr>
        <w:t>Journal of Ethnic and Migration Studies,</w:t>
      </w:r>
      <w:r w:rsidRPr="000E50F1">
        <w:rPr>
          <w:rStyle w:val="apple-converted-space"/>
          <w:rFonts w:ascii="Times" w:hAnsi="Times" w:cs="Arial"/>
          <w:i/>
          <w:iCs/>
          <w:shd w:val="clear" w:color="auto" w:fill="FFFFFF"/>
        </w:rPr>
        <w:t> </w:t>
      </w:r>
      <w:r w:rsidRPr="000E50F1">
        <w:rPr>
          <w:rStyle w:val="volumeissue"/>
          <w:rFonts w:ascii="Times" w:hAnsi="Times" w:cs="Arial"/>
          <w:i/>
          <w:iCs/>
        </w:rPr>
        <w:t>32</w:t>
      </w:r>
      <w:r w:rsidRPr="000E50F1">
        <w:rPr>
          <w:rStyle w:val="volumeissue"/>
          <w:rFonts w:ascii="Times" w:hAnsi="Times" w:cs="Arial"/>
        </w:rPr>
        <w:t>(5),</w:t>
      </w:r>
      <w:r w:rsidRPr="000E50F1">
        <w:rPr>
          <w:rStyle w:val="apple-converted-space"/>
          <w:rFonts w:ascii="Times" w:hAnsi="Times" w:cs="Arial"/>
          <w:shd w:val="clear" w:color="auto" w:fill="FFFFFF"/>
        </w:rPr>
        <w:t> </w:t>
      </w:r>
      <w:r w:rsidRPr="000E50F1">
        <w:rPr>
          <w:rStyle w:val="pagerange"/>
          <w:rFonts w:ascii="Times" w:hAnsi="Times" w:cs="Arial"/>
        </w:rPr>
        <w:t>765-784.</w:t>
      </w:r>
      <w:r w:rsidRPr="000E50F1">
        <w:rPr>
          <w:rFonts w:ascii="Times" w:hAnsi="Times" w:cs="Arial"/>
        </w:rPr>
        <w:t xml:space="preserve"> </w:t>
      </w:r>
    </w:p>
    <w:p w14:paraId="1CFEC42A" w14:textId="77777777" w:rsidR="00812859" w:rsidRPr="000E50F1" w:rsidRDefault="00812859" w:rsidP="00812859">
      <w:pPr>
        <w:ind w:left="567" w:hanging="567"/>
        <w:rPr>
          <w:rFonts w:ascii="Times" w:hAnsi="Times" w:cs="Arial"/>
        </w:rPr>
      </w:pPr>
    </w:p>
    <w:p w14:paraId="74B82E03" w14:textId="77777777" w:rsidR="00812859" w:rsidRPr="000E50F1" w:rsidRDefault="00812859" w:rsidP="00812859">
      <w:pPr>
        <w:ind w:left="567" w:hanging="567"/>
        <w:rPr>
          <w:rStyle w:val="authors"/>
          <w:rFonts w:ascii="Times" w:eastAsiaTheme="minorHAnsi" w:hAnsi="Times" w:cs="Arial"/>
        </w:rPr>
      </w:pPr>
      <w:r w:rsidRPr="000E50F1">
        <w:rPr>
          <w:rStyle w:val="authors"/>
          <w:rFonts w:ascii="Times" w:eastAsiaTheme="minorHAnsi" w:hAnsi="Times"/>
        </w:rPr>
        <w:t>Reynolds, A. D., &amp; Bacon, R. (2018). Interventions supporting the social integration of refugee children and youth in school communities: a review of the literature. Advances in social work, 18(3), 745-766.</w:t>
      </w:r>
    </w:p>
    <w:p w14:paraId="58CA101D" w14:textId="77777777" w:rsidR="00812859" w:rsidRPr="000E50F1" w:rsidRDefault="00812859" w:rsidP="00812859">
      <w:pPr>
        <w:rPr>
          <w:rFonts w:ascii="Times" w:hAnsi="Times" w:cs="Arial"/>
        </w:rPr>
      </w:pPr>
    </w:p>
    <w:p w14:paraId="5AD91F72" w14:textId="77777777" w:rsidR="00812859" w:rsidRPr="000E50F1" w:rsidRDefault="00812859" w:rsidP="00812859">
      <w:pPr>
        <w:autoSpaceDE w:val="0"/>
        <w:autoSpaceDN w:val="0"/>
        <w:adjustRightInd w:val="0"/>
        <w:ind w:left="567" w:hanging="567"/>
        <w:rPr>
          <w:rFonts w:ascii="Times" w:hAnsi="Times" w:cs="Times-Roman"/>
          <w:lang w:eastAsia="en-CA"/>
        </w:rPr>
      </w:pPr>
      <w:r w:rsidRPr="000E50F1">
        <w:rPr>
          <w:rFonts w:ascii="Times" w:hAnsi="Times" w:cs="Times-Roman"/>
          <w:lang w:eastAsia="en-CA"/>
        </w:rPr>
        <w:t xml:space="preserve">Ricketts, T. C. (2010). Chapter 27: Accessing health care. In T. Brown, S. McLafferty &amp; G. Moon, </w:t>
      </w:r>
      <w:r w:rsidRPr="000E50F1">
        <w:rPr>
          <w:rFonts w:ascii="Times" w:hAnsi="Times" w:cs="Times-Roman"/>
          <w:i/>
          <w:lang w:eastAsia="en-CA"/>
        </w:rPr>
        <w:t xml:space="preserve">A </w:t>
      </w:r>
      <w:r w:rsidRPr="000E50F1">
        <w:rPr>
          <w:rFonts w:ascii="Times" w:hAnsi="Times" w:cs="Times-Italic"/>
          <w:i/>
          <w:iCs/>
          <w:lang w:eastAsia="en-CA"/>
        </w:rPr>
        <w:t>Companion to Health and Medical Geography</w:t>
      </w:r>
      <w:r w:rsidRPr="000E50F1">
        <w:rPr>
          <w:rFonts w:ascii="Times" w:hAnsi="Times" w:cs="Times-Roman"/>
          <w:lang w:eastAsia="en-CA"/>
        </w:rPr>
        <w:t>. pp. 521-539, Malden, MA: Wiley-Blackwell.</w:t>
      </w:r>
    </w:p>
    <w:p w14:paraId="56983C5E" w14:textId="77777777" w:rsidR="00812859" w:rsidRPr="000E50F1" w:rsidRDefault="00812859" w:rsidP="00812859">
      <w:pPr>
        <w:rPr>
          <w:rFonts w:ascii="Times" w:hAnsi="Times" w:cs="Arial"/>
        </w:rPr>
      </w:pPr>
    </w:p>
    <w:p w14:paraId="2950C7D4" w14:textId="77777777" w:rsidR="00812859" w:rsidRPr="000E50F1" w:rsidRDefault="00812859" w:rsidP="00812859">
      <w:pPr>
        <w:pStyle w:val="NormalWeb"/>
        <w:spacing w:before="0" w:beforeAutospacing="0" w:after="0" w:afterAutospacing="0"/>
        <w:ind w:left="567" w:hanging="567"/>
        <w:rPr>
          <w:rFonts w:ascii="Times" w:hAnsi="Times" w:cs="Arial"/>
        </w:rPr>
      </w:pPr>
      <w:r w:rsidRPr="000E50F1">
        <w:rPr>
          <w:rFonts w:ascii="Times" w:hAnsi="Times" w:cs="Arial"/>
        </w:rPr>
        <w:t>Rickwood, D. J., Deane, F. P., &amp; Wilson, C. J. (2007). When and how do young people seek professional help for mental health problems?.</w:t>
      </w:r>
      <w:r w:rsidRPr="000E50F1">
        <w:rPr>
          <w:rFonts w:ascii="Times" w:hAnsi="Times"/>
        </w:rPr>
        <w:t> </w:t>
      </w:r>
      <w:r w:rsidRPr="000E50F1">
        <w:rPr>
          <w:rFonts w:ascii="Times" w:hAnsi="Times" w:cs="Arial"/>
        </w:rPr>
        <w:t>Medical journal of Australia,</w:t>
      </w:r>
      <w:r w:rsidRPr="000E50F1">
        <w:rPr>
          <w:rFonts w:ascii="Times" w:hAnsi="Times"/>
        </w:rPr>
        <w:t> </w:t>
      </w:r>
      <w:r w:rsidRPr="000E50F1">
        <w:rPr>
          <w:rFonts w:ascii="Times" w:hAnsi="Times" w:cs="Arial"/>
        </w:rPr>
        <w:t>187(S7), S35-S39.</w:t>
      </w:r>
    </w:p>
    <w:p w14:paraId="1B0ED627" w14:textId="77777777" w:rsidR="00812859" w:rsidRPr="000E50F1" w:rsidRDefault="00812859" w:rsidP="00812859">
      <w:pPr>
        <w:pStyle w:val="NormalWeb"/>
        <w:spacing w:before="0" w:beforeAutospacing="0" w:after="0" w:afterAutospacing="0"/>
        <w:ind w:left="567" w:hanging="567"/>
        <w:rPr>
          <w:rFonts w:ascii="Times" w:hAnsi="Times" w:cs="Arial"/>
        </w:rPr>
      </w:pPr>
    </w:p>
    <w:p w14:paraId="233A4A3F" w14:textId="77777777" w:rsidR="00812859" w:rsidRPr="000E50F1" w:rsidRDefault="00812859" w:rsidP="00812859">
      <w:pPr>
        <w:pStyle w:val="NormalWeb"/>
        <w:spacing w:before="0" w:beforeAutospacing="0" w:after="0" w:afterAutospacing="0"/>
        <w:ind w:left="567" w:hanging="567"/>
        <w:rPr>
          <w:rFonts w:ascii="Times" w:hAnsi="Times" w:cs="Arial"/>
        </w:rPr>
      </w:pPr>
      <w:r w:rsidRPr="000E50F1">
        <w:rPr>
          <w:rFonts w:ascii="Times" w:hAnsi="Times" w:cs="Arial"/>
        </w:rPr>
        <w:t xml:space="preserve">Rones, M., &amp; Hoagwood, K. (2000). School-based mental health services: a research review. </w:t>
      </w:r>
      <w:r w:rsidRPr="000E50F1">
        <w:rPr>
          <w:rFonts w:ascii="Times" w:hAnsi="Times" w:cs="Arial"/>
          <w:i/>
          <w:iCs/>
        </w:rPr>
        <w:t>Clinical Child and Family Psychology Review, 3</w:t>
      </w:r>
      <w:r w:rsidRPr="000E50F1">
        <w:rPr>
          <w:rFonts w:ascii="Times" w:hAnsi="Times" w:cs="Arial"/>
        </w:rPr>
        <w:t>, 223–241.</w:t>
      </w:r>
    </w:p>
    <w:p w14:paraId="0E3F0F95" w14:textId="77777777" w:rsidR="00812859" w:rsidRPr="000E50F1" w:rsidRDefault="00812859" w:rsidP="00812859">
      <w:pPr>
        <w:pStyle w:val="NormalWeb"/>
        <w:spacing w:before="0" w:beforeAutospacing="0" w:after="0" w:afterAutospacing="0"/>
        <w:ind w:left="567" w:hanging="567"/>
        <w:rPr>
          <w:rFonts w:ascii="Times" w:hAnsi="Times" w:cs="Arial"/>
        </w:rPr>
      </w:pPr>
    </w:p>
    <w:p w14:paraId="24457F8D" w14:textId="77777777" w:rsidR="00812859" w:rsidRPr="000E50F1" w:rsidRDefault="00812859" w:rsidP="00812859">
      <w:pPr>
        <w:pStyle w:val="NormalWeb"/>
        <w:spacing w:before="0" w:beforeAutospacing="0" w:after="0" w:afterAutospacing="0"/>
        <w:ind w:left="567" w:hanging="567"/>
        <w:rPr>
          <w:rFonts w:ascii="Times" w:hAnsi="Times" w:cs="Arial"/>
        </w:rPr>
      </w:pPr>
      <w:r w:rsidRPr="000E50F1">
        <w:rPr>
          <w:rFonts w:ascii="Times" w:hAnsi="Times" w:cs="Arial"/>
        </w:rPr>
        <w:t>Sanchez, F., &amp; Gaw, A. (2007). Mental health care of Filipino Americans.</w:t>
      </w:r>
      <w:r w:rsidRPr="000E50F1">
        <w:rPr>
          <w:rFonts w:ascii="Times" w:hAnsi="Times"/>
        </w:rPr>
        <w:t> </w:t>
      </w:r>
      <w:r w:rsidRPr="000E50F1">
        <w:rPr>
          <w:rFonts w:ascii="Times" w:hAnsi="Times" w:cs="Arial"/>
          <w:i/>
          <w:iCs/>
        </w:rPr>
        <w:t>Psychiatric Services,</w:t>
      </w:r>
      <w:r w:rsidRPr="000E50F1">
        <w:rPr>
          <w:rFonts w:ascii="Times" w:hAnsi="Times"/>
          <w:i/>
          <w:iCs/>
        </w:rPr>
        <w:t> </w:t>
      </w:r>
      <w:r w:rsidRPr="000E50F1">
        <w:rPr>
          <w:rFonts w:ascii="Times" w:hAnsi="Times" w:cs="Arial"/>
          <w:i/>
          <w:iCs/>
        </w:rPr>
        <w:t>58</w:t>
      </w:r>
      <w:r w:rsidRPr="000E50F1">
        <w:rPr>
          <w:rFonts w:ascii="Times" w:hAnsi="Times" w:cs="Arial"/>
        </w:rPr>
        <w:t>(6), 810-815.</w:t>
      </w:r>
    </w:p>
    <w:p w14:paraId="5BAA7865" w14:textId="77777777" w:rsidR="00865C64" w:rsidRPr="000E50F1" w:rsidRDefault="00865C64" w:rsidP="00865C64">
      <w:pPr>
        <w:rPr>
          <w:rFonts w:ascii="Times" w:hAnsi="Times" w:cs="Arial"/>
        </w:rPr>
      </w:pPr>
    </w:p>
    <w:p w14:paraId="35D9950E" w14:textId="145C59B0" w:rsidR="00865C64" w:rsidRPr="000E50F1" w:rsidRDefault="00865C64" w:rsidP="00865C64">
      <w:pPr>
        <w:ind w:left="567" w:hanging="567"/>
      </w:pPr>
      <w:r w:rsidRPr="000E50F1">
        <w:t>Serdarevic, M., &amp; Chronister, K. M. (2005). Research with immigrant populations: The application of an ecological framework to mental health research with immigrant populations. </w:t>
      </w:r>
      <w:r w:rsidRPr="000E50F1">
        <w:rPr>
          <w:i/>
          <w:iCs/>
        </w:rPr>
        <w:t>International Journal of Mental Health Promotion</w:t>
      </w:r>
      <w:r w:rsidRPr="000E50F1">
        <w:t>, </w:t>
      </w:r>
      <w:r w:rsidRPr="000E50F1">
        <w:rPr>
          <w:i/>
          <w:iCs/>
        </w:rPr>
        <w:t>7</w:t>
      </w:r>
      <w:r w:rsidRPr="000E50F1">
        <w:t>(2), 24-34.</w:t>
      </w:r>
    </w:p>
    <w:p w14:paraId="35E976E0" w14:textId="77777777" w:rsidR="00D036F8" w:rsidRPr="000E50F1" w:rsidRDefault="00D036F8" w:rsidP="00865C64">
      <w:pPr>
        <w:ind w:left="567" w:hanging="567"/>
        <w:rPr>
          <w:rFonts w:ascii="Times" w:hAnsi="Times" w:cs="Arial"/>
        </w:rPr>
      </w:pPr>
    </w:p>
    <w:p w14:paraId="0AB28C5C" w14:textId="1AC50BA4" w:rsidR="00812859" w:rsidRPr="000E50F1" w:rsidRDefault="00812859" w:rsidP="00812859">
      <w:pPr>
        <w:ind w:left="567" w:hanging="567"/>
        <w:rPr>
          <w:rFonts w:ascii="Times" w:hAnsi="Times" w:cs="Arial"/>
          <w:shd w:val="clear" w:color="auto" w:fill="FFFFFF"/>
        </w:rPr>
      </w:pPr>
      <w:r w:rsidRPr="000E50F1">
        <w:rPr>
          <w:rFonts w:ascii="Times" w:hAnsi="Times" w:cs="Arial"/>
          <w:shd w:val="clear" w:color="auto" w:fill="FFFFFF"/>
        </w:rPr>
        <w:t xml:space="preserve">Shakya, Y. B., Khanlou, N., </w:t>
      </w:r>
      <w:r w:rsidR="00D036F8" w:rsidRPr="000E50F1">
        <w:rPr>
          <w:rFonts w:ascii="Times" w:hAnsi="Times" w:cs="Arial"/>
          <w:shd w:val="clear" w:color="auto" w:fill="FFFFFF"/>
        </w:rPr>
        <w:t>&amp;</w:t>
      </w:r>
      <w:r w:rsidRPr="000E50F1">
        <w:rPr>
          <w:rFonts w:ascii="Times" w:hAnsi="Times" w:cs="Arial"/>
          <w:shd w:val="clear" w:color="auto" w:fill="FFFFFF"/>
        </w:rPr>
        <w:t xml:space="preserve"> Gonsalves, T. (2010). Determinants of mental health for newcomer youth: Policy and service implications, in “</w:t>
      </w:r>
      <w:r w:rsidRPr="000E50F1">
        <w:rPr>
          <w:rFonts w:ascii="Times" w:hAnsi="Times" w:cs="Arial"/>
          <w:bCs/>
          <w:i/>
          <w:iCs/>
        </w:rPr>
        <w:t>Canadian Issues: Immigrant Mental Health”,</w:t>
      </w:r>
      <w:r w:rsidRPr="000E50F1">
        <w:rPr>
          <w:rFonts w:ascii="Times" w:hAnsi="Times" w:cs="Arial"/>
          <w:i/>
          <w:iCs/>
          <w:shd w:val="clear" w:color="auto" w:fill="FFFFFF"/>
        </w:rPr>
        <w:t xml:space="preserve"> </w:t>
      </w:r>
      <w:r w:rsidRPr="000E50F1">
        <w:rPr>
          <w:rFonts w:ascii="Times" w:hAnsi="Times" w:cs="Arial"/>
          <w:shd w:val="clear" w:color="auto" w:fill="FFFFFF"/>
        </w:rPr>
        <w:t xml:space="preserve">N. Khanlou and B. Jackson, Eds, 98-102. </w:t>
      </w:r>
      <w:hyperlink r:id="rId48" w:history="1">
        <w:r w:rsidRPr="000E50F1">
          <w:rPr>
            <w:rStyle w:val="Hyperlink"/>
            <w:rFonts w:ascii="Times" w:hAnsi="Times" w:cs="Arial"/>
            <w:color w:val="auto"/>
            <w:u w:val="none"/>
            <w:shd w:val="clear" w:color="auto" w:fill="FFFFFF"/>
          </w:rPr>
          <w:t>http://www.metropolis.net/pdfs/immigrant_mental_health_10aug10.pdf</w:t>
        </w:r>
      </w:hyperlink>
    </w:p>
    <w:p w14:paraId="7EBF6602" w14:textId="77777777" w:rsidR="00812859" w:rsidRPr="000E50F1" w:rsidRDefault="00812859" w:rsidP="00812859">
      <w:pPr>
        <w:pStyle w:val="NormalWeb"/>
        <w:spacing w:before="0" w:beforeAutospacing="0" w:after="0" w:afterAutospacing="0"/>
        <w:rPr>
          <w:rFonts w:ascii="Times" w:hAnsi="Times" w:cs="Arial"/>
        </w:rPr>
      </w:pPr>
    </w:p>
    <w:p w14:paraId="0FB94A99" w14:textId="77777777" w:rsidR="00812859" w:rsidRPr="000E50F1" w:rsidRDefault="00812859" w:rsidP="00812859">
      <w:pPr>
        <w:pStyle w:val="NormalWeb"/>
        <w:spacing w:before="0" w:beforeAutospacing="0" w:after="0" w:afterAutospacing="0"/>
        <w:ind w:left="567" w:hanging="567"/>
        <w:rPr>
          <w:rFonts w:ascii="Times" w:hAnsi="Times" w:cs="Arial"/>
        </w:rPr>
      </w:pPr>
      <w:r w:rsidRPr="000E50F1">
        <w:rPr>
          <w:rFonts w:ascii="Times" w:hAnsi="Times" w:cs="Arial"/>
        </w:rPr>
        <w:t>Singh, N. N., McKay, J. D., &amp; Singh, A. N. (1999). The need for cultural brokers in mental health services.</w:t>
      </w:r>
      <w:r w:rsidRPr="000E50F1">
        <w:rPr>
          <w:rFonts w:ascii="Times" w:hAnsi="Times"/>
        </w:rPr>
        <w:t> </w:t>
      </w:r>
      <w:r w:rsidRPr="000E50F1">
        <w:rPr>
          <w:rFonts w:ascii="Times" w:hAnsi="Times" w:cs="Arial"/>
          <w:i/>
          <w:iCs/>
        </w:rPr>
        <w:t>Journal of Child and Family Studies,</w:t>
      </w:r>
      <w:r w:rsidRPr="000E50F1">
        <w:rPr>
          <w:rFonts w:ascii="Times" w:hAnsi="Times"/>
          <w:i/>
          <w:iCs/>
        </w:rPr>
        <w:t> </w:t>
      </w:r>
      <w:r w:rsidRPr="000E50F1">
        <w:rPr>
          <w:rFonts w:ascii="Times" w:hAnsi="Times" w:cs="Arial"/>
          <w:i/>
          <w:iCs/>
        </w:rPr>
        <w:t>8</w:t>
      </w:r>
      <w:r w:rsidRPr="000E50F1">
        <w:rPr>
          <w:rFonts w:ascii="Times" w:hAnsi="Times" w:cs="Arial"/>
        </w:rPr>
        <w:t>(1), 1.</w:t>
      </w:r>
    </w:p>
    <w:p w14:paraId="3E6FC7EC" w14:textId="77777777" w:rsidR="00A676D7" w:rsidRPr="000E50F1" w:rsidRDefault="00294E2D" w:rsidP="00A676D7">
      <w:pPr>
        <w:spacing w:before="100" w:beforeAutospacing="1" w:after="100" w:afterAutospacing="1"/>
        <w:ind w:left="567" w:hanging="567"/>
        <w:rPr>
          <w:rFonts w:ascii="Times" w:hAnsi="Times"/>
        </w:rPr>
      </w:pPr>
      <w:r w:rsidRPr="000E50F1">
        <w:rPr>
          <w:rFonts w:ascii="Times" w:hAnsi="Times"/>
        </w:rPr>
        <w:t xml:space="preserve">Statistics Canada. </w:t>
      </w:r>
      <w:r w:rsidR="00A676D7" w:rsidRPr="000E50F1">
        <w:rPr>
          <w:rFonts w:ascii="Times" w:hAnsi="Times"/>
        </w:rPr>
        <w:t xml:space="preserve">2016. </w:t>
      </w:r>
      <w:r w:rsidRPr="000E50F1">
        <w:rPr>
          <w:rFonts w:ascii="Times" w:hAnsi="Times"/>
        </w:rPr>
        <w:t>Census Profile, 2016 Census. Hamilton, Census division [Census division], Ontario and Ontario [Province]. https://www12.statcan.gc.ca/census</w:t>
      </w:r>
      <w:r w:rsidRPr="000E50F1">
        <w:rPr>
          <w:rFonts w:ascii="Cambria Math" w:hAnsi="Cambria Math" w:cs="Cambria Math"/>
        </w:rPr>
        <w:t>‐</w:t>
      </w:r>
      <w:r w:rsidRPr="000E50F1">
        <w:rPr>
          <w:rFonts w:ascii="Times" w:hAnsi="Times"/>
        </w:rPr>
        <w:t>recensement/2016/dp</w:t>
      </w:r>
      <w:r w:rsidRPr="000E50F1">
        <w:rPr>
          <w:rFonts w:ascii="Cambria Math" w:hAnsi="Cambria Math" w:cs="Cambria Math"/>
        </w:rPr>
        <w:t>‐</w:t>
      </w:r>
      <w:r w:rsidRPr="000E50F1">
        <w:rPr>
          <w:rFonts w:ascii="Times" w:hAnsi="Times"/>
        </w:rPr>
        <w:t xml:space="preserve"> pd/prof/details/page.cfm?Lang=E&amp;Geo1=CD&amp;Code1=3525&amp; Geo2=PR&amp;Code2=35&amp;Data=Count&amp;SearchText=hamilton&amp; SearchType=Begins&amp;SearchPR=01&amp;B1=All&amp;TABID=1 </w:t>
      </w:r>
    </w:p>
    <w:p w14:paraId="1C1D5B73" w14:textId="1808356D" w:rsidR="00812859" w:rsidRPr="000E50F1" w:rsidRDefault="00812859" w:rsidP="00812859">
      <w:pPr>
        <w:ind w:left="567" w:hanging="567"/>
        <w:rPr>
          <w:rStyle w:val="authors"/>
          <w:rFonts w:ascii="Times" w:eastAsiaTheme="minorHAnsi" w:hAnsi="Times" w:cs="Arial"/>
        </w:rPr>
      </w:pPr>
      <w:r w:rsidRPr="000E50F1">
        <w:rPr>
          <w:rStyle w:val="authors"/>
          <w:rFonts w:ascii="Times" w:eastAsiaTheme="minorHAnsi" w:hAnsi="Times"/>
        </w:rPr>
        <w:lastRenderedPageBreak/>
        <w:t>Steel, Z., Chey, T., Silove, D., Marnane, C., Bryant, R. A., &amp; Van Ommeren, M. (2009). Association of torture and other potentially traumatic events with mental health outcomes among populations exposed to mass conflict and displacement: a systematic review and meta-analysis. Journal of the American Medical Association, 302(5), 537-549.</w:t>
      </w:r>
    </w:p>
    <w:p w14:paraId="2D4A0FF0" w14:textId="77777777" w:rsidR="00812859" w:rsidRPr="000E50F1" w:rsidRDefault="00812859" w:rsidP="00812859">
      <w:pPr>
        <w:ind w:left="567" w:hanging="567"/>
        <w:rPr>
          <w:rStyle w:val="authors"/>
          <w:rFonts w:ascii="Times" w:eastAsiaTheme="minorHAnsi" w:hAnsi="Times" w:cs="Arial"/>
        </w:rPr>
      </w:pPr>
    </w:p>
    <w:p w14:paraId="3F880760" w14:textId="77777777" w:rsidR="00DB0E27" w:rsidRPr="000E50F1" w:rsidRDefault="00DB0E27" w:rsidP="00DB0E27">
      <w:pPr>
        <w:ind w:left="567" w:hanging="567"/>
        <w:rPr>
          <w:shd w:val="clear" w:color="auto" w:fill="FFFFFF"/>
        </w:rPr>
      </w:pPr>
      <w:r w:rsidRPr="000E50F1">
        <w:rPr>
          <w:shd w:val="clear" w:color="auto" w:fill="FFFFFF"/>
        </w:rPr>
        <w:t xml:space="preserve">Thrive Child and Youth Trauma Service. (2016). </w:t>
      </w:r>
      <w:r w:rsidRPr="000E50F1">
        <w:rPr>
          <w:i/>
          <w:iCs/>
          <w:shd w:val="clear" w:color="auto" w:fill="FFFFFF"/>
        </w:rPr>
        <w:t>Outreach, Assessment, &amp; Specialized Intervention Services (OASIS) Program</w:t>
      </w:r>
      <w:r w:rsidRPr="000E50F1">
        <w:rPr>
          <w:shd w:val="clear" w:color="auto" w:fill="FFFFFF"/>
        </w:rPr>
        <w:t>. https://thrivechildandyouth.ca/programs-services/oasis-program.html</w:t>
      </w:r>
    </w:p>
    <w:p w14:paraId="06553003" w14:textId="77777777" w:rsidR="00DB0E27" w:rsidRPr="000E50F1" w:rsidRDefault="00DB0E27" w:rsidP="00812859">
      <w:pPr>
        <w:ind w:left="567" w:hanging="567"/>
        <w:rPr>
          <w:rStyle w:val="authors"/>
          <w:rFonts w:ascii="Times" w:eastAsiaTheme="minorHAnsi" w:hAnsi="Times"/>
        </w:rPr>
      </w:pPr>
    </w:p>
    <w:p w14:paraId="0D5236C5" w14:textId="608FC3BE" w:rsidR="00812859" w:rsidRPr="000E50F1" w:rsidRDefault="00812859" w:rsidP="00812859">
      <w:pPr>
        <w:ind w:left="567" w:hanging="567"/>
        <w:rPr>
          <w:rStyle w:val="authors"/>
          <w:rFonts w:ascii="Times" w:eastAsiaTheme="minorHAnsi" w:hAnsi="Times"/>
        </w:rPr>
      </w:pPr>
      <w:r w:rsidRPr="000E50F1">
        <w:rPr>
          <w:rStyle w:val="authors"/>
          <w:rFonts w:ascii="Times" w:eastAsiaTheme="minorHAnsi" w:hAnsi="Times"/>
        </w:rPr>
        <w:t>Thomson, M. S., Chaze, F., George, U., &amp; Guruge, S. (2015). Improving immigrant populations’ access to mental health services in Canada: a review of barriers and recommendations. Journal of immigrant and minority health, 17(6), 1895-1905.</w:t>
      </w:r>
    </w:p>
    <w:p w14:paraId="260BC91B" w14:textId="77777777" w:rsidR="00812859" w:rsidRPr="000E50F1" w:rsidRDefault="00812859" w:rsidP="00812859">
      <w:pPr>
        <w:rPr>
          <w:rFonts w:ascii="Times" w:hAnsi="Times"/>
        </w:rPr>
      </w:pPr>
    </w:p>
    <w:p w14:paraId="2D2EEAB9" w14:textId="77777777" w:rsidR="00812859" w:rsidRPr="000E50F1" w:rsidRDefault="00812859" w:rsidP="00812859">
      <w:pPr>
        <w:ind w:left="567" w:hanging="567"/>
        <w:rPr>
          <w:rFonts w:ascii="Times" w:hAnsi="Times" w:cs="Arial"/>
          <w:bCs/>
        </w:rPr>
      </w:pPr>
      <w:r w:rsidRPr="000E50F1">
        <w:rPr>
          <w:rFonts w:ascii="Times" w:hAnsi="Times" w:cs="Arial"/>
          <w:bCs/>
        </w:rPr>
        <w:t>Weare, K., &amp; Nind, M. (2011). Mental health promotion and problem prevention in schools: what does the evidence say?</w:t>
      </w:r>
      <w:r w:rsidRPr="000E50F1">
        <w:rPr>
          <w:rFonts w:ascii="Times" w:hAnsi="Times"/>
          <w:bCs/>
        </w:rPr>
        <w:t> </w:t>
      </w:r>
      <w:r w:rsidRPr="000E50F1">
        <w:rPr>
          <w:rFonts w:ascii="Times" w:hAnsi="Times" w:cs="Arial"/>
          <w:bCs/>
          <w:i/>
          <w:iCs/>
        </w:rPr>
        <w:t>Health Promotion International</w:t>
      </w:r>
      <w:r w:rsidRPr="000E50F1">
        <w:rPr>
          <w:rFonts w:ascii="Times" w:hAnsi="Times" w:cs="Arial"/>
          <w:bCs/>
        </w:rPr>
        <w:t>,</w:t>
      </w:r>
      <w:r w:rsidRPr="000E50F1">
        <w:rPr>
          <w:rFonts w:ascii="Times" w:hAnsi="Times"/>
          <w:bCs/>
        </w:rPr>
        <w:t> </w:t>
      </w:r>
      <w:r w:rsidRPr="000E50F1">
        <w:rPr>
          <w:rFonts w:ascii="Times" w:hAnsi="Times" w:cs="Arial"/>
          <w:bCs/>
        </w:rPr>
        <w:t>26(suppl_1), i29-i69.</w:t>
      </w:r>
    </w:p>
    <w:p w14:paraId="7BEF93D8" w14:textId="77777777" w:rsidR="00812859" w:rsidRPr="000E50F1" w:rsidRDefault="00812859" w:rsidP="00812859">
      <w:pPr>
        <w:rPr>
          <w:rFonts w:ascii="Times" w:hAnsi="Times"/>
        </w:rPr>
      </w:pPr>
    </w:p>
    <w:p w14:paraId="3107C11A" w14:textId="18599F00" w:rsidR="00812859" w:rsidRPr="000E50F1" w:rsidRDefault="00812859" w:rsidP="00812859">
      <w:pPr>
        <w:ind w:left="567" w:hanging="567"/>
        <w:rPr>
          <w:rFonts w:ascii="Times" w:hAnsi="Times" w:cs="Arial"/>
          <w:shd w:val="clear" w:color="auto" w:fill="FFFFFF"/>
        </w:rPr>
      </w:pPr>
      <w:r w:rsidRPr="000E50F1">
        <w:rPr>
          <w:rFonts w:ascii="Times" w:hAnsi="Times" w:cs="Arial"/>
          <w:shd w:val="clear" w:color="auto" w:fill="FFFFFF"/>
        </w:rPr>
        <w:t xml:space="preserve">Whitley, R., Rousseau, C., Carpenter-Song, E., </w:t>
      </w:r>
      <w:r w:rsidR="00D036F8" w:rsidRPr="000E50F1">
        <w:rPr>
          <w:rFonts w:ascii="Times" w:hAnsi="Times" w:cs="Arial"/>
          <w:shd w:val="clear" w:color="auto" w:fill="FFFFFF"/>
        </w:rPr>
        <w:t>&amp;</w:t>
      </w:r>
      <w:r w:rsidRPr="000E50F1">
        <w:rPr>
          <w:rFonts w:ascii="Times" w:hAnsi="Times" w:cs="Arial"/>
          <w:shd w:val="clear" w:color="auto" w:fill="FFFFFF"/>
        </w:rPr>
        <w:t xml:space="preserve"> Kirmayer, L. J. (2011). Evidence-based medicine: Opportunities and challenges in a diverse society.</w:t>
      </w:r>
      <w:r w:rsidRPr="000E50F1">
        <w:rPr>
          <w:rFonts w:ascii="Times" w:hAnsi="Times" w:cs="Arial"/>
        </w:rPr>
        <w:t> </w:t>
      </w:r>
      <w:r w:rsidRPr="000E50F1">
        <w:rPr>
          <w:rFonts w:ascii="Times" w:hAnsi="Times" w:cs="Arial"/>
          <w:shd w:val="clear" w:color="auto" w:fill="FFFFFF"/>
        </w:rPr>
        <w:t>The Canadian Journal of Psychiatry,</w:t>
      </w:r>
      <w:r w:rsidRPr="000E50F1">
        <w:rPr>
          <w:rFonts w:ascii="Times" w:hAnsi="Times" w:cs="Arial"/>
        </w:rPr>
        <w:t> </w:t>
      </w:r>
      <w:r w:rsidRPr="000E50F1">
        <w:rPr>
          <w:rFonts w:ascii="Times" w:hAnsi="Times" w:cs="Arial"/>
          <w:shd w:val="clear" w:color="auto" w:fill="FFFFFF"/>
        </w:rPr>
        <w:t>56(9), 514-522.</w:t>
      </w:r>
    </w:p>
    <w:p w14:paraId="1187D133" w14:textId="77777777" w:rsidR="00812859" w:rsidRPr="000E50F1" w:rsidRDefault="00812859" w:rsidP="00812859">
      <w:pPr>
        <w:ind w:left="567" w:hanging="567"/>
        <w:rPr>
          <w:rFonts w:ascii="Times" w:hAnsi="Times" w:cs="Arial"/>
        </w:rPr>
      </w:pPr>
    </w:p>
    <w:p w14:paraId="22714155" w14:textId="77777777" w:rsidR="00812859" w:rsidRPr="000E50F1" w:rsidRDefault="00812859" w:rsidP="00812859">
      <w:pPr>
        <w:ind w:left="567" w:hanging="567"/>
        <w:rPr>
          <w:rFonts w:ascii="Times" w:hAnsi="Times" w:cs="Arial"/>
        </w:rPr>
      </w:pPr>
      <w:r w:rsidRPr="000E50F1">
        <w:rPr>
          <w:rFonts w:ascii="Times" w:hAnsi="Times" w:cs="Arial"/>
        </w:rPr>
        <w:t>Wood, J., &amp; Newbold, K. B. (2012). Provider perspectives on barriers and strategies for achieving culturally sensitive mental health services for immigrants: A Hamilton, Ontario case study.</w:t>
      </w:r>
      <w:r w:rsidRPr="000E50F1">
        <w:rPr>
          <w:rFonts w:ascii="Times" w:hAnsi="Times"/>
        </w:rPr>
        <w:t> </w:t>
      </w:r>
      <w:r w:rsidRPr="000E50F1">
        <w:rPr>
          <w:rFonts w:ascii="Times" w:hAnsi="Times" w:cs="Arial"/>
          <w:i/>
          <w:iCs/>
        </w:rPr>
        <w:t>Journal of International Migration and Integration,</w:t>
      </w:r>
      <w:r w:rsidRPr="000E50F1">
        <w:rPr>
          <w:rFonts w:ascii="Times" w:hAnsi="Times"/>
          <w:i/>
          <w:iCs/>
        </w:rPr>
        <w:t> </w:t>
      </w:r>
      <w:r w:rsidRPr="000E50F1">
        <w:rPr>
          <w:rFonts w:ascii="Times" w:hAnsi="Times" w:cs="Arial"/>
          <w:i/>
          <w:iCs/>
        </w:rPr>
        <w:t>13</w:t>
      </w:r>
      <w:r w:rsidRPr="000E50F1">
        <w:rPr>
          <w:rFonts w:ascii="Times" w:hAnsi="Times" w:cs="Arial"/>
        </w:rPr>
        <w:t>(3), 383-397.</w:t>
      </w:r>
    </w:p>
    <w:p w14:paraId="6DE42F5F" w14:textId="77777777" w:rsidR="00812859" w:rsidRPr="000E50F1" w:rsidRDefault="00812859" w:rsidP="00812859">
      <w:pPr>
        <w:ind w:left="567" w:hanging="567"/>
        <w:rPr>
          <w:rFonts w:ascii="Times" w:hAnsi="Times" w:cs="Arial"/>
          <w:bCs/>
        </w:rPr>
      </w:pPr>
    </w:p>
    <w:p w14:paraId="65FA3304" w14:textId="77777777" w:rsidR="00812859" w:rsidRPr="000E50F1" w:rsidRDefault="00812859" w:rsidP="00812859">
      <w:pPr>
        <w:ind w:left="567" w:hanging="567"/>
        <w:rPr>
          <w:rFonts w:ascii="Times" w:hAnsi="Times" w:cs="Arial"/>
          <w:bCs/>
        </w:rPr>
      </w:pPr>
      <w:r w:rsidRPr="000E50F1">
        <w:rPr>
          <w:rFonts w:ascii="Times" w:hAnsi="Times" w:cs="Arial"/>
          <w:bCs/>
        </w:rPr>
        <w:t xml:space="preserve">World Health Organization. (2019). Child and adolescent mental health. Accessed online: </w:t>
      </w:r>
      <w:hyperlink r:id="rId49" w:history="1">
        <w:r w:rsidRPr="000E50F1">
          <w:rPr>
            <w:rFonts w:ascii="Times" w:hAnsi="Times" w:cs="Arial"/>
            <w:bCs/>
          </w:rPr>
          <w:t>https://www.who.int/mental_health/maternal-child/child_adolescent/en/</w:t>
        </w:r>
      </w:hyperlink>
    </w:p>
    <w:p w14:paraId="4A8402AF" w14:textId="77777777" w:rsidR="00812859" w:rsidRPr="000E50F1" w:rsidRDefault="00812859" w:rsidP="00812859">
      <w:pPr>
        <w:rPr>
          <w:rFonts w:ascii="Times" w:hAnsi="Times"/>
        </w:rPr>
      </w:pPr>
    </w:p>
    <w:p w14:paraId="4567D26F" w14:textId="77777777" w:rsidR="00812859" w:rsidRPr="000E50F1" w:rsidRDefault="00812859" w:rsidP="00812859">
      <w:pPr>
        <w:ind w:left="567" w:hanging="567"/>
        <w:rPr>
          <w:rFonts w:ascii="Times" w:hAnsi="Times" w:cs="Arial"/>
        </w:rPr>
      </w:pPr>
      <w:r w:rsidRPr="000E50F1">
        <w:rPr>
          <w:rFonts w:ascii="Times" w:hAnsi="Times" w:cs="Arial"/>
          <w:shd w:val="clear" w:color="auto" w:fill="FFFFFF"/>
        </w:rPr>
        <w:t>Yang, L. H., Kleinman, A., Link, B. G., Phelan, J. C., Lee, S., &amp; Good, B. (2007). Culture and stigma: Adding moral experience to stigma theory.</w:t>
      </w:r>
      <w:r w:rsidRPr="000E50F1">
        <w:rPr>
          <w:rStyle w:val="apple-converted-space"/>
          <w:rFonts w:ascii="Times" w:hAnsi="Times" w:cs="Arial"/>
          <w:shd w:val="clear" w:color="auto" w:fill="FFFFFF"/>
        </w:rPr>
        <w:t> </w:t>
      </w:r>
      <w:r w:rsidRPr="000E50F1">
        <w:rPr>
          <w:rFonts w:ascii="Times" w:hAnsi="Times" w:cs="Arial"/>
          <w:i/>
          <w:iCs/>
        </w:rPr>
        <w:t>Social science &amp; medicine</w:t>
      </w:r>
      <w:r w:rsidRPr="000E50F1">
        <w:rPr>
          <w:rFonts w:ascii="Times" w:hAnsi="Times" w:cs="Arial"/>
          <w:shd w:val="clear" w:color="auto" w:fill="FFFFFF"/>
        </w:rPr>
        <w:t>,</w:t>
      </w:r>
      <w:r w:rsidRPr="000E50F1">
        <w:rPr>
          <w:rStyle w:val="apple-converted-space"/>
          <w:rFonts w:ascii="Times" w:hAnsi="Times" w:cs="Arial"/>
          <w:shd w:val="clear" w:color="auto" w:fill="FFFFFF"/>
        </w:rPr>
        <w:t> </w:t>
      </w:r>
      <w:r w:rsidRPr="000E50F1">
        <w:rPr>
          <w:rFonts w:ascii="Times" w:hAnsi="Times" w:cs="Arial"/>
          <w:i/>
          <w:iCs/>
        </w:rPr>
        <w:t>64</w:t>
      </w:r>
      <w:r w:rsidRPr="000E50F1">
        <w:rPr>
          <w:rFonts w:ascii="Times" w:hAnsi="Times" w:cs="Arial"/>
          <w:shd w:val="clear" w:color="auto" w:fill="FFFFFF"/>
        </w:rPr>
        <w:t>(7), 1524-1535.</w:t>
      </w:r>
    </w:p>
    <w:p w14:paraId="3B00C484" w14:textId="77777777" w:rsidR="00812859" w:rsidRPr="000E50F1" w:rsidRDefault="00812859" w:rsidP="00812859">
      <w:pPr>
        <w:ind w:left="567" w:hanging="567"/>
        <w:rPr>
          <w:rFonts w:ascii="Times" w:hAnsi="Times" w:cs="Arial"/>
          <w:shd w:val="clear" w:color="auto" w:fill="FFFFFF"/>
        </w:rPr>
      </w:pPr>
    </w:p>
    <w:p w14:paraId="277FCDC7" w14:textId="77777777" w:rsidR="00812859" w:rsidRPr="000E50F1" w:rsidRDefault="00812859" w:rsidP="003A29C1">
      <w:pPr>
        <w:ind w:left="567" w:hanging="567"/>
        <w:rPr>
          <w:rFonts w:ascii="Times" w:hAnsi="Times" w:cs="Arial"/>
          <w:shd w:val="clear" w:color="auto" w:fill="FFFFFF"/>
        </w:rPr>
      </w:pPr>
      <w:r w:rsidRPr="000E50F1">
        <w:rPr>
          <w:rFonts w:ascii="Times" w:hAnsi="Times" w:cs="Arial"/>
          <w:shd w:val="clear" w:color="auto" w:fill="FFFFFF"/>
        </w:rPr>
        <w:t>Yeh, C., &amp; Inose, M. (2002). Difficulties and coping strategies of Chinese, Japanese, and Korean immigrant students.</w:t>
      </w:r>
      <w:r w:rsidRPr="000E50F1">
        <w:rPr>
          <w:rStyle w:val="apple-converted-space"/>
          <w:rFonts w:ascii="Times" w:hAnsi="Times" w:cs="Arial"/>
          <w:shd w:val="clear" w:color="auto" w:fill="FFFFFF"/>
        </w:rPr>
        <w:t> </w:t>
      </w:r>
      <w:r w:rsidRPr="000E50F1">
        <w:rPr>
          <w:rFonts w:ascii="Times" w:hAnsi="Times" w:cs="Arial"/>
          <w:i/>
          <w:iCs/>
        </w:rPr>
        <w:t>Adolescence</w:t>
      </w:r>
      <w:r w:rsidRPr="000E50F1">
        <w:rPr>
          <w:rFonts w:ascii="Times" w:hAnsi="Times" w:cs="Arial"/>
          <w:shd w:val="clear" w:color="auto" w:fill="FFFFFF"/>
        </w:rPr>
        <w:t>,</w:t>
      </w:r>
      <w:r w:rsidRPr="000E50F1">
        <w:rPr>
          <w:rStyle w:val="apple-converted-space"/>
          <w:rFonts w:ascii="Times" w:hAnsi="Times" w:cs="Arial"/>
          <w:shd w:val="clear" w:color="auto" w:fill="FFFFFF"/>
        </w:rPr>
        <w:t> </w:t>
      </w:r>
      <w:r w:rsidRPr="000E50F1">
        <w:rPr>
          <w:rFonts w:ascii="Times" w:hAnsi="Times" w:cs="Arial"/>
          <w:i/>
          <w:iCs/>
        </w:rPr>
        <w:t>37</w:t>
      </w:r>
      <w:r w:rsidRPr="000E50F1">
        <w:rPr>
          <w:rFonts w:ascii="Times" w:hAnsi="Times" w:cs="Arial"/>
          <w:shd w:val="clear" w:color="auto" w:fill="FFFFFF"/>
        </w:rPr>
        <w:t>(145), 69.</w:t>
      </w:r>
    </w:p>
    <w:p w14:paraId="447ED2BB" w14:textId="77777777" w:rsidR="00812859" w:rsidRPr="000E50F1" w:rsidRDefault="00812859" w:rsidP="003A29C1">
      <w:pPr>
        <w:pStyle w:val="NormalWeb"/>
        <w:spacing w:before="0" w:beforeAutospacing="0" w:after="0" w:afterAutospacing="0"/>
        <w:ind w:left="567" w:hanging="567"/>
        <w:rPr>
          <w:rFonts w:ascii="Times" w:hAnsi="Times" w:cs="Arial"/>
          <w:shd w:val="clear" w:color="auto" w:fill="FFFFFF"/>
        </w:rPr>
      </w:pPr>
    </w:p>
    <w:p w14:paraId="5D0F3D74" w14:textId="77777777" w:rsidR="00812859" w:rsidRPr="000E50F1" w:rsidRDefault="00812859" w:rsidP="00812859">
      <w:pPr>
        <w:rPr>
          <w:rFonts w:ascii="Times" w:hAnsi="Times" w:cs="Arial"/>
          <w:bCs/>
        </w:rPr>
      </w:pPr>
    </w:p>
    <w:p w14:paraId="2CB56DF9" w14:textId="77777777" w:rsidR="00812859" w:rsidRPr="000E50F1" w:rsidRDefault="00812859" w:rsidP="00812859">
      <w:pPr>
        <w:rPr>
          <w:rFonts w:ascii="Times" w:hAnsi="Times" w:cs="Arial"/>
          <w:bCs/>
        </w:rPr>
      </w:pPr>
    </w:p>
    <w:p w14:paraId="4748B356" w14:textId="77777777" w:rsidR="00812859" w:rsidRPr="000E50F1" w:rsidRDefault="00812859" w:rsidP="00812859">
      <w:pPr>
        <w:rPr>
          <w:rFonts w:ascii="Times" w:hAnsi="Times" w:cs="Arial"/>
          <w:bCs/>
        </w:rPr>
      </w:pPr>
    </w:p>
    <w:p w14:paraId="39855C2A" w14:textId="654D422C" w:rsidR="00CB57AC" w:rsidRPr="000E50F1" w:rsidRDefault="00CB57AC">
      <w:pPr>
        <w:rPr>
          <w:rFonts w:ascii="Times" w:eastAsia="Calibri" w:hAnsi="Times"/>
        </w:rPr>
      </w:pPr>
      <w:r w:rsidRPr="000E50F1">
        <w:rPr>
          <w:rFonts w:ascii="Times" w:eastAsia="Calibri" w:hAnsi="Times"/>
        </w:rPr>
        <w:br w:type="page"/>
      </w:r>
    </w:p>
    <w:p w14:paraId="3B477134" w14:textId="0B1864E2" w:rsidR="00567803" w:rsidRPr="000E50F1" w:rsidRDefault="00F734CB" w:rsidP="00327711">
      <w:pPr>
        <w:pStyle w:val="Heading1"/>
        <w:spacing w:before="0" w:line="240" w:lineRule="auto"/>
        <w:jc w:val="center"/>
        <w:rPr>
          <w:rFonts w:ascii="Times" w:eastAsia="Calibri" w:hAnsi="Times"/>
          <w:color w:val="auto"/>
          <w:sz w:val="24"/>
          <w:szCs w:val="24"/>
        </w:rPr>
      </w:pPr>
      <w:bookmarkStart w:id="32" w:name="_Toc60231900"/>
      <w:r w:rsidRPr="000E50F1">
        <w:rPr>
          <w:rFonts w:ascii="Times" w:eastAsia="Calibri" w:hAnsi="Times"/>
          <w:color w:val="auto"/>
          <w:sz w:val="24"/>
          <w:szCs w:val="24"/>
        </w:rPr>
        <w:lastRenderedPageBreak/>
        <w:t xml:space="preserve">CHAPTER FIVE: </w:t>
      </w:r>
      <w:r w:rsidR="008A74B6" w:rsidRPr="000E50F1">
        <w:rPr>
          <w:rFonts w:ascii="Times" w:eastAsia="Calibri" w:hAnsi="Times"/>
          <w:color w:val="auto"/>
          <w:sz w:val="24"/>
          <w:szCs w:val="24"/>
        </w:rPr>
        <w:t>CONCLUSION</w:t>
      </w:r>
      <w:bookmarkEnd w:id="32"/>
    </w:p>
    <w:p w14:paraId="66452761" w14:textId="77777777" w:rsidR="00FD2E31" w:rsidRPr="000E50F1" w:rsidRDefault="00FD2E31" w:rsidP="00FD2E31">
      <w:pPr>
        <w:rPr>
          <w:rFonts w:ascii="Times" w:eastAsia="Calibri" w:hAnsi="Times"/>
          <w:lang w:val="en-US"/>
        </w:rPr>
      </w:pPr>
    </w:p>
    <w:p w14:paraId="722FDAEF" w14:textId="77777777" w:rsidR="00810605" w:rsidRPr="000E50F1" w:rsidRDefault="00810605" w:rsidP="00A3221E">
      <w:pPr>
        <w:rPr>
          <w:rFonts w:ascii="Times" w:hAnsi="Times"/>
          <w:spacing w:val="-5"/>
        </w:rPr>
      </w:pPr>
    </w:p>
    <w:p w14:paraId="5ABE902E" w14:textId="7CA38F38" w:rsidR="00AB5A97" w:rsidRPr="000E50F1" w:rsidRDefault="004B3934" w:rsidP="004B3934">
      <w:pPr>
        <w:ind w:right="4"/>
        <w:rPr>
          <w:rFonts w:ascii="Times" w:hAnsi="Times" w:cs="Arial"/>
        </w:rPr>
      </w:pPr>
      <w:r w:rsidRPr="000E50F1">
        <w:rPr>
          <w:rFonts w:ascii="Times" w:hAnsi="Times"/>
          <w:spacing w:val="-5"/>
        </w:rPr>
        <w:t>In t</w:t>
      </w:r>
      <w:r w:rsidR="00AB5A97" w:rsidRPr="000E50F1">
        <w:rPr>
          <w:rFonts w:ascii="Times" w:hAnsi="Times"/>
          <w:spacing w:val="-5"/>
        </w:rPr>
        <w:t>his doctoral research</w:t>
      </w:r>
      <w:r w:rsidR="00B17566" w:rsidRPr="000E50F1">
        <w:rPr>
          <w:rFonts w:ascii="Times" w:hAnsi="Times"/>
          <w:spacing w:val="-5"/>
        </w:rPr>
        <w:t xml:space="preserve">, I </w:t>
      </w:r>
      <w:r w:rsidR="00AB5A97" w:rsidRPr="000E50F1">
        <w:rPr>
          <w:rFonts w:ascii="Times" w:hAnsi="Times"/>
          <w:spacing w:val="-5"/>
        </w:rPr>
        <w:t xml:space="preserve">set out to </w:t>
      </w:r>
      <w:r w:rsidR="0014369A" w:rsidRPr="000E50F1">
        <w:rPr>
          <w:rFonts w:ascii="Times" w:hAnsi="Times"/>
          <w:spacing w:val="-5"/>
        </w:rPr>
        <w:t xml:space="preserve">understand </w:t>
      </w:r>
      <w:r w:rsidR="0014369A" w:rsidRPr="000E50F1">
        <w:rPr>
          <w:rFonts w:ascii="Times" w:hAnsi="Times"/>
          <w:spacing w:val="-5"/>
          <w:lang w:val="en-US"/>
        </w:rPr>
        <w:t xml:space="preserve">the changing context of immigration, settlement and integration in our contemporary society by </w:t>
      </w:r>
      <w:r w:rsidR="00810605" w:rsidRPr="000E50F1">
        <w:rPr>
          <w:rFonts w:ascii="Times" w:hAnsi="Times"/>
        </w:rPr>
        <w:t>investigat</w:t>
      </w:r>
      <w:r w:rsidR="0014369A" w:rsidRPr="000E50F1">
        <w:rPr>
          <w:rFonts w:ascii="Times" w:hAnsi="Times"/>
        </w:rPr>
        <w:t xml:space="preserve">ing </w:t>
      </w:r>
      <w:r w:rsidR="00810605" w:rsidRPr="000E50F1">
        <w:rPr>
          <w:rFonts w:ascii="Times" w:hAnsi="Times"/>
        </w:rPr>
        <w:t>the migrat</w:t>
      </w:r>
      <w:r w:rsidR="00842176" w:rsidRPr="000E50F1">
        <w:rPr>
          <w:rFonts w:ascii="Times" w:hAnsi="Times"/>
        </w:rPr>
        <w:t>ion</w:t>
      </w:r>
      <w:r w:rsidR="00810605" w:rsidRPr="000E50F1">
        <w:rPr>
          <w:rFonts w:ascii="Times" w:hAnsi="Times"/>
        </w:rPr>
        <w:t xml:space="preserve"> trajectory of three groups of newcomers to Canada with varying group risks </w:t>
      </w:r>
      <w:r w:rsidR="0014369A" w:rsidRPr="000E50F1">
        <w:rPr>
          <w:rFonts w:ascii="Times" w:hAnsi="Times"/>
        </w:rPr>
        <w:t xml:space="preserve">and </w:t>
      </w:r>
      <w:r w:rsidR="00810605" w:rsidRPr="000E50F1">
        <w:rPr>
          <w:rFonts w:ascii="Times" w:hAnsi="Times" w:cs="Arial"/>
        </w:rPr>
        <w:t>vulnerabilities</w:t>
      </w:r>
      <w:r w:rsidR="00810605" w:rsidRPr="000E50F1">
        <w:rPr>
          <w:rFonts w:ascii="Times" w:hAnsi="Times"/>
        </w:rPr>
        <w:t xml:space="preserve">. </w:t>
      </w:r>
      <w:r w:rsidR="0014369A" w:rsidRPr="000E50F1">
        <w:rPr>
          <w:rFonts w:ascii="Times" w:hAnsi="Times"/>
        </w:rPr>
        <w:t xml:space="preserve">This thesis employed a </w:t>
      </w:r>
      <w:r w:rsidR="0014369A" w:rsidRPr="000E50F1">
        <w:rPr>
          <w:rFonts w:ascii="Times" w:hAnsi="Times"/>
          <w:lang w:val="en-US"/>
        </w:rPr>
        <w:t xml:space="preserve">geographical lens of ‘place’ to deepen understanding of </w:t>
      </w:r>
      <w:r w:rsidR="00B17566" w:rsidRPr="000E50F1">
        <w:rPr>
          <w:rFonts w:ascii="Times" w:hAnsi="Times"/>
          <w:lang w:val="en-US"/>
        </w:rPr>
        <w:t xml:space="preserve">these </w:t>
      </w:r>
      <w:r w:rsidR="0014369A" w:rsidRPr="000E50F1">
        <w:rPr>
          <w:rFonts w:ascii="Times" w:hAnsi="Times"/>
          <w:lang w:val="en-US"/>
        </w:rPr>
        <w:t>processes and outcomes</w:t>
      </w:r>
      <w:r w:rsidR="00B17566" w:rsidRPr="000E50F1">
        <w:rPr>
          <w:rFonts w:ascii="Times" w:hAnsi="Times"/>
          <w:lang w:val="en-US"/>
        </w:rPr>
        <w:t xml:space="preserve"> </w:t>
      </w:r>
      <w:r w:rsidR="0014369A" w:rsidRPr="000E50F1">
        <w:rPr>
          <w:rFonts w:ascii="Times" w:hAnsi="Times"/>
          <w:lang w:val="en-US"/>
        </w:rPr>
        <w:t xml:space="preserve">in </w:t>
      </w:r>
      <w:r w:rsidR="00B17566" w:rsidRPr="000E50F1">
        <w:rPr>
          <w:rFonts w:ascii="Times" w:hAnsi="Times"/>
          <w:lang w:val="en-US"/>
        </w:rPr>
        <w:t>one community setting</w:t>
      </w:r>
      <w:r w:rsidR="00BC118F" w:rsidRPr="000E50F1">
        <w:rPr>
          <w:spacing w:val="-5"/>
        </w:rPr>
        <w:t xml:space="preserve">. </w:t>
      </w:r>
      <w:r w:rsidRPr="000E50F1">
        <w:rPr>
          <w:rFonts w:ascii="Times" w:hAnsi="Times" w:cs="Arial"/>
        </w:rPr>
        <w:t>T</w:t>
      </w:r>
      <w:r w:rsidR="00AB5A97" w:rsidRPr="000E50F1">
        <w:rPr>
          <w:rFonts w:ascii="Times" w:hAnsi="Times" w:cs="Arial"/>
        </w:rPr>
        <w:t xml:space="preserve">hree unique studies undertaken from 2014 to 2017 were designed to explore patterns </w:t>
      </w:r>
      <w:r w:rsidR="00810605" w:rsidRPr="000E50F1">
        <w:rPr>
          <w:rFonts w:ascii="Times" w:hAnsi="Times" w:cs="Arial"/>
        </w:rPr>
        <w:t xml:space="preserve">of constraints </w:t>
      </w:r>
      <w:r w:rsidR="00AB5A97" w:rsidRPr="000E50F1">
        <w:rPr>
          <w:rFonts w:ascii="Times" w:hAnsi="Times" w:cs="Arial"/>
        </w:rPr>
        <w:t xml:space="preserve">and </w:t>
      </w:r>
      <w:r w:rsidR="00A25780" w:rsidRPr="000E50F1">
        <w:rPr>
          <w:rFonts w:ascii="Times" w:hAnsi="Times" w:cs="Arial"/>
        </w:rPr>
        <w:t xml:space="preserve">the interdependencies between people and place </w:t>
      </w:r>
      <w:r w:rsidR="00AB5A97" w:rsidRPr="000E50F1">
        <w:rPr>
          <w:rFonts w:ascii="Times" w:hAnsi="Times"/>
          <w:spacing w:val="-5"/>
        </w:rPr>
        <w:t>a</w:t>
      </w:r>
      <w:r w:rsidR="00AB5A97" w:rsidRPr="000E50F1">
        <w:rPr>
          <w:rFonts w:ascii="Times" w:hAnsi="Times" w:cs="Arial"/>
        </w:rPr>
        <w:t>cross spaces of interaction</w:t>
      </w:r>
      <w:r w:rsidR="005100D0" w:rsidRPr="000E50F1">
        <w:rPr>
          <w:rFonts w:ascii="Times" w:hAnsi="Times" w:cs="Arial"/>
        </w:rPr>
        <w:t>.</w:t>
      </w:r>
      <w:r w:rsidR="00AB5A97" w:rsidRPr="000E50F1">
        <w:rPr>
          <w:rFonts w:ascii="Times" w:hAnsi="Times" w:cs="Arial"/>
        </w:rPr>
        <w:t xml:space="preserve"> </w:t>
      </w:r>
      <w:r w:rsidR="00840033" w:rsidRPr="000E50F1">
        <w:rPr>
          <w:rFonts w:ascii="Times" w:hAnsi="Times" w:cs="Arial"/>
        </w:rPr>
        <w:t xml:space="preserve">As </w:t>
      </w:r>
      <w:r w:rsidR="00840033" w:rsidRPr="000E50F1">
        <w:rPr>
          <w:rFonts w:ascii="Times" w:hAnsi="Times"/>
          <w:lang w:val="en-US"/>
        </w:rPr>
        <w:t xml:space="preserve">I </w:t>
      </w:r>
      <w:r w:rsidR="0014369A" w:rsidRPr="000E50F1">
        <w:rPr>
          <w:rFonts w:ascii="Times" w:hAnsi="Times"/>
        </w:rPr>
        <w:t>respond</w:t>
      </w:r>
      <w:r w:rsidR="00840033" w:rsidRPr="000E50F1">
        <w:rPr>
          <w:rFonts w:ascii="Times" w:hAnsi="Times"/>
        </w:rPr>
        <w:t>ed</w:t>
      </w:r>
      <w:r w:rsidR="0014369A" w:rsidRPr="000E50F1">
        <w:rPr>
          <w:rFonts w:ascii="Times" w:hAnsi="Times"/>
        </w:rPr>
        <w:t xml:space="preserve"> to the</w:t>
      </w:r>
      <w:r w:rsidR="00842176" w:rsidRPr="000E50F1">
        <w:rPr>
          <w:rFonts w:ascii="Times" w:hAnsi="Times"/>
        </w:rPr>
        <w:t xml:space="preserve"> </w:t>
      </w:r>
      <w:r w:rsidR="00840033" w:rsidRPr="000E50F1">
        <w:rPr>
          <w:rFonts w:ascii="Times" w:hAnsi="Times"/>
        </w:rPr>
        <w:t xml:space="preserve">needs of my community in Hamilton, Ontario, </w:t>
      </w:r>
      <w:r w:rsidR="00840033" w:rsidRPr="000E50F1">
        <w:rPr>
          <w:rFonts w:ascii="Times" w:hAnsi="Times" w:cs="Arial"/>
        </w:rPr>
        <w:t xml:space="preserve">the studies undertaken reflect real-time </w:t>
      </w:r>
      <w:r w:rsidRPr="000E50F1">
        <w:rPr>
          <w:rFonts w:ascii="Times" w:hAnsi="Times" w:cs="Arial"/>
          <w:lang w:val="en-US"/>
        </w:rPr>
        <w:t xml:space="preserve">response to </w:t>
      </w:r>
      <w:r w:rsidR="00B778DD" w:rsidRPr="000E50F1">
        <w:rPr>
          <w:rFonts w:ascii="Times" w:hAnsi="Times" w:cs="Arial"/>
          <w:lang w:val="en-US"/>
        </w:rPr>
        <w:t>generate and support</w:t>
      </w:r>
      <w:r w:rsidRPr="000E50F1">
        <w:rPr>
          <w:rFonts w:ascii="Times" w:hAnsi="Times" w:cs="Arial"/>
          <w:lang w:val="en-US"/>
        </w:rPr>
        <w:t xml:space="preserve"> knowledge growth and local </w:t>
      </w:r>
      <w:r w:rsidR="00840033" w:rsidRPr="000E50F1">
        <w:rPr>
          <w:rFonts w:ascii="Times" w:hAnsi="Times" w:cs="Arial"/>
          <w:lang w:val="en-US"/>
        </w:rPr>
        <w:t>action (see Appendix B for more details on research method and reflexivity).</w:t>
      </w:r>
      <w:r w:rsidR="00840033" w:rsidRPr="000E50F1">
        <w:rPr>
          <w:rFonts w:ascii="Times" w:hAnsi="Times" w:cs="Arial"/>
        </w:rPr>
        <w:t xml:space="preserve"> </w:t>
      </w:r>
      <w:r w:rsidR="0029438C" w:rsidRPr="000E50F1">
        <w:rPr>
          <w:rFonts w:ascii="Times" w:hAnsi="Times"/>
        </w:rPr>
        <w:t>By</w:t>
      </w:r>
      <w:r w:rsidR="00840033" w:rsidRPr="000E50F1">
        <w:rPr>
          <w:rFonts w:ascii="Times" w:eastAsia="Calibri" w:hAnsi="Times"/>
        </w:rPr>
        <w:t xml:space="preserve"> </w:t>
      </w:r>
      <w:r w:rsidR="0029438C" w:rsidRPr="000E50F1">
        <w:rPr>
          <w:rFonts w:ascii="Times" w:eastAsia="Calibri" w:hAnsi="Times"/>
        </w:rPr>
        <w:t xml:space="preserve">positioning and </w:t>
      </w:r>
      <w:r w:rsidR="00840033" w:rsidRPr="000E50F1">
        <w:rPr>
          <w:rFonts w:ascii="Times" w:eastAsia="Calibri" w:hAnsi="Times"/>
        </w:rPr>
        <w:t>leveraging research</w:t>
      </w:r>
      <w:r w:rsidR="0029438C" w:rsidRPr="000E50F1">
        <w:rPr>
          <w:rFonts w:ascii="Times" w:eastAsia="Calibri" w:hAnsi="Times"/>
        </w:rPr>
        <w:t xml:space="preserve"> to be</w:t>
      </w:r>
      <w:r w:rsidR="00840033" w:rsidRPr="000E50F1">
        <w:rPr>
          <w:rFonts w:ascii="Times" w:eastAsia="Calibri" w:hAnsi="Times"/>
        </w:rPr>
        <w:t xml:space="preserve"> </w:t>
      </w:r>
      <w:r w:rsidR="0029438C" w:rsidRPr="000E50F1">
        <w:rPr>
          <w:rFonts w:ascii="Times" w:eastAsia="Calibri" w:hAnsi="Times"/>
        </w:rPr>
        <w:t xml:space="preserve">responsive </w:t>
      </w:r>
      <w:r w:rsidR="00840033" w:rsidRPr="000E50F1">
        <w:rPr>
          <w:rFonts w:ascii="Times" w:eastAsia="Calibri" w:hAnsi="Times"/>
        </w:rPr>
        <w:t xml:space="preserve">to the </w:t>
      </w:r>
      <w:r w:rsidR="005C52D8" w:rsidRPr="000E50F1">
        <w:rPr>
          <w:rFonts w:ascii="Times" w:eastAsia="Calibri" w:hAnsi="Times"/>
        </w:rPr>
        <w:t>evolving</w:t>
      </w:r>
      <w:r w:rsidR="00840033" w:rsidRPr="000E50F1">
        <w:rPr>
          <w:rFonts w:ascii="Times" w:eastAsia="Calibri" w:hAnsi="Times"/>
        </w:rPr>
        <w:t xml:space="preserve"> context of structures that impact newcomers</w:t>
      </w:r>
      <w:r w:rsidR="0029438C" w:rsidRPr="000E50F1">
        <w:rPr>
          <w:rFonts w:ascii="Times" w:hAnsi="Times" w:cs="Arial"/>
        </w:rPr>
        <w:t xml:space="preserve">, the </w:t>
      </w:r>
      <w:r w:rsidR="0029438C" w:rsidRPr="000E50F1">
        <w:rPr>
          <w:rFonts w:ascii="Times" w:hAnsi="Times"/>
        </w:rPr>
        <w:t xml:space="preserve">resulting </w:t>
      </w:r>
      <w:r w:rsidR="00840033" w:rsidRPr="000E50F1">
        <w:rPr>
          <w:rFonts w:ascii="Times" w:hAnsi="Times"/>
        </w:rPr>
        <w:t>implicit strength of this work is its success in illustrating three nuanced implications of immigration</w:t>
      </w:r>
      <w:r w:rsidR="00B20B6A" w:rsidRPr="000E50F1">
        <w:rPr>
          <w:rFonts w:ascii="Times" w:hAnsi="Times"/>
        </w:rPr>
        <w:t xml:space="preserve"> </w:t>
      </w:r>
      <w:r w:rsidR="00840033" w:rsidRPr="000E50F1">
        <w:rPr>
          <w:rFonts w:ascii="Times" w:hAnsi="Times"/>
        </w:rPr>
        <w:t>and settlement policies and programs.</w:t>
      </w:r>
      <w:r w:rsidR="0029438C" w:rsidRPr="000E50F1">
        <w:rPr>
          <w:rFonts w:ascii="Times" w:hAnsi="Times" w:cs="Arial"/>
        </w:rPr>
        <w:t xml:space="preserve"> Additionally</w:t>
      </w:r>
      <w:r w:rsidR="00BC118F" w:rsidRPr="000E50F1">
        <w:rPr>
          <w:rFonts w:ascii="Times" w:hAnsi="Times" w:cs="Arial"/>
        </w:rPr>
        <w:t xml:space="preserve">, this thesis </w:t>
      </w:r>
      <w:r w:rsidR="001E795B" w:rsidRPr="000E50F1">
        <w:rPr>
          <w:rFonts w:ascii="Times" w:hAnsi="Times" w:cs="Arial"/>
        </w:rPr>
        <w:t xml:space="preserve">recorded </w:t>
      </w:r>
      <w:r w:rsidR="00AB5A97" w:rsidRPr="000E50F1">
        <w:rPr>
          <w:rFonts w:ascii="Times" w:hAnsi="Times" w:cs="Arial"/>
        </w:rPr>
        <w:t>critical</w:t>
      </w:r>
      <w:r w:rsidR="005100D0" w:rsidRPr="000E50F1">
        <w:rPr>
          <w:rFonts w:ascii="Times" w:hAnsi="Times" w:cs="Arial"/>
        </w:rPr>
        <w:t xml:space="preserve"> </w:t>
      </w:r>
      <w:r w:rsidR="001E795B" w:rsidRPr="000E50F1">
        <w:rPr>
          <w:rFonts w:ascii="Times" w:hAnsi="Times" w:cs="Arial"/>
        </w:rPr>
        <w:t>moment</w:t>
      </w:r>
      <w:r w:rsidR="00BC118F" w:rsidRPr="000E50F1">
        <w:rPr>
          <w:rFonts w:ascii="Times" w:hAnsi="Times" w:cs="Arial"/>
        </w:rPr>
        <w:t>s</w:t>
      </w:r>
      <w:r w:rsidR="001E795B" w:rsidRPr="000E50F1">
        <w:rPr>
          <w:rFonts w:ascii="Times" w:hAnsi="Times" w:cs="Arial"/>
        </w:rPr>
        <w:t xml:space="preserve"> </w:t>
      </w:r>
      <w:r w:rsidR="00AB5A97" w:rsidRPr="000E50F1">
        <w:rPr>
          <w:rFonts w:ascii="Times" w:hAnsi="Times" w:cs="Arial"/>
        </w:rPr>
        <w:t>in Canada’s immigration history</w:t>
      </w:r>
      <w:r w:rsidR="001406DB" w:rsidRPr="000E50F1">
        <w:rPr>
          <w:rFonts w:ascii="Times" w:hAnsi="Times" w:cs="Arial"/>
        </w:rPr>
        <w:t xml:space="preserve">, connecting </w:t>
      </w:r>
      <w:r w:rsidR="00934313" w:rsidRPr="000E50F1">
        <w:rPr>
          <w:rFonts w:ascii="Times" w:hAnsi="Times" w:cs="Arial"/>
        </w:rPr>
        <w:t>structural</w:t>
      </w:r>
      <w:r w:rsidR="005C52D8" w:rsidRPr="000E50F1">
        <w:rPr>
          <w:rFonts w:ascii="Times" w:hAnsi="Times" w:cs="Arial"/>
        </w:rPr>
        <w:t xml:space="preserve"> </w:t>
      </w:r>
      <w:r w:rsidR="00934313" w:rsidRPr="000E50F1">
        <w:rPr>
          <w:rFonts w:ascii="Times" w:hAnsi="Times" w:cs="Arial"/>
        </w:rPr>
        <w:t>factors</w:t>
      </w:r>
      <w:r w:rsidR="001406DB" w:rsidRPr="000E50F1">
        <w:rPr>
          <w:rFonts w:ascii="Times" w:hAnsi="Times" w:cs="Arial"/>
        </w:rPr>
        <w:t xml:space="preserve"> </w:t>
      </w:r>
      <w:r w:rsidR="00F415DC" w:rsidRPr="000E50F1">
        <w:rPr>
          <w:rFonts w:ascii="Times" w:hAnsi="Times" w:cs="Arial"/>
        </w:rPr>
        <w:t>influencing</w:t>
      </w:r>
      <w:r w:rsidR="001406DB" w:rsidRPr="000E50F1">
        <w:rPr>
          <w:rFonts w:ascii="Times" w:hAnsi="Times" w:cs="Arial"/>
        </w:rPr>
        <w:t xml:space="preserve"> </w:t>
      </w:r>
      <w:r w:rsidR="00F415DC" w:rsidRPr="000E50F1">
        <w:rPr>
          <w:rFonts w:ascii="Times" w:hAnsi="Times" w:cs="Arial"/>
        </w:rPr>
        <w:t xml:space="preserve">immigration </w:t>
      </w:r>
      <w:r w:rsidR="005C52D8" w:rsidRPr="000E50F1">
        <w:rPr>
          <w:rFonts w:ascii="Times" w:hAnsi="Times" w:cs="Arial"/>
        </w:rPr>
        <w:t xml:space="preserve">policies and </w:t>
      </w:r>
      <w:r w:rsidR="00F415DC" w:rsidRPr="000E50F1">
        <w:rPr>
          <w:rFonts w:ascii="Times" w:hAnsi="Times" w:cs="Arial"/>
        </w:rPr>
        <w:t>outcome</w:t>
      </w:r>
      <w:r w:rsidR="005C52D8" w:rsidRPr="000E50F1">
        <w:rPr>
          <w:rFonts w:ascii="Times" w:hAnsi="Times" w:cs="Arial"/>
        </w:rPr>
        <w:t>s</w:t>
      </w:r>
      <w:r w:rsidR="00F415DC" w:rsidRPr="000E50F1">
        <w:rPr>
          <w:rFonts w:ascii="Times" w:hAnsi="Times" w:cs="Arial"/>
        </w:rPr>
        <w:t xml:space="preserve"> </w:t>
      </w:r>
      <w:r w:rsidR="001406DB" w:rsidRPr="000E50F1">
        <w:rPr>
          <w:rFonts w:ascii="Times" w:hAnsi="Times" w:cs="Arial"/>
        </w:rPr>
        <w:t xml:space="preserve">to the </w:t>
      </w:r>
      <w:r w:rsidR="00F415DC" w:rsidRPr="000E50F1">
        <w:rPr>
          <w:rFonts w:ascii="Times" w:hAnsi="Times" w:cs="Arial"/>
        </w:rPr>
        <w:t xml:space="preserve">tension and complexity </w:t>
      </w:r>
      <w:r w:rsidR="00F0325B" w:rsidRPr="000E50F1">
        <w:rPr>
          <w:rFonts w:ascii="Times" w:hAnsi="Times" w:cs="Arial"/>
        </w:rPr>
        <w:t>that unfolded</w:t>
      </w:r>
      <w:r w:rsidR="00B20B6A" w:rsidRPr="000E50F1">
        <w:rPr>
          <w:rFonts w:ascii="Times" w:hAnsi="Times" w:cs="Arial"/>
        </w:rPr>
        <w:t xml:space="preserve"> </w:t>
      </w:r>
      <w:r w:rsidR="00F415DC" w:rsidRPr="000E50F1">
        <w:rPr>
          <w:rFonts w:ascii="Times" w:hAnsi="Times" w:cs="Arial"/>
        </w:rPr>
        <w:t>in the day</w:t>
      </w:r>
      <w:r w:rsidR="005C52D8" w:rsidRPr="000E50F1">
        <w:rPr>
          <w:rFonts w:ascii="Times" w:hAnsi="Times" w:cs="Arial"/>
        </w:rPr>
        <w:t>-</w:t>
      </w:r>
      <w:r w:rsidR="00F415DC" w:rsidRPr="000E50F1">
        <w:rPr>
          <w:rFonts w:ascii="Times" w:hAnsi="Times" w:cs="Arial"/>
        </w:rPr>
        <w:t>to</w:t>
      </w:r>
      <w:r w:rsidR="005C52D8" w:rsidRPr="000E50F1">
        <w:rPr>
          <w:rFonts w:ascii="Times" w:hAnsi="Times" w:cs="Arial"/>
        </w:rPr>
        <w:t>-</w:t>
      </w:r>
      <w:r w:rsidR="00F415DC" w:rsidRPr="000E50F1">
        <w:rPr>
          <w:rFonts w:ascii="Times" w:hAnsi="Times" w:cs="Arial"/>
        </w:rPr>
        <w:t>day experience</w:t>
      </w:r>
      <w:r w:rsidR="005C52D8" w:rsidRPr="000E50F1">
        <w:rPr>
          <w:rFonts w:ascii="Times" w:hAnsi="Times" w:cs="Arial"/>
        </w:rPr>
        <w:t xml:space="preserve">s at the local sale </w:t>
      </w:r>
      <w:r w:rsidR="00C77A88" w:rsidRPr="000E50F1">
        <w:rPr>
          <w:rFonts w:ascii="Times" w:hAnsi="Times" w:cs="Arial"/>
        </w:rPr>
        <w:t xml:space="preserve">as </w:t>
      </w:r>
      <w:r w:rsidR="00B20B6A" w:rsidRPr="000E50F1">
        <w:rPr>
          <w:rFonts w:ascii="Times" w:hAnsi="Times" w:cs="Arial"/>
        </w:rPr>
        <w:t>newcomers</w:t>
      </w:r>
      <w:r w:rsidR="00C77A88" w:rsidRPr="000E50F1">
        <w:rPr>
          <w:rFonts w:ascii="Times" w:hAnsi="Times" w:cs="Arial"/>
        </w:rPr>
        <w:t xml:space="preserve"> settle</w:t>
      </w:r>
      <w:r w:rsidR="00B22159" w:rsidRPr="000E50F1">
        <w:rPr>
          <w:rFonts w:ascii="Times" w:hAnsi="Times" w:cs="Arial"/>
        </w:rPr>
        <w:t>d</w:t>
      </w:r>
      <w:r w:rsidR="00C77A88" w:rsidRPr="000E50F1">
        <w:rPr>
          <w:rFonts w:ascii="Times" w:hAnsi="Times" w:cs="Arial"/>
        </w:rPr>
        <w:t xml:space="preserve"> into place</w:t>
      </w:r>
      <w:r w:rsidR="005100D0" w:rsidRPr="000E50F1">
        <w:rPr>
          <w:rFonts w:ascii="Times" w:hAnsi="Times" w:cs="Arial"/>
        </w:rPr>
        <w:t xml:space="preserve">. </w:t>
      </w:r>
    </w:p>
    <w:p w14:paraId="3464B19D" w14:textId="77777777" w:rsidR="001E795B" w:rsidRPr="000E50F1" w:rsidRDefault="001E795B" w:rsidP="004B3934">
      <w:pPr>
        <w:ind w:right="4"/>
        <w:rPr>
          <w:rFonts w:ascii="Times" w:hAnsi="Times" w:cs="Arial"/>
        </w:rPr>
      </w:pPr>
    </w:p>
    <w:p w14:paraId="25639BDE" w14:textId="53CC0C70" w:rsidR="00AB5A97" w:rsidRPr="000E50F1" w:rsidRDefault="00AB5A97" w:rsidP="00AB5A97">
      <w:pPr>
        <w:rPr>
          <w:rFonts w:ascii="Times" w:hAnsi="Times" w:cs="Arial"/>
        </w:rPr>
      </w:pPr>
      <w:r w:rsidRPr="000E50F1">
        <w:rPr>
          <w:rFonts w:ascii="Times" w:hAnsi="Times" w:cs="Arial"/>
        </w:rPr>
        <w:t xml:space="preserve">Chapter Two, which examined the recent implementation of Express Entry in 2015, found negative impact to international students in Canada. Despite </w:t>
      </w:r>
      <w:r w:rsidR="00CD712E" w:rsidRPr="000E50F1">
        <w:rPr>
          <w:rFonts w:ascii="Times" w:hAnsi="Times" w:cs="Arial"/>
        </w:rPr>
        <w:t>the efforts</w:t>
      </w:r>
      <w:r w:rsidRPr="000E50F1">
        <w:rPr>
          <w:rFonts w:ascii="Times" w:hAnsi="Times" w:cs="Arial"/>
        </w:rPr>
        <w:t xml:space="preserve"> to make it easier for international students to study, work, and become permanent residence of Canada (Gopal 2014) permanent residence admission totals in 2016 were among the lowest for international students since 2007. These findings suggest that the value of international students are not clearly determined or appropriated in the current selection process for economic immigrants. Hiebert (2019)</w:t>
      </w:r>
      <w:r w:rsidR="006A29A5" w:rsidRPr="000E50F1">
        <w:rPr>
          <w:rFonts w:ascii="Times" w:hAnsi="Times" w:cs="Arial"/>
        </w:rPr>
        <w:t xml:space="preserve"> suggests that</w:t>
      </w:r>
      <w:r w:rsidRPr="000E50F1">
        <w:rPr>
          <w:rFonts w:ascii="Times" w:hAnsi="Times" w:cs="Arial"/>
        </w:rPr>
        <w:t xml:space="preserve"> </w:t>
      </w:r>
      <w:r w:rsidR="006A29A5" w:rsidRPr="000E50F1">
        <w:rPr>
          <w:rFonts w:ascii="Times" w:hAnsi="Times" w:cs="Arial"/>
        </w:rPr>
        <w:t>one</w:t>
      </w:r>
      <w:r w:rsidRPr="000E50F1">
        <w:rPr>
          <w:rFonts w:ascii="Times" w:hAnsi="Times" w:cs="Arial"/>
        </w:rPr>
        <w:t xml:space="preserve"> critical shortfall in immigrant selection is the lack of recognition and validation of soft skills (e.g., competence, communication, time management). This type of knowledge, skills, and experiences are the cultural capital of new immigrants—that is, the cultural knowledge (and not vocational knowledge) that allows individuals to comfortably operate within their social environment (Carmichael, Drori and Honig 2010). As suggested in this research, even the time spent in low-skill employment can allow international students to gain knowledge and experiences in a Canadian setting to develop understanding of cultural norms and workplace expectations that can lead to </w:t>
      </w:r>
      <w:r w:rsidR="00B20B6A" w:rsidRPr="000E50F1">
        <w:rPr>
          <w:rFonts w:ascii="Times" w:hAnsi="Times" w:cs="Arial"/>
        </w:rPr>
        <w:t xml:space="preserve">long term </w:t>
      </w:r>
      <w:r w:rsidRPr="000E50F1">
        <w:rPr>
          <w:rFonts w:ascii="Times" w:hAnsi="Times" w:cs="Arial"/>
        </w:rPr>
        <w:t xml:space="preserve">labour market success and integration. </w:t>
      </w:r>
      <w:r w:rsidR="00B778DD" w:rsidRPr="000E50F1">
        <w:rPr>
          <w:rFonts w:ascii="Times" w:hAnsi="Times" w:cs="Arial"/>
        </w:rPr>
        <w:t xml:space="preserve">This research is important for policy makers to consider and critique within the larger debate of economic immigration selection, spatial distribution, and regional retention. </w:t>
      </w:r>
      <w:r w:rsidRPr="000E50F1">
        <w:rPr>
          <w:rFonts w:ascii="Times" w:hAnsi="Times" w:cs="Arial"/>
        </w:rPr>
        <w:t xml:space="preserve">To date, research exploring international student outcomes in Canada have largely focused on topics such as employability outcome (Reichert 2020), structural inequities in obtaining employment (Ellis 2019), wage gaps (Smith  Fernandez 2015, Statistic Canada </w:t>
      </w:r>
      <w:r w:rsidRPr="000E50F1">
        <w:rPr>
          <w:rFonts w:ascii="Times" w:hAnsi="Times" w:cs="Arial"/>
        </w:rPr>
        <w:lastRenderedPageBreak/>
        <w:t xml:space="preserve">2019), and student mobility (She and Witherspoon 2013). However, research combining international student outcomes to economic immigrant selection </w:t>
      </w:r>
      <w:r w:rsidR="00F90714" w:rsidRPr="000E50F1">
        <w:rPr>
          <w:rFonts w:ascii="Times" w:hAnsi="Times" w:cs="Arial"/>
        </w:rPr>
        <w:t xml:space="preserve">and settlement over time </w:t>
      </w:r>
      <w:r w:rsidRPr="000E50F1">
        <w:rPr>
          <w:rFonts w:ascii="Times" w:hAnsi="Times" w:cs="Arial"/>
        </w:rPr>
        <w:t>using reliable longitudinal data is vital</w:t>
      </w:r>
      <w:r w:rsidRPr="000E50F1">
        <w:rPr>
          <w:rFonts w:ascii="Times" w:hAnsi="Times"/>
        </w:rPr>
        <w:t xml:space="preserve"> to </w:t>
      </w:r>
      <w:r w:rsidR="00F90714" w:rsidRPr="000E50F1">
        <w:rPr>
          <w:rFonts w:ascii="Times" w:hAnsi="Times"/>
        </w:rPr>
        <w:t xml:space="preserve">uncover </w:t>
      </w:r>
      <w:r w:rsidRPr="000E50F1">
        <w:rPr>
          <w:rFonts w:ascii="Times" w:hAnsi="Times"/>
        </w:rPr>
        <w:t xml:space="preserve">these complexities </w:t>
      </w:r>
      <w:r w:rsidRPr="000E50F1">
        <w:rPr>
          <w:rFonts w:ascii="Times" w:hAnsi="Times" w:cs="Arial"/>
        </w:rPr>
        <w:t xml:space="preserve">(Hiebert 2019, </w:t>
      </w:r>
      <w:r w:rsidRPr="000E50F1">
        <w:rPr>
          <w:rFonts w:ascii="Times" w:hAnsi="Times"/>
        </w:rPr>
        <w:t>Belkhodja and Esses 2013)</w:t>
      </w:r>
      <w:r w:rsidRPr="000E50F1">
        <w:rPr>
          <w:rFonts w:ascii="Times" w:hAnsi="Times" w:cs="Arial"/>
        </w:rPr>
        <w:t xml:space="preserve">. </w:t>
      </w:r>
      <w:r w:rsidR="00EA6767" w:rsidRPr="000E50F1">
        <w:rPr>
          <w:rFonts w:ascii="Times" w:hAnsi="Times"/>
        </w:rPr>
        <w:t xml:space="preserve">As stated in Belkhodja and Esses (2013: 23) “The true contribution of students to Canadian prosperity will depend on an analysis that can take plurality into account and not one based on a profile of the ideal international student”. Finally, a </w:t>
      </w:r>
      <w:r w:rsidR="001F7318" w:rsidRPr="000E50F1">
        <w:rPr>
          <w:rFonts w:ascii="Times" w:hAnsi="Times" w:cs="Arial"/>
        </w:rPr>
        <w:t xml:space="preserve">fundamental issue that this research highlights is </w:t>
      </w:r>
      <w:r w:rsidR="001F7318" w:rsidRPr="000E50F1">
        <w:rPr>
          <w:rFonts w:ascii="Times" w:hAnsi="Times"/>
        </w:rPr>
        <w:t xml:space="preserve">the </w:t>
      </w:r>
      <w:r w:rsidR="0023566F" w:rsidRPr="000E50F1">
        <w:rPr>
          <w:rFonts w:ascii="Times" w:hAnsi="Times"/>
        </w:rPr>
        <w:t xml:space="preserve">possible </w:t>
      </w:r>
      <w:r w:rsidR="001F7318" w:rsidRPr="000E50F1">
        <w:rPr>
          <w:rFonts w:ascii="Times" w:hAnsi="Times"/>
        </w:rPr>
        <w:t>shortcomings of flawed immigration policies</w:t>
      </w:r>
      <w:r w:rsidR="00E93AEA" w:rsidRPr="000E50F1">
        <w:rPr>
          <w:rFonts w:ascii="Times" w:hAnsi="Times"/>
        </w:rPr>
        <w:t xml:space="preserve"> </w:t>
      </w:r>
      <w:r w:rsidR="00EA6767" w:rsidRPr="000E50F1">
        <w:rPr>
          <w:rFonts w:ascii="Times" w:hAnsi="Times"/>
        </w:rPr>
        <w:t xml:space="preserve">rather than the potential </w:t>
      </w:r>
      <w:r w:rsidR="00E93AEA" w:rsidRPr="000E50F1">
        <w:rPr>
          <w:rFonts w:ascii="Times" w:hAnsi="Times"/>
        </w:rPr>
        <w:t>ineffective</w:t>
      </w:r>
      <w:r w:rsidR="00EA6767" w:rsidRPr="000E50F1">
        <w:rPr>
          <w:rFonts w:ascii="Times" w:hAnsi="Times"/>
        </w:rPr>
        <w:t>ness of the</w:t>
      </w:r>
      <w:r w:rsidR="00E93AEA" w:rsidRPr="000E50F1">
        <w:rPr>
          <w:rFonts w:ascii="Times" w:hAnsi="Times"/>
        </w:rPr>
        <w:t xml:space="preserve"> system</w:t>
      </w:r>
      <w:r w:rsidR="00EA6767" w:rsidRPr="000E50F1">
        <w:rPr>
          <w:rFonts w:ascii="Times" w:hAnsi="Times"/>
        </w:rPr>
        <w:t xml:space="preserve"> as previously hypothesized</w:t>
      </w:r>
      <w:r w:rsidR="001F7318" w:rsidRPr="000E50F1">
        <w:rPr>
          <w:rFonts w:ascii="Times" w:hAnsi="Times"/>
        </w:rPr>
        <w:t>.</w:t>
      </w:r>
      <w:r w:rsidR="001F7318" w:rsidRPr="000E50F1">
        <w:rPr>
          <w:rFonts w:ascii="Times" w:hAnsi="Times" w:cs="Arial"/>
        </w:rPr>
        <w:t xml:space="preserve"> As noted in Hiebert (2019: 2), Canadian policy officials continue to grapple with one key question: do applicant’s long-term prospects depend more on their human capital or on their ability to find work quickly? The answer is not clear but it is evident that the system continues to vacillate. </w:t>
      </w:r>
      <w:r w:rsidR="00E93AEA" w:rsidRPr="000E50F1">
        <w:rPr>
          <w:rFonts w:ascii="Times" w:hAnsi="Times"/>
        </w:rPr>
        <w:t xml:space="preserve">This research points to the </w:t>
      </w:r>
      <w:r w:rsidR="00EA6767" w:rsidRPr="000E50F1">
        <w:rPr>
          <w:rFonts w:ascii="Times" w:hAnsi="Times"/>
        </w:rPr>
        <w:t>built</w:t>
      </w:r>
      <w:r w:rsidR="00530CCF" w:rsidRPr="000E50F1">
        <w:rPr>
          <w:rFonts w:ascii="Times" w:hAnsi="Times"/>
        </w:rPr>
        <w:t>-</w:t>
      </w:r>
      <w:r w:rsidR="00EA6767" w:rsidRPr="000E50F1">
        <w:rPr>
          <w:rFonts w:ascii="Times" w:hAnsi="Times"/>
        </w:rPr>
        <w:t xml:space="preserve">in </w:t>
      </w:r>
      <w:r w:rsidR="00E93AEA" w:rsidRPr="000E50F1">
        <w:rPr>
          <w:rFonts w:ascii="Times" w:hAnsi="Times"/>
        </w:rPr>
        <w:t xml:space="preserve">sophistication </w:t>
      </w:r>
      <w:r w:rsidR="00E93AEA" w:rsidRPr="000E50F1">
        <w:rPr>
          <w:rFonts w:ascii="Times" w:eastAsiaTheme="minorHAnsi" w:hAnsi="Times"/>
        </w:rPr>
        <w:t xml:space="preserve">of </w:t>
      </w:r>
      <w:r w:rsidR="00EA6767" w:rsidRPr="000E50F1">
        <w:rPr>
          <w:rFonts w:ascii="Times" w:eastAsiaTheme="minorHAnsi" w:hAnsi="Times"/>
        </w:rPr>
        <w:t>Express Entry</w:t>
      </w:r>
      <w:r w:rsidR="00E93AEA" w:rsidRPr="000E50F1">
        <w:rPr>
          <w:rFonts w:ascii="Times" w:hAnsi="Times"/>
        </w:rPr>
        <w:t xml:space="preserve"> to pivot when needed, but as </w:t>
      </w:r>
      <w:r w:rsidR="00E93AEA" w:rsidRPr="000E50F1">
        <w:rPr>
          <w:rFonts w:ascii="Times" w:eastAsiaTheme="minorHAnsi" w:hAnsi="Times"/>
        </w:rPr>
        <w:t xml:space="preserve">Hiebert (2019) </w:t>
      </w:r>
      <w:r w:rsidR="00E93AEA" w:rsidRPr="000E50F1">
        <w:rPr>
          <w:rFonts w:ascii="Times" w:hAnsi="Times"/>
        </w:rPr>
        <w:t xml:space="preserve">cautions, </w:t>
      </w:r>
      <w:r w:rsidR="00E93AEA" w:rsidRPr="000E50F1">
        <w:rPr>
          <w:rFonts w:ascii="Times" w:eastAsiaTheme="minorHAnsi" w:hAnsi="Times"/>
        </w:rPr>
        <w:t>the benefits of an easily modified selection system comes with significant political, social and economic implications. It is</w:t>
      </w:r>
      <w:r w:rsidR="00EA6767" w:rsidRPr="000E50F1">
        <w:rPr>
          <w:rFonts w:ascii="Times" w:eastAsiaTheme="minorHAnsi" w:hAnsi="Times"/>
        </w:rPr>
        <w:t xml:space="preserve"> therefore</w:t>
      </w:r>
      <w:r w:rsidR="00E93AEA" w:rsidRPr="000E50F1">
        <w:rPr>
          <w:rFonts w:ascii="Times" w:eastAsiaTheme="minorHAnsi" w:hAnsi="Times"/>
        </w:rPr>
        <w:t xml:space="preserve"> important for </w:t>
      </w:r>
      <w:r w:rsidR="00530CCF" w:rsidRPr="000E50F1">
        <w:rPr>
          <w:rFonts w:ascii="Times" w:eastAsiaTheme="minorHAnsi" w:hAnsi="Times"/>
        </w:rPr>
        <w:t xml:space="preserve">future </w:t>
      </w:r>
      <w:r w:rsidR="00E93AEA" w:rsidRPr="000E50F1">
        <w:rPr>
          <w:rFonts w:ascii="Times" w:eastAsiaTheme="minorHAnsi" w:hAnsi="Times"/>
        </w:rPr>
        <w:t>research</w:t>
      </w:r>
      <w:r w:rsidR="00530CCF" w:rsidRPr="000E50F1">
        <w:rPr>
          <w:rFonts w:ascii="Times" w:eastAsiaTheme="minorHAnsi" w:hAnsi="Times"/>
        </w:rPr>
        <w:t xml:space="preserve"> to</w:t>
      </w:r>
      <w:r w:rsidR="00E93AEA" w:rsidRPr="000E50F1">
        <w:rPr>
          <w:rFonts w:ascii="Times" w:eastAsiaTheme="minorHAnsi" w:hAnsi="Times"/>
        </w:rPr>
        <w:t xml:space="preserve"> </w:t>
      </w:r>
      <w:r w:rsidR="00B778DD" w:rsidRPr="000E50F1">
        <w:rPr>
          <w:rFonts w:ascii="Times" w:eastAsiaTheme="minorHAnsi" w:hAnsi="Times"/>
        </w:rPr>
        <w:t>monitor  successive cohorts moving through Express Entry</w:t>
      </w:r>
      <w:r w:rsidR="00B20B6A" w:rsidRPr="000E50F1">
        <w:rPr>
          <w:rFonts w:ascii="Times" w:eastAsiaTheme="minorHAnsi" w:hAnsi="Times"/>
        </w:rPr>
        <w:t>, and t</w:t>
      </w:r>
      <w:r w:rsidR="00E93AEA" w:rsidRPr="000E50F1">
        <w:rPr>
          <w:rFonts w:ascii="Times" w:eastAsiaTheme="minorHAnsi" w:hAnsi="Times"/>
        </w:rPr>
        <w:t xml:space="preserve">o evaluate </w:t>
      </w:r>
      <w:r w:rsidR="00EA6767" w:rsidRPr="000E50F1">
        <w:rPr>
          <w:rFonts w:ascii="Times" w:eastAsiaTheme="minorHAnsi" w:hAnsi="Times"/>
        </w:rPr>
        <w:t>the implications</w:t>
      </w:r>
      <w:r w:rsidR="00530CCF" w:rsidRPr="000E50F1">
        <w:rPr>
          <w:rFonts w:ascii="Times" w:eastAsiaTheme="minorHAnsi" w:hAnsi="Times"/>
        </w:rPr>
        <w:t xml:space="preserve"> of </w:t>
      </w:r>
      <w:r w:rsidR="00B20B6A" w:rsidRPr="000E50F1">
        <w:rPr>
          <w:rFonts w:ascii="Times" w:eastAsiaTheme="minorHAnsi" w:hAnsi="Times"/>
        </w:rPr>
        <w:t xml:space="preserve">system </w:t>
      </w:r>
      <w:r w:rsidR="00530CCF" w:rsidRPr="000E50F1">
        <w:rPr>
          <w:rFonts w:ascii="Times" w:eastAsiaTheme="minorHAnsi" w:hAnsi="Times"/>
        </w:rPr>
        <w:t>vacillation</w:t>
      </w:r>
      <w:r w:rsidR="00BA08C4" w:rsidRPr="000E50F1">
        <w:rPr>
          <w:rFonts w:ascii="Times" w:eastAsiaTheme="minorHAnsi" w:hAnsi="Times"/>
        </w:rPr>
        <w:t>, whiling investigating t</w:t>
      </w:r>
      <w:r w:rsidR="00E93AEA" w:rsidRPr="000E50F1">
        <w:rPr>
          <w:rFonts w:ascii="Times" w:eastAsiaTheme="minorHAnsi" w:hAnsi="Times"/>
        </w:rPr>
        <w:t xml:space="preserve">he </w:t>
      </w:r>
      <w:r w:rsidR="00BA08C4" w:rsidRPr="000E50F1">
        <w:rPr>
          <w:rFonts w:ascii="Times" w:eastAsiaTheme="minorHAnsi" w:hAnsi="Times"/>
        </w:rPr>
        <w:t xml:space="preserve">potential </w:t>
      </w:r>
      <w:r w:rsidR="00E93AEA" w:rsidRPr="000E50F1">
        <w:rPr>
          <w:rFonts w:ascii="Times" w:eastAsiaTheme="minorHAnsi" w:hAnsi="Times"/>
        </w:rPr>
        <w:t xml:space="preserve">structural inequities </w:t>
      </w:r>
      <w:r w:rsidR="00EA6767" w:rsidRPr="000E50F1">
        <w:rPr>
          <w:rFonts w:ascii="Times" w:eastAsiaTheme="minorHAnsi" w:hAnsi="Times"/>
        </w:rPr>
        <w:t xml:space="preserve">that can result. </w:t>
      </w:r>
    </w:p>
    <w:p w14:paraId="1E62F33B" w14:textId="366D2F1E" w:rsidR="007678D9" w:rsidRPr="000E50F1" w:rsidRDefault="00AB5A97" w:rsidP="000B6FAA">
      <w:pPr>
        <w:pStyle w:val="NormalWeb"/>
        <w:rPr>
          <w:rFonts w:ascii="Times" w:hAnsi="Times" w:cs="Arial"/>
        </w:rPr>
      </w:pPr>
      <w:r w:rsidRPr="000E50F1">
        <w:rPr>
          <w:rFonts w:ascii="Times" w:hAnsi="Times" w:cs="Arial"/>
        </w:rPr>
        <w:t>Chapter Three, which explored the role of the Local Immigration Partnership (LIP) in Hamilton, Ontario during the Syrian Refugee Resettlement Initiative</w:t>
      </w:r>
      <w:r w:rsidR="006A29A5" w:rsidRPr="000E50F1">
        <w:rPr>
          <w:rFonts w:ascii="Times" w:hAnsi="Times" w:cs="Arial"/>
        </w:rPr>
        <w:t xml:space="preserve"> (SRRI)</w:t>
      </w:r>
      <w:r w:rsidRPr="000E50F1">
        <w:rPr>
          <w:rFonts w:ascii="Times" w:hAnsi="Times" w:cs="Arial"/>
        </w:rPr>
        <w:t xml:space="preserve"> in 2015</w:t>
      </w:r>
      <w:r w:rsidR="009D1935" w:rsidRPr="000E50F1">
        <w:rPr>
          <w:rFonts w:ascii="Times" w:hAnsi="Times" w:cs="Arial"/>
        </w:rPr>
        <w:t xml:space="preserve"> and </w:t>
      </w:r>
      <w:r w:rsidRPr="000E50F1">
        <w:rPr>
          <w:rFonts w:ascii="Times" w:hAnsi="Times" w:cs="Arial"/>
        </w:rPr>
        <w:t xml:space="preserve">2016, found major </w:t>
      </w:r>
      <w:r w:rsidR="005F726C" w:rsidRPr="000E50F1">
        <w:rPr>
          <w:rFonts w:ascii="Times" w:hAnsi="Times" w:cs="Arial"/>
        </w:rPr>
        <w:t xml:space="preserve">neoliberalizing </w:t>
      </w:r>
      <w:r w:rsidRPr="000E50F1">
        <w:rPr>
          <w:rFonts w:ascii="Times" w:hAnsi="Times" w:cs="Arial"/>
        </w:rPr>
        <w:t xml:space="preserve">constraints </w:t>
      </w:r>
      <w:r w:rsidR="009D1935" w:rsidRPr="000E50F1">
        <w:rPr>
          <w:rFonts w:ascii="Times" w:hAnsi="Times" w:cs="Arial"/>
        </w:rPr>
        <w:t xml:space="preserve">restricting </w:t>
      </w:r>
      <w:r w:rsidRPr="000E50F1">
        <w:rPr>
          <w:rFonts w:ascii="Times" w:hAnsi="Times" w:cs="Arial"/>
        </w:rPr>
        <w:t xml:space="preserve">its leadership to take action in joint planning and local power sharing. The absence of intergovernmental communication and </w:t>
      </w:r>
      <w:r w:rsidR="00B20B6A" w:rsidRPr="000E50F1">
        <w:rPr>
          <w:rFonts w:ascii="Times" w:hAnsi="Times" w:cs="Arial"/>
        </w:rPr>
        <w:t xml:space="preserve">meaningful </w:t>
      </w:r>
      <w:r w:rsidRPr="000E50F1">
        <w:rPr>
          <w:rFonts w:ascii="Times" w:hAnsi="Times" w:cs="Arial"/>
        </w:rPr>
        <w:t xml:space="preserve">engagement led to local tension and delayed action that reinforced forms of exclusion limiting community-wide </w:t>
      </w:r>
      <w:r w:rsidRPr="000E50F1">
        <w:rPr>
          <w:rFonts w:ascii="Times" w:hAnsi="Times"/>
        </w:rPr>
        <w:t xml:space="preserve">engagement, intersectoral planning, and timely localized responses. </w:t>
      </w:r>
      <w:r w:rsidR="00041EF5" w:rsidRPr="000E50F1">
        <w:rPr>
          <w:rFonts w:ascii="Times" w:hAnsi="Times"/>
        </w:rPr>
        <w:t>T</w:t>
      </w:r>
      <w:r w:rsidR="0069141B" w:rsidRPr="000E50F1">
        <w:rPr>
          <w:rFonts w:ascii="Times" w:hAnsi="Times"/>
        </w:rPr>
        <w:t xml:space="preserve">he Mayor’s replication of HIPC’s sector-based working groups in July 2016 </w:t>
      </w:r>
      <w:r w:rsidR="0056666C" w:rsidRPr="000E50F1">
        <w:rPr>
          <w:rFonts w:ascii="Times" w:hAnsi="Times"/>
        </w:rPr>
        <w:t xml:space="preserve">also </w:t>
      </w:r>
      <w:r w:rsidR="0069141B" w:rsidRPr="000E50F1">
        <w:rPr>
          <w:rFonts w:ascii="Times" w:hAnsi="Times"/>
        </w:rPr>
        <w:t>call</w:t>
      </w:r>
      <w:r w:rsidR="009D1935" w:rsidRPr="000E50F1">
        <w:rPr>
          <w:rFonts w:ascii="Times" w:hAnsi="Times"/>
        </w:rPr>
        <w:t>s</w:t>
      </w:r>
      <w:r w:rsidR="0069141B" w:rsidRPr="000E50F1">
        <w:rPr>
          <w:rFonts w:ascii="Times" w:hAnsi="Times"/>
        </w:rPr>
        <w:t xml:space="preserve"> into question why HIPC could not have led this work</w:t>
      </w:r>
      <w:r w:rsidR="0056666C" w:rsidRPr="000E50F1">
        <w:rPr>
          <w:rFonts w:ascii="Times" w:hAnsi="Times"/>
        </w:rPr>
        <w:t xml:space="preserve"> from the beginning</w:t>
      </w:r>
      <w:r w:rsidR="00984401" w:rsidRPr="000E50F1">
        <w:rPr>
          <w:rFonts w:ascii="Times" w:hAnsi="Times"/>
        </w:rPr>
        <w:t xml:space="preserve">. </w:t>
      </w:r>
      <w:r w:rsidR="00041EF5" w:rsidRPr="000E50F1">
        <w:rPr>
          <w:rFonts w:ascii="Times" w:hAnsi="Times"/>
        </w:rPr>
        <w:t xml:space="preserve">By interpreting </w:t>
      </w:r>
      <w:r w:rsidR="00984401" w:rsidRPr="000E50F1">
        <w:rPr>
          <w:rFonts w:ascii="Times" w:hAnsi="Times"/>
        </w:rPr>
        <w:t xml:space="preserve">HIPC’s inability to </w:t>
      </w:r>
      <w:r w:rsidR="00825F83" w:rsidRPr="000E50F1">
        <w:rPr>
          <w:rFonts w:ascii="Times" w:hAnsi="Times"/>
        </w:rPr>
        <w:t>act</w:t>
      </w:r>
      <w:r w:rsidR="00041EF5" w:rsidRPr="000E50F1">
        <w:rPr>
          <w:rFonts w:ascii="Times" w:hAnsi="Times"/>
        </w:rPr>
        <w:t xml:space="preserve"> from the lens of Gidden’s structuration theory, we can better understand how the regularities of social reproduction </w:t>
      </w:r>
      <w:r w:rsidR="00A75DC8" w:rsidRPr="000E50F1">
        <w:rPr>
          <w:rFonts w:ascii="Times" w:hAnsi="Times"/>
        </w:rPr>
        <w:t>were reinforced during the SRRI. In Hamilton, the modalities of structuration, which are the rule that guide actions and empowers them at the same time, were enable</w:t>
      </w:r>
      <w:r w:rsidR="009D1935" w:rsidRPr="000E50F1">
        <w:rPr>
          <w:rFonts w:ascii="Times" w:hAnsi="Times"/>
        </w:rPr>
        <w:t>d</w:t>
      </w:r>
      <w:r w:rsidR="00A75DC8" w:rsidRPr="000E50F1">
        <w:rPr>
          <w:rFonts w:ascii="Times" w:hAnsi="Times"/>
        </w:rPr>
        <w:t xml:space="preserve"> t</w:t>
      </w:r>
      <w:r w:rsidR="00041EF5" w:rsidRPr="000E50F1">
        <w:rPr>
          <w:rFonts w:ascii="Times" w:hAnsi="Times"/>
        </w:rPr>
        <w:t>hrough the activities of key agents (</w:t>
      </w:r>
      <w:r w:rsidR="00FF51A9" w:rsidRPr="000E50F1">
        <w:rPr>
          <w:rFonts w:ascii="Times" w:hAnsi="Times"/>
        </w:rPr>
        <w:t>i.e.,</w:t>
      </w:r>
      <w:r w:rsidR="00041EF5" w:rsidRPr="000E50F1">
        <w:rPr>
          <w:rFonts w:ascii="Times" w:hAnsi="Times"/>
        </w:rPr>
        <w:t xml:space="preserve"> senior level managers across the city)</w:t>
      </w:r>
      <w:r w:rsidR="00A75DC8" w:rsidRPr="000E50F1">
        <w:rPr>
          <w:rFonts w:ascii="Times" w:hAnsi="Times"/>
        </w:rPr>
        <w:t xml:space="preserve"> to </w:t>
      </w:r>
      <w:r w:rsidR="006308B7" w:rsidRPr="000E50F1">
        <w:rPr>
          <w:rFonts w:ascii="Times" w:hAnsi="Times"/>
        </w:rPr>
        <w:t>affirm</w:t>
      </w:r>
      <w:r w:rsidR="00464A74" w:rsidRPr="000E50F1">
        <w:rPr>
          <w:rFonts w:ascii="Times" w:hAnsi="Times"/>
        </w:rPr>
        <w:t xml:space="preserve"> the </w:t>
      </w:r>
      <w:r w:rsidR="00464A74" w:rsidRPr="000E50F1">
        <w:rPr>
          <w:spacing w:val="-5"/>
        </w:rPr>
        <w:t xml:space="preserve">structural components of IRCC’s </w:t>
      </w:r>
      <w:r w:rsidR="00FF51A9" w:rsidRPr="000E50F1">
        <w:rPr>
          <w:spacing w:val="-5"/>
        </w:rPr>
        <w:t>top-down</w:t>
      </w:r>
      <w:r w:rsidR="00464A74" w:rsidRPr="000E50F1">
        <w:rPr>
          <w:spacing w:val="-5"/>
        </w:rPr>
        <w:t xml:space="preserve"> </w:t>
      </w:r>
      <w:r w:rsidR="0056666C" w:rsidRPr="000E50F1">
        <w:rPr>
          <w:spacing w:val="-5"/>
        </w:rPr>
        <w:t xml:space="preserve">management of settlement policies and program. </w:t>
      </w:r>
      <w:r w:rsidRPr="000E50F1">
        <w:rPr>
          <w:rFonts w:ascii="Times" w:hAnsi="Times" w:cs="Arial"/>
        </w:rPr>
        <w:t xml:space="preserve">The sentiments </w:t>
      </w:r>
      <w:r w:rsidR="00A75DC8" w:rsidRPr="000E50F1">
        <w:rPr>
          <w:rFonts w:ascii="Times" w:hAnsi="Times" w:cs="Arial"/>
        </w:rPr>
        <w:t xml:space="preserve">echoed </w:t>
      </w:r>
      <w:r w:rsidRPr="000E50F1">
        <w:rPr>
          <w:rFonts w:ascii="Times" w:hAnsi="Times" w:cs="Arial"/>
        </w:rPr>
        <w:t xml:space="preserve">in Hamilton regarding the federal government’s narrow focus in </w:t>
      </w:r>
      <w:r w:rsidR="006A29A5" w:rsidRPr="000E50F1">
        <w:rPr>
          <w:rFonts w:ascii="Times" w:hAnsi="Times" w:cs="Arial"/>
        </w:rPr>
        <w:t xml:space="preserve">exclusively </w:t>
      </w:r>
      <w:r w:rsidRPr="000E50F1">
        <w:rPr>
          <w:rFonts w:ascii="Times" w:hAnsi="Times" w:cs="Arial"/>
        </w:rPr>
        <w:t>supporting certain sector actors</w:t>
      </w:r>
      <w:r w:rsidR="006A29A5" w:rsidRPr="000E50F1">
        <w:rPr>
          <w:rFonts w:ascii="Times" w:hAnsi="Times" w:cs="Arial"/>
        </w:rPr>
        <w:t xml:space="preserve"> </w:t>
      </w:r>
      <w:r w:rsidRPr="000E50F1">
        <w:rPr>
          <w:rFonts w:ascii="Times" w:hAnsi="Times" w:cs="Arial"/>
        </w:rPr>
        <w:t>(</w:t>
      </w:r>
      <w:r w:rsidR="00FF51A9" w:rsidRPr="000E50F1">
        <w:rPr>
          <w:rFonts w:ascii="Times" w:hAnsi="Times" w:cs="Arial"/>
        </w:rPr>
        <w:t>i.e.,</w:t>
      </w:r>
      <w:r w:rsidRPr="000E50F1">
        <w:rPr>
          <w:rFonts w:ascii="Times" w:hAnsi="Times" w:cs="Arial"/>
        </w:rPr>
        <w:t xml:space="preserve"> Resettlement Agency Program) </w:t>
      </w:r>
      <w:r w:rsidR="006A29A5" w:rsidRPr="000E50F1">
        <w:rPr>
          <w:rFonts w:ascii="Times" w:hAnsi="Times" w:cs="Arial"/>
        </w:rPr>
        <w:t>over other</w:t>
      </w:r>
      <w:r w:rsidR="006308B7" w:rsidRPr="000E50F1">
        <w:rPr>
          <w:rFonts w:ascii="Times" w:hAnsi="Times" w:cs="Arial"/>
        </w:rPr>
        <w:t xml:space="preserve"> groups (i.e., </w:t>
      </w:r>
      <w:r w:rsidR="000F1523" w:rsidRPr="000E50F1">
        <w:rPr>
          <w:rFonts w:ascii="Times" w:hAnsi="Times" w:cs="Arial"/>
        </w:rPr>
        <w:t>non</w:t>
      </w:r>
      <w:r w:rsidR="006308B7" w:rsidRPr="000E50F1">
        <w:rPr>
          <w:rFonts w:ascii="Times" w:hAnsi="Times" w:cs="Arial"/>
        </w:rPr>
        <w:t xml:space="preserve"> IRCC funded </w:t>
      </w:r>
      <w:r w:rsidR="000F1523" w:rsidRPr="000E50F1">
        <w:rPr>
          <w:rFonts w:ascii="Times" w:hAnsi="Times" w:cs="Arial"/>
        </w:rPr>
        <w:t>and municipal government</w:t>
      </w:r>
      <w:r w:rsidR="006308B7" w:rsidRPr="000E50F1">
        <w:rPr>
          <w:rFonts w:ascii="Times" w:hAnsi="Times" w:cs="Arial"/>
        </w:rPr>
        <w:t>)</w:t>
      </w:r>
      <w:r w:rsidR="0056666C" w:rsidRPr="000E50F1">
        <w:rPr>
          <w:rFonts w:ascii="Times" w:hAnsi="Times" w:cs="Arial"/>
        </w:rPr>
        <w:t xml:space="preserve"> </w:t>
      </w:r>
      <w:r w:rsidRPr="000E50F1">
        <w:rPr>
          <w:rFonts w:ascii="Times" w:hAnsi="Times" w:cs="Arial"/>
        </w:rPr>
        <w:t>suggest partisanship towards contractual agreements over broader support for locally based collaboration</w:t>
      </w:r>
      <w:r w:rsidR="00A75DC8" w:rsidRPr="000E50F1">
        <w:rPr>
          <w:rFonts w:ascii="Times" w:hAnsi="Times" w:cs="Arial"/>
        </w:rPr>
        <w:t>. T</w:t>
      </w:r>
      <w:r w:rsidR="00A42C32" w:rsidRPr="000E50F1">
        <w:rPr>
          <w:rFonts w:ascii="Times" w:hAnsi="Times" w:cs="Arial"/>
        </w:rPr>
        <w:t xml:space="preserve">hose normative and interpretive rules </w:t>
      </w:r>
      <w:r w:rsidR="00A75DC8" w:rsidRPr="000E50F1">
        <w:rPr>
          <w:rFonts w:ascii="Times" w:hAnsi="Times" w:cs="Arial"/>
        </w:rPr>
        <w:t>tied to IRCC</w:t>
      </w:r>
      <w:r w:rsidR="00B20B6A" w:rsidRPr="000E50F1">
        <w:rPr>
          <w:rFonts w:ascii="Times" w:hAnsi="Times" w:cs="Arial"/>
        </w:rPr>
        <w:t>’s</w:t>
      </w:r>
      <w:r w:rsidR="00A75DC8" w:rsidRPr="000E50F1">
        <w:rPr>
          <w:rFonts w:ascii="Times" w:hAnsi="Times" w:cs="Arial"/>
        </w:rPr>
        <w:t xml:space="preserve"> contract</w:t>
      </w:r>
      <w:r w:rsidR="000F1523" w:rsidRPr="000E50F1">
        <w:rPr>
          <w:rFonts w:ascii="Times" w:hAnsi="Times" w:cs="Arial"/>
        </w:rPr>
        <w:t>ual</w:t>
      </w:r>
      <w:r w:rsidR="00A75DC8" w:rsidRPr="000E50F1">
        <w:rPr>
          <w:rFonts w:ascii="Times" w:hAnsi="Times" w:cs="Arial"/>
        </w:rPr>
        <w:t xml:space="preserve"> agreements contributed to the </w:t>
      </w:r>
      <w:r w:rsidR="00C77A88" w:rsidRPr="000E50F1">
        <w:rPr>
          <w:rFonts w:ascii="Times" w:hAnsi="Times" w:cs="Arial"/>
        </w:rPr>
        <w:t>disempower</w:t>
      </w:r>
      <w:r w:rsidR="00A75DC8" w:rsidRPr="000E50F1">
        <w:rPr>
          <w:rFonts w:ascii="Times" w:hAnsi="Times" w:cs="Arial"/>
        </w:rPr>
        <w:t>ment of</w:t>
      </w:r>
      <w:r w:rsidR="00C77A88" w:rsidRPr="000E50F1">
        <w:rPr>
          <w:rFonts w:ascii="Times" w:hAnsi="Times" w:cs="Arial"/>
        </w:rPr>
        <w:t xml:space="preserve"> bottom-up</w:t>
      </w:r>
      <w:r w:rsidR="00B20B6A" w:rsidRPr="000E50F1">
        <w:rPr>
          <w:rFonts w:ascii="Times" w:hAnsi="Times" w:cs="Arial"/>
        </w:rPr>
        <w:t>,</w:t>
      </w:r>
      <w:r w:rsidR="00C77A88" w:rsidRPr="000E50F1">
        <w:rPr>
          <w:rFonts w:ascii="Times" w:hAnsi="Times" w:cs="Arial"/>
        </w:rPr>
        <w:t xml:space="preserve"> placed-based approach</w:t>
      </w:r>
      <w:r w:rsidR="009D1935" w:rsidRPr="000E50F1">
        <w:rPr>
          <w:rFonts w:ascii="Times" w:hAnsi="Times" w:cs="Arial"/>
        </w:rPr>
        <w:t xml:space="preserve">, which </w:t>
      </w:r>
      <w:r w:rsidR="00EC1EE4" w:rsidRPr="000E50F1">
        <w:rPr>
          <w:rFonts w:ascii="Times" w:hAnsi="Times" w:cs="Arial"/>
        </w:rPr>
        <w:t>overshadow</w:t>
      </w:r>
      <w:r w:rsidR="009D1935" w:rsidRPr="000E50F1">
        <w:rPr>
          <w:rFonts w:ascii="Times" w:hAnsi="Times" w:cs="Arial"/>
        </w:rPr>
        <w:t xml:space="preserve">ed the potential for </w:t>
      </w:r>
      <w:r w:rsidR="00C77A88" w:rsidRPr="000E50F1">
        <w:rPr>
          <w:rFonts w:ascii="Times" w:hAnsi="Times" w:cs="Arial"/>
        </w:rPr>
        <w:t>joint local planning and power sharing</w:t>
      </w:r>
      <w:r w:rsidRPr="000E50F1">
        <w:rPr>
          <w:rFonts w:ascii="Times" w:hAnsi="Times" w:cs="Arial"/>
        </w:rPr>
        <w:t xml:space="preserve">. </w:t>
      </w:r>
      <w:r w:rsidR="00EC1EE4" w:rsidRPr="000E50F1">
        <w:rPr>
          <w:rFonts w:ascii="Times" w:hAnsi="Times" w:cs="Arial"/>
        </w:rPr>
        <w:t xml:space="preserve">The </w:t>
      </w:r>
      <w:r w:rsidR="00045E98" w:rsidRPr="000E50F1">
        <w:rPr>
          <w:rFonts w:ascii="Times" w:hAnsi="Times" w:cs="Arial"/>
        </w:rPr>
        <w:t>findings</w:t>
      </w:r>
      <w:r w:rsidR="00117DAC" w:rsidRPr="000E50F1">
        <w:rPr>
          <w:rFonts w:ascii="Times" w:hAnsi="Times" w:cs="Arial"/>
        </w:rPr>
        <w:t xml:space="preserve"> in this </w:t>
      </w:r>
      <w:r w:rsidR="00045E98" w:rsidRPr="000E50F1">
        <w:rPr>
          <w:rFonts w:ascii="Times" w:hAnsi="Times" w:cs="Arial"/>
        </w:rPr>
        <w:t>research</w:t>
      </w:r>
      <w:r w:rsidRPr="000E50F1">
        <w:rPr>
          <w:rFonts w:ascii="Times" w:hAnsi="Times" w:cs="Arial"/>
        </w:rPr>
        <w:t xml:space="preserve"> reflects the broader trend in social policy towards </w:t>
      </w:r>
      <w:r w:rsidRPr="000E50F1">
        <w:rPr>
          <w:rFonts w:ascii="Times" w:hAnsi="Times" w:cs="Arial"/>
        </w:rPr>
        <w:lastRenderedPageBreak/>
        <w:t>contractualism under New Public Management of neoliberal restructuring. Others examining government-funded resettlement services organizations</w:t>
      </w:r>
      <w:r w:rsidR="006A29A5" w:rsidRPr="000E50F1">
        <w:rPr>
          <w:rFonts w:ascii="Times" w:hAnsi="Times" w:cs="Arial"/>
        </w:rPr>
        <w:t xml:space="preserve"> have </w:t>
      </w:r>
      <w:r w:rsidRPr="000E50F1">
        <w:rPr>
          <w:rFonts w:ascii="Times" w:hAnsi="Times" w:cs="Arial"/>
        </w:rPr>
        <w:t xml:space="preserve">also cited pressure from the impact of </w:t>
      </w:r>
      <w:r w:rsidRPr="000E50F1">
        <w:rPr>
          <w:rFonts w:ascii="Times" w:hAnsi="Times"/>
        </w:rPr>
        <w:t xml:space="preserve">structural deficits caused by policy shifts, which led </w:t>
      </w:r>
      <w:r w:rsidRPr="000E50F1">
        <w:rPr>
          <w:rFonts w:ascii="Times" w:hAnsi="Times" w:cs="Arial"/>
        </w:rPr>
        <w:t xml:space="preserve">to day-to-day challenges such as budgetary constraints, inadequate employee training, and difficulty with volunteer management during this time (Kenny and Mamuji 2019). By illuminating these tensions, this research provides a window into the negotiated positions of sector actors in the unfolding spaces of governance of the restructured welfare governance process. Similar findings were also identified in local actors co-managing the political-economic contradictions of the welfare state and ‘neoliberalizing’ city in homeless research in Hamilton </w:t>
      </w:r>
      <w:r w:rsidR="009D1935" w:rsidRPr="000E50F1">
        <w:rPr>
          <w:rFonts w:ascii="Times" w:hAnsi="Times" w:cs="Arial"/>
        </w:rPr>
        <w:t>more than a</w:t>
      </w:r>
      <w:r w:rsidRPr="000E50F1">
        <w:rPr>
          <w:rFonts w:ascii="Times" w:hAnsi="Times" w:cs="Arial"/>
        </w:rPr>
        <w:t xml:space="preserve"> decade ago (Evans 2009)</w:t>
      </w:r>
      <w:r w:rsidR="006A29A5" w:rsidRPr="000E50F1">
        <w:rPr>
          <w:rFonts w:ascii="Times" w:hAnsi="Times" w:cs="Arial"/>
        </w:rPr>
        <w:t>.</w:t>
      </w:r>
      <w:r w:rsidRPr="000E50F1">
        <w:rPr>
          <w:rFonts w:ascii="Times" w:hAnsi="Times" w:cs="Arial"/>
        </w:rPr>
        <w:t xml:space="preserve"> Heightened by the scale and pace of the Syrian influx, vertical devolution from the central government to local communities without adequate support or accountability for collaboration was felt by many in the settlement sector and </w:t>
      </w:r>
      <w:r w:rsidR="006A29A5" w:rsidRPr="000E50F1">
        <w:rPr>
          <w:rFonts w:ascii="Times" w:hAnsi="Times" w:cs="Arial"/>
        </w:rPr>
        <w:t>throughout</w:t>
      </w:r>
      <w:r w:rsidRPr="000E50F1">
        <w:rPr>
          <w:rFonts w:ascii="Times" w:hAnsi="Times" w:cs="Arial"/>
        </w:rPr>
        <w:t xml:space="preserve"> the community. </w:t>
      </w:r>
      <w:r w:rsidR="006A29A5" w:rsidRPr="000E50F1">
        <w:rPr>
          <w:rFonts w:ascii="Times" w:hAnsi="Times" w:cs="Arial"/>
        </w:rPr>
        <w:t xml:space="preserve">While </w:t>
      </w:r>
      <w:r w:rsidR="00A04BA6" w:rsidRPr="000E50F1">
        <w:rPr>
          <w:rFonts w:ascii="Times" w:hAnsi="Times" w:cs="Arial"/>
        </w:rPr>
        <w:t xml:space="preserve">many </w:t>
      </w:r>
      <w:r w:rsidR="00A42C32" w:rsidRPr="000E50F1">
        <w:rPr>
          <w:rFonts w:ascii="Times" w:hAnsi="Times" w:cs="Arial"/>
        </w:rPr>
        <w:t xml:space="preserve">participants </w:t>
      </w:r>
      <w:r w:rsidR="00117DAC" w:rsidRPr="000E50F1">
        <w:rPr>
          <w:rFonts w:ascii="Times" w:hAnsi="Times" w:cs="Arial"/>
        </w:rPr>
        <w:t>interviewed</w:t>
      </w:r>
      <w:r w:rsidR="00E60FA3" w:rsidRPr="000E50F1">
        <w:rPr>
          <w:rFonts w:ascii="Times" w:hAnsi="Times" w:cs="Arial"/>
        </w:rPr>
        <w:t xml:space="preserve"> have</w:t>
      </w:r>
      <w:r w:rsidR="00117DAC" w:rsidRPr="000E50F1">
        <w:rPr>
          <w:rFonts w:ascii="Times" w:hAnsi="Times" w:cs="Arial"/>
        </w:rPr>
        <w:t xml:space="preserve"> </w:t>
      </w:r>
      <w:r w:rsidR="006A29A5" w:rsidRPr="000E50F1">
        <w:rPr>
          <w:rFonts w:ascii="Times" w:hAnsi="Times" w:cs="Arial"/>
        </w:rPr>
        <w:t xml:space="preserve">pointed to the </w:t>
      </w:r>
      <w:r w:rsidRPr="000E50F1">
        <w:rPr>
          <w:rFonts w:ascii="Times" w:hAnsi="Times" w:cs="Arial"/>
        </w:rPr>
        <w:t>influence</w:t>
      </w:r>
      <w:r w:rsidR="006A29A5" w:rsidRPr="000E50F1">
        <w:rPr>
          <w:rFonts w:ascii="Times" w:hAnsi="Times" w:cs="Arial"/>
        </w:rPr>
        <w:t xml:space="preserve"> of previous </w:t>
      </w:r>
      <w:r w:rsidRPr="000E50F1">
        <w:rPr>
          <w:rFonts w:ascii="Times" w:hAnsi="Times" w:cs="Arial"/>
        </w:rPr>
        <w:t>federal scrutiny</w:t>
      </w:r>
      <w:r w:rsidR="006A29A5" w:rsidRPr="000E50F1">
        <w:rPr>
          <w:rFonts w:ascii="Times" w:hAnsi="Times" w:cs="Arial"/>
        </w:rPr>
        <w:t xml:space="preserve"> in Hamilton </w:t>
      </w:r>
      <w:r w:rsidR="00A42C32" w:rsidRPr="000E50F1">
        <w:rPr>
          <w:rFonts w:ascii="Times" w:hAnsi="Times" w:cs="Arial"/>
        </w:rPr>
        <w:t xml:space="preserve">to explain </w:t>
      </w:r>
      <w:r w:rsidR="00117DAC" w:rsidRPr="000E50F1">
        <w:rPr>
          <w:rFonts w:ascii="Times" w:hAnsi="Times" w:cs="Arial"/>
        </w:rPr>
        <w:t>HIPC’s</w:t>
      </w:r>
      <w:r w:rsidR="00A42C32" w:rsidRPr="000E50F1">
        <w:rPr>
          <w:rFonts w:ascii="Times" w:hAnsi="Times" w:cs="Arial"/>
        </w:rPr>
        <w:t xml:space="preserve"> </w:t>
      </w:r>
      <w:r w:rsidR="006A29A5" w:rsidRPr="000E50F1">
        <w:rPr>
          <w:rFonts w:ascii="Times" w:hAnsi="Times" w:cs="Arial"/>
        </w:rPr>
        <w:t xml:space="preserve">cautionary </w:t>
      </w:r>
      <w:r w:rsidR="00AA1006" w:rsidRPr="000E50F1">
        <w:rPr>
          <w:rFonts w:ascii="Times" w:hAnsi="Times" w:cs="Arial"/>
        </w:rPr>
        <w:t xml:space="preserve">response </w:t>
      </w:r>
      <w:r w:rsidR="006A29A5" w:rsidRPr="000E50F1">
        <w:rPr>
          <w:rFonts w:ascii="Times" w:hAnsi="Times" w:cs="Arial"/>
        </w:rPr>
        <w:t xml:space="preserve">to the SRRI, </w:t>
      </w:r>
      <w:r w:rsidR="00E73C69" w:rsidRPr="000E50F1">
        <w:rPr>
          <w:rFonts w:ascii="Times" w:hAnsi="Times" w:cs="Arial"/>
        </w:rPr>
        <w:t>o</w:t>
      </w:r>
      <w:r w:rsidRPr="000E50F1">
        <w:rPr>
          <w:rFonts w:ascii="Times" w:hAnsi="Times" w:cs="Arial"/>
        </w:rPr>
        <w:t xml:space="preserve">ther </w:t>
      </w:r>
      <w:r w:rsidR="00E73C69" w:rsidRPr="000E50F1">
        <w:rPr>
          <w:rFonts w:ascii="Times" w:hAnsi="Times" w:cs="Arial"/>
        </w:rPr>
        <w:t xml:space="preserve">LIPs </w:t>
      </w:r>
      <w:r w:rsidR="00A75DC8" w:rsidRPr="000E50F1">
        <w:rPr>
          <w:rFonts w:ascii="Times" w:hAnsi="Times" w:cs="Arial"/>
        </w:rPr>
        <w:t xml:space="preserve">experienced greater </w:t>
      </w:r>
      <w:r w:rsidR="00C77A88" w:rsidRPr="000E50F1">
        <w:rPr>
          <w:rFonts w:ascii="Times" w:hAnsi="Times" w:cs="Arial"/>
        </w:rPr>
        <w:t xml:space="preserve">success </w:t>
      </w:r>
      <w:r w:rsidR="00E60FA3" w:rsidRPr="000E50F1">
        <w:rPr>
          <w:rFonts w:ascii="Times" w:hAnsi="Times" w:cs="Arial"/>
        </w:rPr>
        <w:t xml:space="preserve">comparatively </w:t>
      </w:r>
      <w:r w:rsidR="00C77A88" w:rsidRPr="000E50F1">
        <w:rPr>
          <w:rFonts w:ascii="Times" w:hAnsi="Times" w:cs="Arial"/>
        </w:rPr>
        <w:t>at</w:t>
      </w:r>
      <w:r w:rsidR="00A42C32" w:rsidRPr="000E50F1">
        <w:rPr>
          <w:rFonts w:ascii="Times" w:hAnsi="Times" w:cs="Arial"/>
        </w:rPr>
        <w:t xml:space="preserve"> </w:t>
      </w:r>
      <w:r w:rsidR="00E73C69" w:rsidRPr="000E50F1">
        <w:rPr>
          <w:rFonts w:ascii="Times" w:hAnsi="Times" w:cs="Arial"/>
        </w:rPr>
        <w:t>demonstrat</w:t>
      </w:r>
      <w:r w:rsidR="00C77A88" w:rsidRPr="000E50F1">
        <w:rPr>
          <w:rFonts w:ascii="Times" w:hAnsi="Times" w:cs="Arial"/>
        </w:rPr>
        <w:t>ing</w:t>
      </w:r>
      <w:r w:rsidR="00E73C69" w:rsidRPr="000E50F1">
        <w:rPr>
          <w:rFonts w:ascii="Times" w:hAnsi="Times" w:cs="Arial"/>
        </w:rPr>
        <w:t xml:space="preserve"> </w:t>
      </w:r>
      <w:r w:rsidR="00EC1EE4" w:rsidRPr="000E50F1">
        <w:rPr>
          <w:rFonts w:ascii="Times" w:hAnsi="Times" w:cs="Arial"/>
        </w:rPr>
        <w:t xml:space="preserve">successful </w:t>
      </w:r>
      <w:r w:rsidRPr="000E50F1">
        <w:rPr>
          <w:rFonts w:ascii="Times" w:hAnsi="Times" w:cs="Arial"/>
        </w:rPr>
        <w:t xml:space="preserve">placed-based approach </w:t>
      </w:r>
      <w:r w:rsidR="00A75DC8" w:rsidRPr="000E50F1">
        <w:rPr>
          <w:rFonts w:ascii="Times" w:hAnsi="Times" w:cs="Arial"/>
        </w:rPr>
        <w:t xml:space="preserve">by </w:t>
      </w:r>
      <w:r w:rsidRPr="000E50F1">
        <w:rPr>
          <w:rFonts w:ascii="Times" w:hAnsi="Times" w:cs="Arial"/>
        </w:rPr>
        <w:t>leverag</w:t>
      </w:r>
      <w:r w:rsidR="00A75DC8" w:rsidRPr="000E50F1">
        <w:rPr>
          <w:rFonts w:ascii="Times" w:hAnsi="Times" w:cs="Arial"/>
        </w:rPr>
        <w:t>ing</w:t>
      </w:r>
      <w:r w:rsidRPr="000E50F1">
        <w:rPr>
          <w:rFonts w:ascii="Times" w:hAnsi="Times" w:cs="Arial"/>
        </w:rPr>
        <w:t xml:space="preserve"> place identity rooted in heritage of social solidarity of the whole community (Cullen and Walton</w:t>
      </w:r>
      <w:r w:rsidRPr="000E50F1">
        <w:rPr>
          <w:rFonts w:ascii="Cambria Math" w:hAnsi="Cambria Math" w:cs="Cambria Math"/>
        </w:rPr>
        <w:t>‐</w:t>
      </w:r>
      <w:r w:rsidRPr="000E50F1">
        <w:rPr>
          <w:rFonts w:ascii="Times" w:hAnsi="Times" w:cs="Arial"/>
        </w:rPr>
        <w:t xml:space="preserve">Roberts 2019) and </w:t>
      </w:r>
      <w:r w:rsidR="00E60FA3" w:rsidRPr="000E50F1">
        <w:rPr>
          <w:rFonts w:ascii="Times" w:hAnsi="Times" w:cs="Arial"/>
        </w:rPr>
        <w:t xml:space="preserve">by </w:t>
      </w:r>
      <w:r w:rsidR="00E73C69" w:rsidRPr="000E50F1">
        <w:rPr>
          <w:rFonts w:ascii="Times" w:hAnsi="Times" w:cs="Arial"/>
        </w:rPr>
        <w:t xml:space="preserve">community </w:t>
      </w:r>
      <w:r w:rsidRPr="000E50F1">
        <w:rPr>
          <w:rFonts w:ascii="Times" w:hAnsi="Times" w:cs="Arial"/>
        </w:rPr>
        <w:t>proactively adapting to neoliberal state restructuring and austerity agendas (Veronis 2019)</w:t>
      </w:r>
      <w:r w:rsidR="00E73C69" w:rsidRPr="000E50F1">
        <w:rPr>
          <w:rFonts w:ascii="Times" w:hAnsi="Times" w:cs="Arial"/>
        </w:rPr>
        <w:t xml:space="preserve">. </w:t>
      </w:r>
      <w:r w:rsidR="00A42C32" w:rsidRPr="000E50F1">
        <w:rPr>
          <w:rFonts w:ascii="Times" w:hAnsi="Times" w:cs="Arial"/>
        </w:rPr>
        <w:t xml:space="preserve">This points to the </w:t>
      </w:r>
      <w:r w:rsidR="007D35C7" w:rsidRPr="000E50F1">
        <w:rPr>
          <w:rFonts w:ascii="Times" w:hAnsi="Times" w:cs="Arial"/>
        </w:rPr>
        <w:t>efficacy</w:t>
      </w:r>
      <w:r w:rsidR="00A42C32" w:rsidRPr="000E50F1">
        <w:rPr>
          <w:rFonts w:ascii="Times" w:hAnsi="Times" w:cs="Arial"/>
        </w:rPr>
        <w:t xml:space="preserve"> of </w:t>
      </w:r>
      <w:r w:rsidR="00A42C32" w:rsidRPr="000E50F1">
        <w:rPr>
          <w:rFonts w:ascii="Times" w:hAnsi="Times"/>
          <w:spacing w:val="-5"/>
        </w:rPr>
        <w:t>individuals and groups exercising reflexivity and free</w:t>
      </w:r>
      <w:r w:rsidR="000102AA" w:rsidRPr="000E50F1">
        <w:rPr>
          <w:rFonts w:ascii="Times" w:hAnsi="Times"/>
          <w:spacing w:val="-5"/>
        </w:rPr>
        <w:t xml:space="preserve"> </w:t>
      </w:r>
      <w:r w:rsidR="00A75DC8" w:rsidRPr="000E50F1">
        <w:rPr>
          <w:rFonts w:ascii="Times" w:hAnsi="Times"/>
          <w:spacing w:val="-5"/>
        </w:rPr>
        <w:t xml:space="preserve">will (Gibs 2013) </w:t>
      </w:r>
      <w:r w:rsidR="00734BD8" w:rsidRPr="000E50F1">
        <w:rPr>
          <w:rFonts w:ascii="Times" w:hAnsi="Times"/>
          <w:spacing w:val="-5"/>
        </w:rPr>
        <w:t>t</w:t>
      </w:r>
      <w:r w:rsidR="00A42C32" w:rsidRPr="000E50F1">
        <w:rPr>
          <w:rFonts w:ascii="Times" w:hAnsi="Times"/>
          <w:spacing w:val="-5"/>
        </w:rPr>
        <w:t xml:space="preserve">o </w:t>
      </w:r>
      <w:r w:rsidR="000102AA" w:rsidRPr="000E50F1">
        <w:rPr>
          <w:rFonts w:ascii="Times" w:hAnsi="Times"/>
          <w:spacing w:val="-5"/>
        </w:rPr>
        <w:t xml:space="preserve">enact </w:t>
      </w:r>
      <w:r w:rsidR="00734BD8" w:rsidRPr="000E50F1">
        <w:rPr>
          <w:rFonts w:ascii="Times" w:hAnsi="Times"/>
          <w:spacing w:val="-5"/>
        </w:rPr>
        <w:t xml:space="preserve">those </w:t>
      </w:r>
      <w:r w:rsidR="000102AA" w:rsidRPr="000E50F1">
        <w:rPr>
          <w:rFonts w:ascii="Times" w:hAnsi="Times"/>
          <w:spacing w:val="-5"/>
        </w:rPr>
        <w:t xml:space="preserve">activities that would </w:t>
      </w:r>
      <w:r w:rsidR="00A42C32" w:rsidRPr="000E50F1">
        <w:rPr>
          <w:rFonts w:ascii="Times" w:hAnsi="Times"/>
          <w:spacing w:val="-5"/>
        </w:rPr>
        <w:t xml:space="preserve">challenge </w:t>
      </w:r>
      <w:r w:rsidR="000102AA" w:rsidRPr="000E50F1">
        <w:rPr>
          <w:rFonts w:ascii="Times" w:hAnsi="Times"/>
          <w:spacing w:val="-5"/>
        </w:rPr>
        <w:t>the</w:t>
      </w:r>
      <w:r w:rsidR="00A42C32" w:rsidRPr="000E50F1">
        <w:rPr>
          <w:rFonts w:ascii="Times" w:hAnsi="Times"/>
          <w:spacing w:val="-5"/>
        </w:rPr>
        <w:t xml:space="preserve"> </w:t>
      </w:r>
      <w:r w:rsidR="005F48AB" w:rsidRPr="000E50F1">
        <w:rPr>
          <w:rFonts w:ascii="Times" w:hAnsi="Times"/>
          <w:spacing w:val="-5"/>
        </w:rPr>
        <w:t xml:space="preserve">role of the voluntary sector within the </w:t>
      </w:r>
      <w:r w:rsidR="00A42C32" w:rsidRPr="000E50F1">
        <w:rPr>
          <w:rFonts w:ascii="Times" w:hAnsi="Times"/>
          <w:spacing w:val="-5"/>
        </w:rPr>
        <w:t xml:space="preserve">social construction </w:t>
      </w:r>
      <w:r w:rsidR="00734BD8" w:rsidRPr="000E50F1">
        <w:rPr>
          <w:rFonts w:ascii="Times" w:hAnsi="Times"/>
          <w:spacing w:val="-5"/>
        </w:rPr>
        <w:t xml:space="preserve">of the shadow state </w:t>
      </w:r>
      <w:r w:rsidR="00734BD8" w:rsidRPr="000E50F1">
        <w:rPr>
          <w:rFonts w:ascii="Times" w:hAnsi="Times" w:cs="Arial"/>
        </w:rPr>
        <w:t xml:space="preserve">(Wolch 1990) </w:t>
      </w:r>
      <w:r w:rsidR="00A42C32" w:rsidRPr="000E50F1">
        <w:rPr>
          <w:rFonts w:ascii="Times" w:hAnsi="Times"/>
          <w:spacing w:val="-5"/>
        </w:rPr>
        <w:t>outside of human reproduction</w:t>
      </w:r>
      <w:r w:rsidR="00734BD8" w:rsidRPr="000E50F1">
        <w:rPr>
          <w:rFonts w:ascii="Times" w:hAnsi="Times"/>
          <w:spacing w:val="-5"/>
        </w:rPr>
        <w:t>.</w:t>
      </w:r>
      <w:r w:rsidR="00A42C32" w:rsidRPr="000E50F1">
        <w:rPr>
          <w:rFonts w:ascii="Times" w:hAnsi="Times"/>
          <w:spacing w:val="-5"/>
        </w:rPr>
        <w:t xml:space="preserve"> </w:t>
      </w:r>
      <w:r w:rsidR="00E73C69" w:rsidRPr="000E50F1">
        <w:rPr>
          <w:rFonts w:ascii="Times" w:hAnsi="Times" w:cs="Arial"/>
        </w:rPr>
        <w:t>Th</w:t>
      </w:r>
      <w:r w:rsidR="00AA1006" w:rsidRPr="000E50F1">
        <w:rPr>
          <w:rFonts w:ascii="Times" w:hAnsi="Times" w:cs="Arial"/>
        </w:rPr>
        <w:t>ese</w:t>
      </w:r>
      <w:r w:rsidR="00E73C69" w:rsidRPr="000E50F1">
        <w:rPr>
          <w:rFonts w:ascii="Times" w:hAnsi="Times" w:cs="Arial"/>
        </w:rPr>
        <w:t xml:space="preserve"> </w:t>
      </w:r>
      <w:r w:rsidR="00AA1006" w:rsidRPr="000E50F1">
        <w:rPr>
          <w:rFonts w:ascii="Times" w:hAnsi="Times" w:cs="Arial"/>
        </w:rPr>
        <w:t>discrepancies</w:t>
      </w:r>
      <w:r w:rsidR="00E73C69" w:rsidRPr="000E50F1">
        <w:rPr>
          <w:rFonts w:ascii="Times" w:hAnsi="Times" w:cs="Arial"/>
        </w:rPr>
        <w:t xml:space="preserve"> suggests that strategies </w:t>
      </w:r>
      <w:r w:rsidR="00AA1006" w:rsidRPr="000E50F1">
        <w:rPr>
          <w:rFonts w:ascii="Times" w:hAnsi="Times" w:cs="Arial"/>
        </w:rPr>
        <w:t xml:space="preserve">adopted by some jurisdiction </w:t>
      </w:r>
      <w:r w:rsidR="00E73C69" w:rsidRPr="000E50F1">
        <w:rPr>
          <w:rFonts w:ascii="Times" w:hAnsi="Times" w:cs="Arial"/>
        </w:rPr>
        <w:t xml:space="preserve">to offset </w:t>
      </w:r>
      <w:r w:rsidR="00E01C8C" w:rsidRPr="000E50F1">
        <w:rPr>
          <w:rFonts w:ascii="Times" w:hAnsi="Times" w:cs="Arial"/>
        </w:rPr>
        <w:t xml:space="preserve">such </w:t>
      </w:r>
      <w:r w:rsidR="00E73C69" w:rsidRPr="000E50F1">
        <w:rPr>
          <w:rFonts w:ascii="Times" w:hAnsi="Times" w:cs="Arial"/>
        </w:rPr>
        <w:t xml:space="preserve">neoliberalizing constraints </w:t>
      </w:r>
      <w:r w:rsidR="00AA1006" w:rsidRPr="000E50F1">
        <w:rPr>
          <w:rFonts w:ascii="Times" w:hAnsi="Times" w:cs="Arial"/>
        </w:rPr>
        <w:t>is possible</w:t>
      </w:r>
      <w:r w:rsidR="00A82E64" w:rsidRPr="000E50F1">
        <w:rPr>
          <w:rFonts w:ascii="Times" w:hAnsi="Times" w:cs="Arial"/>
        </w:rPr>
        <w:t>,</w:t>
      </w:r>
      <w:r w:rsidR="003F2A75" w:rsidRPr="000E50F1">
        <w:rPr>
          <w:rFonts w:ascii="Times" w:hAnsi="Times" w:cs="Arial"/>
        </w:rPr>
        <w:t xml:space="preserve"> but remains inconsistent</w:t>
      </w:r>
      <w:r w:rsidR="00AA1006" w:rsidRPr="000E50F1">
        <w:rPr>
          <w:rFonts w:ascii="Times" w:hAnsi="Times" w:cs="Arial"/>
        </w:rPr>
        <w:t xml:space="preserve">. </w:t>
      </w:r>
      <w:r w:rsidRPr="000E50F1">
        <w:rPr>
          <w:rFonts w:ascii="Times" w:hAnsi="Times" w:cs="Arial"/>
        </w:rPr>
        <w:t xml:space="preserve">This research points to the nuanced dimensions of place-based approaches and </w:t>
      </w:r>
      <w:r w:rsidR="00E60FA3" w:rsidRPr="000E50F1">
        <w:rPr>
          <w:rFonts w:ascii="Times" w:hAnsi="Times" w:cs="Arial"/>
        </w:rPr>
        <w:t xml:space="preserve">demonstrate how </w:t>
      </w:r>
      <w:r w:rsidRPr="000E50F1">
        <w:rPr>
          <w:rFonts w:ascii="Times" w:hAnsi="Times" w:cs="Arial"/>
        </w:rPr>
        <w:t xml:space="preserve">neoliberal policies can undercut place-based intervention without purposeful stewardship and leadership to leverage intersectoral and intergovernmental challenges in the ebb and flow of resettlement governance </w:t>
      </w:r>
      <w:r w:rsidRPr="000E50F1">
        <w:rPr>
          <w:rFonts w:ascii="Times" w:hAnsi="Times"/>
        </w:rPr>
        <w:t xml:space="preserve">(Rose 2019, </w:t>
      </w:r>
      <w:r w:rsidRPr="000E50F1">
        <w:rPr>
          <w:rFonts w:ascii="Times" w:hAnsi="Times" w:cs="Arial"/>
        </w:rPr>
        <w:t>Walton</w:t>
      </w:r>
      <w:r w:rsidRPr="000E50F1">
        <w:rPr>
          <w:rFonts w:ascii="Cambria Math" w:hAnsi="Cambria Math" w:cs="Cambria Math"/>
        </w:rPr>
        <w:t>‐</w:t>
      </w:r>
      <w:r w:rsidRPr="000E50F1">
        <w:rPr>
          <w:rFonts w:ascii="Times" w:hAnsi="Times" w:cs="Arial"/>
        </w:rPr>
        <w:t>Roberts et al. 2019).</w:t>
      </w:r>
      <w:r w:rsidR="00C46FAA" w:rsidRPr="000E50F1">
        <w:rPr>
          <w:rFonts w:ascii="Times" w:hAnsi="Times" w:cs="Arial"/>
        </w:rPr>
        <w:t xml:space="preserve"> </w:t>
      </w:r>
      <w:r w:rsidR="00E60FA3" w:rsidRPr="000E50F1">
        <w:rPr>
          <w:rFonts w:ascii="Times" w:hAnsi="Times" w:cs="Arial"/>
        </w:rPr>
        <w:t xml:space="preserve">This research affirms the </w:t>
      </w:r>
      <w:r w:rsidR="00C46FAA" w:rsidRPr="000E50F1">
        <w:rPr>
          <w:rFonts w:ascii="Times" w:hAnsi="Times" w:cs="Arial"/>
        </w:rPr>
        <w:t xml:space="preserve"> </w:t>
      </w:r>
      <w:r w:rsidR="000B6FAA" w:rsidRPr="000E50F1">
        <w:rPr>
          <w:rFonts w:ascii="Times" w:hAnsi="Times" w:cs="Arial"/>
        </w:rPr>
        <w:t xml:space="preserve">importance </w:t>
      </w:r>
      <w:r w:rsidR="00BA5F6E" w:rsidRPr="000E50F1">
        <w:rPr>
          <w:rFonts w:ascii="Times" w:hAnsi="Times" w:cs="Arial"/>
        </w:rPr>
        <w:t xml:space="preserve">structures, </w:t>
      </w:r>
      <w:r w:rsidR="000B6FAA" w:rsidRPr="000E50F1">
        <w:rPr>
          <w:rFonts w:ascii="Times" w:hAnsi="Times" w:cs="Arial"/>
        </w:rPr>
        <w:t>scale</w:t>
      </w:r>
      <w:r w:rsidR="00E60FA3" w:rsidRPr="000E50F1">
        <w:rPr>
          <w:rFonts w:ascii="Times" w:hAnsi="Times" w:cs="Arial"/>
        </w:rPr>
        <w:t xml:space="preserve">, </w:t>
      </w:r>
      <w:r w:rsidR="000B6FAA" w:rsidRPr="000E50F1">
        <w:rPr>
          <w:rFonts w:ascii="Times" w:hAnsi="Times" w:cs="Arial"/>
        </w:rPr>
        <w:t>and the concept of place in</w:t>
      </w:r>
      <w:r w:rsidR="00E60FA3" w:rsidRPr="000E50F1">
        <w:rPr>
          <w:rFonts w:ascii="Times" w:hAnsi="Times" w:cs="Arial"/>
        </w:rPr>
        <w:t xml:space="preserve"> mobilizing</w:t>
      </w:r>
      <w:r w:rsidR="000B6FAA" w:rsidRPr="000E50F1">
        <w:rPr>
          <w:rFonts w:ascii="Times" w:hAnsi="Times" w:cs="Arial"/>
        </w:rPr>
        <w:t xml:space="preserve"> </w:t>
      </w:r>
      <w:r w:rsidR="00E60FA3" w:rsidRPr="000E50F1">
        <w:rPr>
          <w:rFonts w:ascii="Times" w:hAnsi="Times" w:cs="Arial"/>
        </w:rPr>
        <w:t xml:space="preserve">transformative </w:t>
      </w:r>
      <w:r w:rsidR="000B6FAA" w:rsidRPr="000E50F1">
        <w:rPr>
          <w:rFonts w:ascii="Times" w:hAnsi="Times" w:cs="Arial"/>
        </w:rPr>
        <w:t xml:space="preserve">place-based </w:t>
      </w:r>
      <w:r w:rsidR="00E60FA3" w:rsidRPr="000E50F1">
        <w:rPr>
          <w:rFonts w:ascii="Times" w:hAnsi="Times" w:cs="Arial"/>
        </w:rPr>
        <w:t>policies</w:t>
      </w:r>
      <w:r w:rsidR="00BA5F6E" w:rsidRPr="000E50F1">
        <w:rPr>
          <w:rFonts w:ascii="Times" w:hAnsi="Times" w:cs="Arial"/>
        </w:rPr>
        <w:t xml:space="preserve"> locally in </w:t>
      </w:r>
      <w:r w:rsidR="00E60FA3" w:rsidRPr="000E50F1">
        <w:rPr>
          <w:rFonts w:ascii="Times" w:hAnsi="Times" w:cs="Arial"/>
        </w:rPr>
        <w:t>the future</w:t>
      </w:r>
      <w:r w:rsidR="00BA5F6E" w:rsidRPr="000E50F1">
        <w:rPr>
          <w:rFonts w:ascii="Times" w:hAnsi="Times" w:cs="Arial"/>
        </w:rPr>
        <w:t>:</w:t>
      </w:r>
    </w:p>
    <w:p w14:paraId="138EA29A" w14:textId="4F986DC1" w:rsidR="009667AB" w:rsidRPr="000E50F1" w:rsidRDefault="00C46FAA" w:rsidP="00BA5F6E">
      <w:pPr>
        <w:pStyle w:val="NormalWeb"/>
        <w:ind w:left="567" w:right="559"/>
        <w:rPr>
          <w:rFonts w:ascii="Times" w:hAnsi="Times" w:cs="Arial"/>
        </w:rPr>
      </w:pPr>
      <w:r w:rsidRPr="000E50F1">
        <w:rPr>
          <w:rFonts w:ascii="Times" w:hAnsi="Times" w:cs="Arial"/>
        </w:rPr>
        <w:t>Notions of structuration also retain their currency in understanding how the spaces/ locales of everyday life are both constitutive of and constituted by meanings that are reproduced or reworked in small-scale ways. Grappling with the structure–agency debate also endures in work concerned with the way that individual and collective action is invariably constrained, yet holds the capacity to be transformative at the level of community politics and the experience of place. Recent work drawing specifically on structuration theory suggests there is considerable opportunity to employ its constituent notions in new ways as a world predicated on the interlocking scales of global and local processes continues to unfold</w:t>
      </w:r>
      <w:r w:rsidR="00BA5F6E" w:rsidRPr="000E50F1">
        <w:rPr>
          <w:rFonts w:ascii="Times" w:hAnsi="Times" w:cs="Arial"/>
        </w:rPr>
        <w:t xml:space="preserve"> (Dyck and Kearns 2006: 95).</w:t>
      </w:r>
    </w:p>
    <w:p w14:paraId="16CEF8F2" w14:textId="2A512B0F" w:rsidR="003E5E63" w:rsidRPr="000E50F1" w:rsidRDefault="00AB5A97" w:rsidP="00432F88">
      <w:pPr>
        <w:pStyle w:val="NormalWeb"/>
        <w:rPr>
          <w:rFonts w:ascii="Times" w:hAnsi="Times" w:cs="Arial"/>
        </w:rPr>
      </w:pPr>
      <w:r w:rsidRPr="000E50F1">
        <w:rPr>
          <w:rFonts w:ascii="Times" w:hAnsi="Times" w:cs="Arial"/>
        </w:rPr>
        <w:lastRenderedPageBreak/>
        <w:t xml:space="preserve">Chapter Four, which examined school-based settlement bridging </w:t>
      </w:r>
      <w:r w:rsidR="00864CD3" w:rsidRPr="000E50F1">
        <w:rPr>
          <w:rFonts w:ascii="Times" w:hAnsi="Times" w:cs="Arial"/>
        </w:rPr>
        <w:t xml:space="preserve">and </w:t>
      </w:r>
      <w:r w:rsidR="009667AB" w:rsidRPr="000E50F1">
        <w:rPr>
          <w:rFonts w:ascii="Times" w:hAnsi="Times" w:cs="Arial"/>
        </w:rPr>
        <w:t>brokering</w:t>
      </w:r>
      <w:r w:rsidR="00864CD3" w:rsidRPr="000E50F1">
        <w:rPr>
          <w:rFonts w:ascii="Times" w:hAnsi="Times" w:cs="Arial"/>
        </w:rPr>
        <w:t xml:space="preserve"> </w:t>
      </w:r>
      <w:r w:rsidRPr="000E50F1">
        <w:rPr>
          <w:rFonts w:ascii="Times" w:hAnsi="Times" w:cs="Arial"/>
        </w:rPr>
        <w:t xml:space="preserve">school-based mental health found benefits in using </w:t>
      </w:r>
      <w:r w:rsidR="00864CD3" w:rsidRPr="000E50F1">
        <w:rPr>
          <w:rFonts w:ascii="Times" w:hAnsi="Times" w:cs="Arial"/>
        </w:rPr>
        <w:t>SWIS workers</w:t>
      </w:r>
      <w:r w:rsidRPr="000E50F1">
        <w:rPr>
          <w:rFonts w:ascii="Times" w:hAnsi="Times" w:cs="Arial"/>
        </w:rPr>
        <w:t xml:space="preserve"> to address cultural, linguistic, and systemic barriers in promoting mental health in a post-migration and resettlement context</w:t>
      </w:r>
      <w:r w:rsidR="00432F88" w:rsidRPr="000E50F1">
        <w:rPr>
          <w:rFonts w:ascii="Times" w:hAnsi="Times" w:cs="Arial"/>
        </w:rPr>
        <w:t>s</w:t>
      </w:r>
      <w:r w:rsidRPr="000E50F1">
        <w:rPr>
          <w:rFonts w:ascii="Times" w:hAnsi="Times" w:cs="Arial"/>
        </w:rPr>
        <w:t xml:space="preserve">, which has been identified as a current limitation of </w:t>
      </w:r>
      <w:r w:rsidRPr="000E50F1">
        <w:rPr>
          <w:rFonts w:ascii="Times" w:hAnsi="Times" w:cs="Arial"/>
          <w:bCs/>
        </w:rPr>
        <w:t>models and approaches in mental health promotion in Canada (Khanlou 2010)</w:t>
      </w:r>
      <w:r w:rsidRPr="000E50F1">
        <w:rPr>
          <w:rFonts w:ascii="Times" w:hAnsi="Times" w:cs="Arial"/>
        </w:rPr>
        <w:t xml:space="preserve">. </w:t>
      </w:r>
      <w:r w:rsidR="00EC1EE4" w:rsidRPr="000E50F1">
        <w:rPr>
          <w:rFonts w:ascii="Times" w:hAnsi="Times" w:cs="Arial"/>
        </w:rPr>
        <w:t>T</w:t>
      </w:r>
      <w:r w:rsidR="005F48AB" w:rsidRPr="000E50F1">
        <w:rPr>
          <w:rFonts w:ascii="Times" w:hAnsi="Times" w:cs="Arial"/>
        </w:rPr>
        <w:t xml:space="preserve">his research </w:t>
      </w:r>
      <w:r w:rsidR="009667AB" w:rsidRPr="000E50F1">
        <w:rPr>
          <w:rFonts w:ascii="Times" w:hAnsi="Times" w:cs="Arial"/>
        </w:rPr>
        <w:t>demonstrate</w:t>
      </w:r>
      <w:r w:rsidR="00F201D7" w:rsidRPr="000E50F1">
        <w:rPr>
          <w:rFonts w:ascii="Times" w:hAnsi="Times" w:cs="Arial"/>
        </w:rPr>
        <w:t>s</w:t>
      </w:r>
      <w:r w:rsidR="009667AB" w:rsidRPr="000E50F1">
        <w:rPr>
          <w:rFonts w:ascii="Times" w:hAnsi="Times" w:cs="Arial"/>
        </w:rPr>
        <w:t xml:space="preserve"> the</w:t>
      </w:r>
      <w:r w:rsidR="005F48AB" w:rsidRPr="000E50F1">
        <w:rPr>
          <w:rFonts w:ascii="Times" w:hAnsi="Times" w:cs="Arial"/>
        </w:rPr>
        <w:t xml:space="preserve"> </w:t>
      </w:r>
      <w:r w:rsidR="00EC1EE4" w:rsidRPr="000E50F1">
        <w:rPr>
          <w:rFonts w:ascii="Times" w:hAnsi="Times" w:cs="Arial"/>
        </w:rPr>
        <w:t>efficacy</w:t>
      </w:r>
      <w:r w:rsidR="005F48AB" w:rsidRPr="000E50F1">
        <w:rPr>
          <w:rFonts w:ascii="Times" w:hAnsi="Times" w:cs="Arial"/>
        </w:rPr>
        <w:t xml:space="preserve"> of </w:t>
      </w:r>
      <w:r w:rsidR="00EC1EE4" w:rsidRPr="000E50F1">
        <w:rPr>
          <w:rFonts w:ascii="Times" w:hAnsi="Times" w:cs="Arial"/>
        </w:rPr>
        <w:t>individuals</w:t>
      </w:r>
      <w:r w:rsidR="00CC248F" w:rsidRPr="000E50F1">
        <w:rPr>
          <w:rFonts w:ascii="Times" w:hAnsi="Times" w:cs="Arial"/>
        </w:rPr>
        <w:t xml:space="preserve"> employed</w:t>
      </w:r>
      <w:r w:rsidR="00EC1EE4" w:rsidRPr="000E50F1">
        <w:rPr>
          <w:rFonts w:ascii="Times" w:hAnsi="Times" w:cs="Arial"/>
        </w:rPr>
        <w:t xml:space="preserve"> </w:t>
      </w:r>
      <w:r w:rsidR="00513593" w:rsidRPr="000E50F1">
        <w:rPr>
          <w:rFonts w:ascii="Times" w:hAnsi="Times" w:cs="Arial"/>
        </w:rPr>
        <w:t xml:space="preserve">in the </w:t>
      </w:r>
      <w:r w:rsidR="00EC1EE4" w:rsidRPr="000E50F1">
        <w:rPr>
          <w:rFonts w:ascii="Times" w:hAnsi="Times" w:cs="Arial"/>
        </w:rPr>
        <w:t>settlement</w:t>
      </w:r>
      <w:r w:rsidR="00513593" w:rsidRPr="000E50F1">
        <w:rPr>
          <w:rFonts w:ascii="Times" w:hAnsi="Times" w:cs="Arial"/>
        </w:rPr>
        <w:t xml:space="preserve"> </w:t>
      </w:r>
      <w:r w:rsidR="00CC248F" w:rsidRPr="000E50F1">
        <w:rPr>
          <w:rFonts w:ascii="Times" w:hAnsi="Times" w:cs="Arial"/>
        </w:rPr>
        <w:t xml:space="preserve">sector </w:t>
      </w:r>
      <w:r w:rsidR="00513593" w:rsidRPr="000E50F1">
        <w:rPr>
          <w:rFonts w:ascii="Times" w:hAnsi="Times" w:cs="Arial"/>
        </w:rPr>
        <w:t xml:space="preserve">to astutely navigate around and through </w:t>
      </w:r>
      <w:r w:rsidR="00CC248F" w:rsidRPr="000E50F1">
        <w:rPr>
          <w:rFonts w:ascii="Times" w:hAnsi="Times" w:cs="Arial"/>
        </w:rPr>
        <w:t xml:space="preserve">individual-, interpersonal-, institutional- and societal-level </w:t>
      </w:r>
      <w:r w:rsidR="00513593" w:rsidRPr="000E50F1">
        <w:rPr>
          <w:rFonts w:ascii="Times" w:hAnsi="Times" w:cs="Arial"/>
        </w:rPr>
        <w:t>barriers limiting</w:t>
      </w:r>
      <w:r w:rsidR="001535EA" w:rsidRPr="000E50F1">
        <w:rPr>
          <w:rFonts w:ascii="Times" w:hAnsi="Times" w:cs="Arial"/>
        </w:rPr>
        <w:t xml:space="preserve"> </w:t>
      </w:r>
      <w:r w:rsidR="009667AB" w:rsidRPr="000E50F1">
        <w:rPr>
          <w:rFonts w:ascii="Times" w:hAnsi="Times" w:cs="Arial"/>
        </w:rPr>
        <w:t>(</w:t>
      </w:r>
      <w:r w:rsidR="001535EA" w:rsidRPr="000E50F1">
        <w:rPr>
          <w:rFonts w:ascii="Times" w:hAnsi="Times" w:cs="Arial"/>
        </w:rPr>
        <w:t>and deterring</w:t>
      </w:r>
      <w:r w:rsidR="009667AB" w:rsidRPr="000E50F1">
        <w:rPr>
          <w:rFonts w:ascii="Times" w:hAnsi="Times" w:cs="Arial"/>
        </w:rPr>
        <w:t>)</w:t>
      </w:r>
      <w:r w:rsidR="00513593" w:rsidRPr="000E50F1">
        <w:rPr>
          <w:rFonts w:ascii="Times" w:hAnsi="Times" w:cs="Arial"/>
        </w:rPr>
        <w:t xml:space="preserve"> newcomer</w:t>
      </w:r>
      <w:r w:rsidR="001535EA" w:rsidRPr="000E50F1">
        <w:rPr>
          <w:rFonts w:ascii="Times" w:hAnsi="Times" w:cs="Arial"/>
        </w:rPr>
        <w:t>s’</w:t>
      </w:r>
      <w:r w:rsidR="00513593" w:rsidRPr="000E50F1">
        <w:rPr>
          <w:rFonts w:ascii="Times" w:hAnsi="Times" w:cs="Arial"/>
        </w:rPr>
        <w:t xml:space="preserve"> access </w:t>
      </w:r>
      <w:r w:rsidR="001535EA" w:rsidRPr="000E50F1">
        <w:rPr>
          <w:rFonts w:ascii="Times" w:hAnsi="Times" w:cs="Arial"/>
        </w:rPr>
        <w:t xml:space="preserve">to </w:t>
      </w:r>
      <w:r w:rsidR="00513593" w:rsidRPr="000E50F1">
        <w:rPr>
          <w:rFonts w:ascii="Times" w:hAnsi="Times" w:cs="Arial"/>
        </w:rPr>
        <w:t xml:space="preserve">mental health </w:t>
      </w:r>
      <w:r w:rsidR="00432F88" w:rsidRPr="000E50F1">
        <w:rPr>
          <w:rFonts w:ascii="Times" w:hAnsi="Times" w:cs="Arial"/>
        </w:rPr>
        <w:t>care</w:t>
      </w:r>
      <w:r w:rsidR="00513593" w:rsidRPr="000E50F1">
        <w:rPr>
          <w:rFonts w:ascii="Times" w:hAnsi="Times" w:cs="Arial"/>
        </w:rPr>
        <w:t xml:space="preserve">. </w:t>
      </w:r>
      <w:r w:rsidR="006A400B" w:rsidRPr="000E50F1">
        <w:rPr>
          <w:rFonts w:ascii="Times" w:hAnsi="Times" w:cs="Arial"/>
        </w:rPr>
        <w:t>T</w:t>
      </w:r>
      <w:r w:rsidR="009C620D" w:rsidRPr="000E50F1">
        <w:rPr>
          <w:rFonts w:ascii="Times" w:hAnsi="Times" w:cs="Arial"/>
        </w:rPr>
        <w:t xml:space="preserve">his research </w:t>
      </w:r>
      <w:r w:rsidR="006A400B" w:rsidRPr="000E50F1">
        <w:rPr>
          <w:rFonts w:ascii="Times" w:hAnsi="Times" w:cs="Arial"/>
        </w:rPr>
        <w:t xml:space="preserve">fits into </w:t>
      </w:r>
      <w:r w:rsidR="009C620D" w:rsidRPr="000E50F1">
        <w:rPr>
          <w:rFonts w:ascii="Times" w:hAnsi="Times" w:cs="Arial"/>
        </w:rPr>
        <w:t>the long history of geographers exploring</w:t>
      </w:r>
      <w:r w:rsidR="00B20134" w:rsidRPr="000E50F1">
        <w:rPr>
          <w:rFonts w:ascii="Times" w:hAnsi="Times" w:cs="Arial"/>
        </w:rPr>
        <w:t xml:space="preserve"> the typology and</w:t>
      </w:r>
      <w:r w:rsidR="009C620D" w:rsidRPr="000E50F1">
        <w:rPr>
          <w:rFonts w:ascii="Times" w:hAnsi="Times" w:cs="Arial"/>
        </w:rPr>
        <w:t xml:space="preserve"> </w:t>
      </w:r>
      <w:r w:rsidR="00B20134" w:rsidRPr="000E50F1">
        <w:rPr>
          <w:rFonts w:ascii="Times" w:hAnsi="Times" w:cs="Arial"/>
        </w:rPr>
        <w:t>geography of</w:t>
      </w:r>
      <w:r w:rsidR="000E0FCD" w:rsidRPr="000E50F1">
        <w:rPr>
          <w:rFonts w:ascii="Times" w:hAnsi="Times" w:cs="Arial"/>
        </w:rPr>
        <w:t xml:space="preserve"> </w:t>
      </w:r>
      <w:r w:rsidR="00864CD3" w:rsidRPr="000E50F1">
        <w:rPr>
          <w:rFonts w:ascii="Times" w:hAnsi="Times" w:cs="Arial"/>
        </w:rPr>
        <w:t>‘</w:t>
      </w:r>
      <w:r w:rsidR="000E0FCD" w:rsidRPr="000E50F1">
        <w:rPr>
          <w:rFonts w:ascii="Times" w:hAnsi="Times" w:cs="Arial"/>
        </w:rPr>
        <w:t>access</w:t>
      </w:r>
      <w:r w:rsidR="00864CD3" w:rsidRPr="000E50F1">
        <w:rPr>
          <w:rFonts w:ascii="Times" w:hAnsi="Times" w:cs="Arial"/>
        </w:rPr>
        <w:t>’</w:t>
      </w:r>
      <w:r w:rsidR="00B20134" w:rsidRPr="000E50F1">
        <w:rPr>
          <w:rFonts w:ascii="Times" w:hAnsi="Times" w:cs="Arial"/>
        </w:rPr>
        <w:t xml:space="preserve"> </w:t>
      </w:r>
      <w:r w:rsidR="009667AB" w:rsidRPr="000E50F1">
        <w:rPr>
          <w:rFonts w:ascii="Times" w:hAnsi="Times" w:cs="Arial"/>
        </w:rPr>
        <w:t>from</w:t>
      </w:r>
      <w:r w:rsidR="00864CD3" w:rsidRPr="000E50F1">
        <w:rPr>
          <w:rFonts w:ascii="Times" w:hAnsi="Times" w:cs="Arial"/>
        </w:rPr>
        <w:t xml:space="preserve"> an elusive concept to</w:t>
      </w:r>
      <w:r w:rsidR="00B20134" w:rsidRPr="000E50F1">
        <w:rPr>
          <w:rFonts w:ascii="Times" w:hAnsi="Times" w:cs="Arial"/>
        </w:rPr>
        <w:t xml:space="preserve"> </w:t>
      </w:r>
      <w:r w:rsidR="00864CD3" w:rsidRPr="000E50F1">
        <w:rPr>
          <w:rFonts w:ascii="Times" w:hAnsi="Times" w:cs="Arial"/>
        </w:rPr>
        <w:t xml:space="preserve">decades of attention </w:t>
      </w:r>
      <w:r w:rsidR="009667AB" w:rsidRPr="000E50F1">
        <w:rPr>
          <w:rFonts w:ascii="Times" w:hAnsi="Times" w:cs="Arial"/>
        </w:rPr>
        <w:t>focused o</w:t>
      </w:r>
      <w:r w:rsidR="00864CD3" w:rsidRPr="000E50F1">
        <w:rPr>
          <w:rFonts w:ascii="Times" w:hAnsi="Times" w:cs="Arial"/>
        </w:rPr>
        <w:t xml:space="preserve">n </w:t>
      </w:r>
      <w:r w:rsidR="000E0FCD" w:rsidRPr="000E50F1">
        <w:rPr>
          <w:rFonts w:ascii="Times" w:hAnsi="Times" w:cs="Arial"/>
        </w:rPr>
        <w:t>measur</w:t>
      </w:r>
      <w:r w:rsidR="00864CD3" w:rsidRPr="000E50F1">
        <w:rPr>
          <w:rFonts w:ascii="Times" w:hAnsi="Times" w:cs="Arial"/>
        </w:rPr>
        <w:t>ing</w:t>
      </w:r>
      <w:r w:rsidR="000E0FCD" w:rsidRPr="000E50F1">
        <w:rPr>
          <w:rFonts w:ascii="Times" w:hAnsi="Times" w:cs="Arial"/>
        </w:rPr>
        <w:t xml:space="preserve"> the </w:t>
      </w:r>
      <w:r w:rsidR="00FE638E" w:rsidRPr="000E50F1">
        <w:rPr>
          <w:rFonts w:ascii="Times" w:hAnsi="Times" w:cs="Arial"/>
        </w:rPr>
        <w:t xml:space="preserve">spatial </w:t>
      </w:r>
      <w:r w:rsidR="009C620D" w:rsidRPr="000E50F1">
        <w:rPr>
          <w:rFonts w:ascii="Times" w:hAnsi="Times" w:cs="Arial"/>
        </w:rPr>
        <w:t xml:space="preserve">distance </w:t>
      </w:r>
      <w:r w:rsidR="009667AB" w:rsidRPr="000E50F1">
        <w:rPr>
          <w:rFonts w:ascii="Times" w:hAnsi="Times" w:cs="Arial"/>
        </w:rPr>
        <w:t>and</w:t>
      </w:r>
      <w:r w:rsidR="009C620D" w:rsidRPr="000E50F1">
        <w:rPr>
          <w:rFonts w:ascii="Times" w:hAnsi="Times" w:cs="Arial"/>
        </w:rPr>
        <w:t xml:space="preserve"> time to service</w:t>
      </w:r>
      <w:r w:rsidR="00432F88" w:rsidRPr="000E50F1">
        <w:rPr>
          <w:rFonts w:ascii="Times" w:hAnsi="Times" w:cs="Arial"/>
        </w:rPr>
        <w:t>,</w:t>
      </w:r>
      <w:r w:rsidR="00925409" w:rsidRPr="000E50F1">
        <w:rPr>
          <w:rFonts w:ascii="Times" w:hAnsi="Times" w:cs="Arial"/>
        </w:rPr>
        <w:t xml:space="preserve"> </w:t>
      </w:r>
      <w:r w:rsidR="00F201D7" w:rsidRPr="000E50F1">
        <w:rPr>
          <w:rFonts w:ascii="Times" w:hAnsi="Times" w:cs="Arial"/>
        </w:rPr>
        <w:t xml:space="preserve">and its impact in population health </w:t>
      </w:r>
      <w:r w:rsidR="009C620D" w:rsidRPr="000E50F1">
        <w:rPr>
          <w:rFonts w:ascii="Times" w:hAnsi="Times" w:cs="Arial"/>
        </w:rPr>
        <w:t>(Ricketts 2009)</w:t>
      </w:r>
      <w:r w:rsidR="00FE638E" w:rsidRPr="000E50F1">
        <w:rPr>
          <w:rFonts w:ascii="Times" w:hAnsi="Times" w:cs="Arial"/>
        </w:rPr>
        <w:t>.</w:t>
      </w:r>
      <w:r w:rsidR="00F201D7" w:rsidRPr="000E50F1">
        <w:rPr>
          <w:rFonts w:ascii="Times" w:hAnsi="Times" w:cs="Arial"/>
        </w:rPr>
        <w:t xml:space="preserve"> </w:t>
      </w:r>
      <w:r w:rsidR="00FE638E" w:rsidRPr="000E50F1">
        <w:rPr>
          <w:rFonts w:ascii="Times" w:hAnsi="Times" w:cs="Arial"/>
        </w:rPr>
        <w:t xml:space="preserve">Additionally, this research fits into </w:t>
      </w:r>
      <w:r w:rsidR="0082242D" w:rsidRPr="000E50F1">
        <w:rPr>
          <w:rFonts w:ascii="Times" w:hAnsi="Times" w:cs="Arial"/>
        </w:rPr>
        <w:t xml:space="preserve">the ‘third wave’ of mental health geography </w:t>
      </w:r>
      <w:r w:rsidR="00F201D7" w:rsidRPr="000E50F1">
        <w:rPr>
          <w:rFonts w:ascii="Times" w:hAnsi="Times" w:cs="Arial"/>
        </w:rPr>
        <w:t xml:space="preserve">research </w:t>
      </w:r>
      <w:r w:rsidR="0082242D" w:rsidRPr="000E50F1">
        <w:rPr>
          <w:rFonts w:ascii="Times" w:hAnsi="Times" w:cs="Arial"/>
        </w:rPr>
        <w:t xml:space="preserve">that </w:t>
      </w:r>
      <w:r w:rsidR="00C100DD" w:rsidRPr="000E50F1">
        <w:rPr>
          <w:rFonts w:ascii="Times" w:hAnsi="Times" w:cs="Arial"/>
        </w:rPr>
        <w:t>“harness</w:t>
      </w:r>
      <w:r w:rsidR="0082242D" w:rsidRPr="000E50F1">
        <w:rPr>
          <w:rFonts w:ascii="Times" w:hAnsi="Times" w:cs="Arial"/>
        </w:rPr>
        <w:t xml:space="preserve"> a variety of theories and methods to understand nuance</w:t>
      </w:r>
      <w:r w:rsidR="00C100DD" w:rsidRPr="000E50F1">
        <w:rPr>
          <w:rFonts w:ascii="Times" w:hAnsi="Times" w:cs="Arial"/>
        </w:rPr>
        <w:t xml:space="preserve">d </w:t>
      </w:r>
      <w:r w:rsidR="0082242D" w:rsidRPr="000E50F1">
        <w:rPr>
          <w:rFonts w:ascii="Times" w:hAnsi="Times" w:cs="Arial"/>
        </w:rPr>
        <w:t xml:space="preserve">‘place-specific’ happenings </w:t>
      </w:r>
      <w:r w:rsidR="0082242D" w:rsidRPr="000E50F1">
        <w:rPr>
          <w:rFonts w:ascii="Times" w:hAnsi="Times" w:cs="Arial"/>
          <w:i/>
          <w:iCs/>
        </w:rPr>
        <w:t>as well</w:t>
      </w:r>
      <w:r w:rsidR="0082242D" w:rsidRPr="000E50F1">
        <w:rPr>
          <w:rFonts w:ascii="Times" w:hAnsi="Times" w:cs="Arial"/>
        </w:rPr>
        <w:t xml:space="preserve"> as </w:t>
      </w:r>
      <w:r w:rsidR="00C100DD" w:rsidRPr="000E50F1">
        <w:rPr>
          <w:rFonts w:ascii="Times" w:hAnsi="Times" w:cs="Arial"/>
        </w:rPr>
        <w:t xml:space="preserve">more </w:t>
      </w:r>
      <w:r w:rsidR="0082242D" w:rsidRPr="000E50F1">
        <w:rPr>
          <w:rFonts w:ascii="Times" w:hAnsi="Times" w:cs="Arial"/>
        </w:rPr>
        <w:t>structurally-determined ‘space-</w:t>
      </w:r>
      <w:r w:rsidR="00C100DD" w:rsidRPr="000E50F1">
        <w:rPr>
          <w:rFonts w:ascii="Times" w:hAnsi="Times" w:cs="Arial"/>
        </w:rPr>
        <w:t>compressing</w:t>
      </w:r>
      <w:r w:rsidR="0082242D" w:rsidRPr="000E50F1">
        <w:rPr>
          <w:rFonts w:ascii="Times" w:hAnsi="Times" w:cs="Arial"/>
        </w:rPr>
        <w:t xml:space="preserve">’ processes” (Philo and Wolch 2001: 238). </w:t>
      </w:r>
      <w:r w:rsidR="00631958" w:rsidRPr="000E50F1">
        <w:rPr>
          <w:rFonts w:ascii="Times" w:hAnsi="Times" w:cs="Arial"/>
        </w:rPr>
        <w:t>In this research, s</w:t>
      </w:r>
      <w:r w:rsidR="00C4288A" w:rsidRPr="000E50F1">
        <w:rPr>
          <w:rFonts w:ascii="Times" w:hAnsi="Times" w:cs="Arial"/>
        </w:rPr>
        <w:t xml:space="preserve">tructuration theory </w:t>
      </w:r>
      <w:r w:rsidR="00F545B0" w:rsidRPr="000E50F1">
        <w:rPr>
          <w:rFonts w:ascii="Times" w:hAnsi="Times" w:cs="Arial"/>
        </w:rPr>
        <w:t>help</w:t>
      </w:r>
      <w:r w:rsidR="00432F88" w:rsidRPr="000E50F1">
        <w:rPr>
          <w:rFonts w:ascii="Times" w:hAnsi="Times" w:cs="Arial"/>
        </w:rPr>
        <w:t>s</w:t>
      </w:r>
      <w:r w:rsidR="00F545B0" w:rsidRPr="000E50F1">
        <w:rPr>
          <w:rFonts w:ascii="Times" w:hAnsi="Times" w:cs="Arial"/>
        </w:rPr>
        <w:t xml:space="preserve"> to </w:t>
      </w:r>
      <w:r w:rsidR="00631958" w:rsidRPr="000E50F1">
        <w:rPr>
          <w:rFonts w:ascii="Times" w:hAnsi="Times" w:cs="Arial"/>
        </w:rPr>
        <w:t>explain</w:t>
      </w:r>
      <w:r w:rsidR="00F545B0" w:rsidRPr="000E50F1">
        <w:rPr>
          <w:rFonts w:ascii="Times" w:hAnsi="Times" w:cs="Arial"/>
        </w:rPr>
        <w:t xml:space="preserve"> the </w:t>
      </w:r>
      <w:r w:rsidR="00C4288A" w:rsidRPr="000E50F1">
        <w:rPr>
          <w:rFonts w:ascii="Times" w:hAnsi="Times" w:cs="Arial"/>
        </w:rPr>
        <w:t>interplay between SWIS</w:t>
      </w:r>
      <w:r w:rsidR="00F545B0" w:rsidRPr="000E50F1">
        <w:rPr>
          <w:rFonts w:ascii="Times" w:hAnsi="Times" w:cs="Arial"/>
        </w:rPr>
        <w:t xml:space="preserve"> worker’s agency (i.e. </w:t>
      </w:r>
      <w:r w:rsidR="00C4288A" w:rsidRPr="000E50F1">
        <w:rPr>
          <w:rFonts w:ascii="Times" w:hAnsi="Times" w:cs="Arial"/>
        </w:rPr>
        <w:t xml:space="preserve">decisions, practice, and </w:t>
      </w:r>
      <w:r w:rsidR="00F545B0" w:rsidRPr="000E50F1">
        <w:rPr>
          <w:rFonts w:ascii="Times" w:hAnsi="Times" w:cs="Arial"/>
        </w:rPr>
        <w:t>perceived</w:t>
      </w:r>
      <w:r w:rsidR="00C4288A" w:rsidRPr="000E50F1">
        <w:rPr>
          <w:rFonts w:ascii="Times" w:hAnsi="Times" w:cs="Arial"/>
        </w:rPr>
        <w:t xml:space="preserve"> role as a </w:t>
      </w:r>
      <w:r w:rsidR="00F545B0" w:rsidRPr="000E50F1">
        <w:rPr>
          <w:rFonts w:ascii="Times" w:hAnsi="Times" w:cs="Arial"/>
        </w:rPr>
        <w:t>cultural broker</w:t>
      </w:r>
      <w:r w:rsidR="00432F88" w:rsidRPr="000E50F1">
        <w:rPr>
          <w:rFonts w:ascii="Times" w:hAnsi="Times" w:cs="Arial"/>
        </w:rPr>
        <w:t>, etc.</w:t>
      </w:r>
      <w:r w:rsidR="00F545B0" w:rsidRPr="000E50F1">
        <w:rPr>
          <w:rFonts w:ascii="Times" w:hAnsi="Times" w:cs="Arial"/>
        </w:rPr>
        <w:t>)</w:t>
      </w:r>
      <w:r w:rsidR="00432F88" w:rsidRPr="000E50F1">
        <w:rPr>
          <w:rFonts w:ascii="Times" w:hAnsi="Times" w:cs="Arial"/>
        </w:rPr>
        <w:t>,</w:t>
      </w:r>
      <w:r w:rsidR="00F545B0" w:rsidRPr="000E50F1">
        <w:rPr>
          <w:rFonts w:ascii="Times" w:hAnsi="Times" w:cs="Arial"/>
        </w:rPr>
        <w:t xml:space="preserve"> systems (i.e., cultural ideologies, </w:t>
      </w:r>
      <w:r w:rsidR="00432F88" w:rsidRPr="000E50F1">
        <w:rPr>
          <w:rFonts w:ascii="Times" w:hAnsi="Times" w:cs="Arial"/>
        </w:rPr>
        <w:t xml:space="preserve">group and individual stigma, formal </w:t>
      </w:r>
      <w:r w:rsidR="00F545B0" w:rsidRPr="000E50F1">
        <w:rPr>
          <w:rFonts w:ascii="Times" w:hAnsi="Times" w:cs="Arial"/>
        </w:rPr>
        <w:t>role of settlement worker,</w:t>
      </w:r>
      <w:r w:rsidR="00432F88" w:rsidRPr="000E50F1">
        <w:rPr>
          <w:rFonts w:ascii="Times" w:hAnsi="Times" w:cs="Arial"/>
        </w:rPr>
        <w:t xml:space="preserve"> etc.</w:t>
      </w:r>
      <w:r w:rsidR="00F545B0" w:rsidRPr="000E50F1">
        <w:rPr>
          <w:rFonts w:ascii="Times" w:hAnsi="Times" w:cs="Arial"/>
        </w:rPr>
        <w:t xml:space="preserve">) and </w:t>
      </w:r>
      <w:r w:rsidR="00631958" w:rsidRPr="000E50F1">
        <w:rPr>
          <w:rFonts w:ascii="Times" w:hAnsi="Times" w:cs="Arial"/>
        </w:rPr>
        <w:t>structures</w:t>
      </w:r>
      <w:r w:rsidR="00F545B0" w:rsidRPr="000E50F1">
        <w:rPr>
          <w:rFonts w:ascii="Times" w:hAnsi="Times" w:cs="Arial"/>
        </w:rPr>
        <w:t xml:space="preserve"> (i.e., </w:t>
      </w:r>
      <w:r w:rsidR="00631958" w:rsidRPr="000E50F1">
        <w:rPr>
          <w:rFonts w:ascii="Times" w:hAnsi="Times" w:cs="Arial"/>
        </w:rPr>
        <w:t xml:space="preserve">prescriptive </w:t>
      </w:r>
      <w:r w:rsidR="00C4288A" w:rsidRPr="000E50F1">
        <w:rPr>
          <w:rFonts w:ascii="Times" w:hAnsi="Times" w:cs="Arial"/>
        </w:rPr>
        <w:t xml:space="preserve">mental health education, </w:t>
      </w:r>
      <w:r w:rsidR="00631958" w:rsidRPr="000E50F1">
        <w:rPr>
          <w:rFonts w:ascii="Times" w:hAnsi="Times" w:cs="Arial"/>
        </w:rPr>
        <w:t xml:space="preserve">school system’s </w:t>
      </w:r>
      <w:r w:rsidR="00C4288A" w:rsidRPr="000E50F1">
        <w:rPr>
          <w:rFonts w:ascii="Times" w:hAnsi="Times" w:cs="Arial"/>
        </w:rPr>
        <w:t xml:space="preserve">pathway to care, </w:t>
      </w:r>
      <w:r w:rsidR="00631958" w:rsidRPr="000E50F1">
        <w:rPr>
          <w:rFonts w:ascii="Times" w:hAnsi="Times" w:cs="Arial"/>
        </w:rPr>
        <w:t>age of consent, location of mental health service in the community, the use of interpretive services for language learners</w:t>
      </w:r>
      <w:r w:rsidR="00432F88" w:rsidRPr="000E50F1">
        <w:rPr>
          <w:rFonts w:ascii="Times" w:hAnsi="Times" w:cs="Arial"/>
        </w:rPr>
        <w:t>, etc.</w:t>
      </w:r>
      <w:r w:rsidR="00631958" w:rsidRPr="000E50F1">
        <w:rPr>
          <w:rFonts w:ascii="Times" w:hAnsi="Times" w:cs="Arial"/>
        </w:rPr>
        <w:t>).</w:t>
      </w:r>
      <w:r w:rsidR="000B08D0" w:rsidRPr="000E50F1">
        <w:rPr>
          <w:rFonts w:ascii="Times" w:hAnsi="Times" w:cs="Arial"/>
        </w:rPr>
        <w:t xml:space="preserve"> </w:t>
      </w:r>
      <w:r w:rsidR="00E32305" w:rsidRPr="000E50F1">
        <w:rPr>
          <w:rFonts w:ascii="Times" w:hAnsi="Times" w:cs="Arial"/>
        </w:rPr>
        <w:t>As indicated, t</w:t>
      </w:r>
      <w:r w:rsidR="000B08D0" w:rsidRPr="000E50F1">
        <w:rPr>
          <w:rFonts w:ascii="Times" w:hAnsi="Times" w:cs="Arial"/>
        </w:rPr>
        <w:t xml:space="preserve">here are numerous </w:t>
      </w:r>
      <w:r w:rsidR="00A46D5A" w:rsidRPr="000E50F1">
        <w:rPr>
          <w:rFonts w:ascii="Times" w:hAnsi="Times" w:cs="Arial"/>
        </w:rPr>
        <w:t>structures</w:t>
      </w:r>
      <w:r w:rsidR="000B08D0" w:rsidRPr="000E50F1">
        <w:rPr>
          <w:rFonts w:ascii="Times" w:hAnsi="Times" w:cs="Arial"/>
        </w:rPr>
        <w:t xml:space="preserve"> in these systems that constrain</w:t>
      </w:r>
      <w:r w:rsidR="00432F88" w:rsidRPr="000E50F1">
        <w:rPr>
          <w:rFonts w:ascii="Times" w:hAnsi="Times" w:cs="Arial"/>
        </w:rPr>
        <w:t>ed</w:t>
      </w:r>
      <w:r w:rsidR="000B08D0" w:rsidRPr="000E50F1">
        <w:rPr>
          <w:rFonts w:ascii="Times" w:hAnsi="Times" w:cs="Arial"/>
        </w:rPr>
        <w:t xml:space="preserve"> students’ access</w:t>
      </w:r>
      <w:r w:rsidR="00E32305" w:rsidRPr="000E50F1">
        <w:rPr>
          <w:rFonts w:ascii="Times" w:hAnsi="Times" w:cs="Arial"/>
        </w:rPr>
        <w:t>, h</w:t>
      </w:r>
      <w:r w:rsidR="000B08D0" w:rsidRPr="000E50F1">
        <w:rPr>
          <w:rFonts w:ascii="Times" w:hAnsi="Times" w:cs="Arial"/>
        </w:rPr>
        <w:t>owever, SWIS workers</w:t>
      </w:r>
      <w:r w:rsidR="00432F88" w:rsidRPr="000E50F1">
        <w:rPr>
          <w:rFonts w:ascii="Times" w:hAnsi="Times" w:cs="Arial"/>
        </w:rPr>
        <w:t>’</w:t>
      </w:r>
      <w:r w:rsidR="000B08D0" w:rsidRPr="000E50F1">
        <w:rPr>
          <w:rFonts w:ascii="Times" w:hAnsi="Times" w:cs="Arial"/>
        </w:rPr>
        <w:t xml:space="preserve"> individual and group </w:t>
      </w:r>
      <w:r w:rsidR="00432F88" w:rsidRPr="000E50F1">
        <w:rPr>
          <w:rFonts w:ascii="Times" w:hAnsi="Times" w:cs="Arial"/>
        </w:rPr>
        <w:t>action in mediating student</w:t>
      </w:r>
      <w:r w:rsidR="00E32305" w:rsidRPr="000E50F1">
        <w:rPr>
          <w:rFonts w:ascii="Times" w:hAnsi="Times" w:cs="Arial"/>
        </w:rPr>
        <w:t>s’ and families’ access</w:t>
      </w:r>
      <w:r w:rsidR="00432F88" w:rsidRPr="000E50F1">
        <w:rPr>
          <w:rFonts w:ascii="Times" w:hAnsi="Times" w:cs="Arial"/>
        </w:rPr>
        <w:t xml:space="preserve"> care</w:t>
      </w:r>
      <w:r w:rsidR="00E32305" w:rsidRPr="000E50F1">
        <w:rPr>
          <w:rFonts w:ascii="Times" w:hAnsi="Times" w:cs="Arial"/>
        </w:rPr>
        <w:t>—at times ac</w:t>
      </w:r>
      <w:r w:rsidR="000B08D0" w:rsidRPr="000E50F1">
        <w:rPr>
          <w:rFonts w:ascii="Times" w:hAnsi="Times" w:cs="Arial"/>
        </w:rPr>
        <w:t>t</w:t>
      </w:r>
      <w:r w:rsidR="00432F88" w:rsidRPr="000E50F1">
        <w:rPr>
          <w:rFonts w:ascii="Times" w:hAnsi="Times" w:cs="Arial"/>
        </w:rPr>
        <w:t>ing</w:t>
      </w:r>
      <w:r w:rsidR="000B08D0" w:rsidRPr="000E50F1">
        <w:rPr>
          <w:rFonts w:ascii="Times" w:hAnsi="Times" w:cs="Arial"/>
        </w:rPr>
        <w:t xml:space="preserve"> within </w:t>
      </w:r>
      <w:r w:rsidR="00432F88" w:rsidRPr="000E50F1">
        <w:rPr>
          <w:rFonts w:ascii="Times" w:hAnsi="Times" w:cs="Arial"/>
        </w:rPr>
        <w:t xml:space="preserve">the </w:t>
      </w:r>
      <w:r w:rsidR="000B08D0" w:rsidRPr="000E50F1">
        <w:rPr>
          <w:rFonts w:ascii="Times" w:hAnsi="Times" w:cs="Arial"/>
        </w:rPr>
        <w:t xml:space="preserve">constraints of structures (i.e., engaging families </w:t>
      </w:r>
      <w:r w:rsidR="00A46D5A" w:rsidRPr="000E50F1">
        <w:rPr>
          <w:rFonts w:ascii="Times" w:hAnsi="Times" w:cs="Arial"/>
        </w:rPr>
        <w:t xml:space="preserve">or reframing mental health education from a </w:t>
      </w:r>
      <w:r w:rsidR="00385075" w:rsidRPr="000E50F1">
        <w:rPr>
          <w:rFonts w:ascii="Times" w:hAnsi="Times" w:cs="Arial"/>
        </w:rPr>
        <w:t>culturally</w:t>
      </w:r>
      <w:r w:rsidR="00A46D5A" w:rsidRPr="000E50F1">
        <w:rPr>
          <w:rFonts w:ascii="Times" w:hAnsi="Times" w:cs="Arial"/>
        </w:rPr>
        <w:t xml:space="preserve"> sensitive lens</w:t>
      </w:r>
      <w:r w:rsidR="000B08D0" w:rsidRPr="000E50F1">
        <w:rPr>
          <w:rFonts w:ascii="Times" w:hAnsi="Times" w:cs="Arial"/>
        </w:rPr>
        <w:t xml:space="preserve">) </w:t>
      </w:r>
      <w:r w:rsidR="00E32305" w:rsidRPr="000E50F1">
        <w:rPr>
          <w:rFonts w:ascii="Times" w:hAnsi="Times" w:cs="Arial"/>
        </w:rPr>
        <w:t>and</w:t>
      </w:r>
      <w:r w:rsidR="000B08D0" w:rsidRPr="000E50F1">
        <w:rPr>
          <w:rFonts w:ascii="Times" w:hAnsi="Times" w:cs="Arial"/>
        </w:rPr>
        <w:t xml:space="preserve"> against them (</w:t>
      </w:r>
      <w:r w:rsidR="004D0A3E" w:rsidRPr="000E50F1">
        <w:rPr>
          <w:rFonts w:ascii="Times" w:hAnsi="Times" w:cs="Arial"/>
        </w:rPr>
        <w:t>i.e.</w:t>
      </w:r>
      <w:r w:rsidR="00A46D5A" w:rsidRPr="000E50F1">
        <w:rPr>
          <w:rFonts w:ascii="Times" w:hAnsi="Times" w:cs="Arial"/>
        </w:rPr>
        <w:t xml:space="preserve">, </w:t>
      </w:r>
      <w:r w:rsidR="00A46D5A" w:rsidRPr="000E50F1">
        <w:rPr>
          <w:rFonts w:ascii="Times" w:hAnsi="Times" w:cs="Arial"/>
          <w:bCs/>
        </w:rPr>
        <w:t>taking a countercultural direction with students</w:t>
      </w:r>
      <w:r w:rsidR="00A46D5A" w:rsidRPr="000E50F1">
        <w:rPr>
          <w:rFonts w:ascii="Times" w:hAnsi="Times" w:cs="Arial"/>
        </w:rPr>
        <w:t>)</w:t>
      </w:r>
      <w:r w:rsidR="00E32305" w:rsidRPr="000E50F1">
        <w:rPr>
          <w:rFonts w:ascii="Times" w:hAnsi="Times" w:cs="Arial"/>
        </w:rPr>
        <w:t xml:space="preserve">—led </w:t>
      </w:r>
      <w:r w:rsidR="00432F88" w:rsidRPr="000E50F1">
        <w:rPr>
          <w:rFonts w:ascii="Times" w:hAnsi="Times" w:cs="Arial"/>
        </w:rPr>
        <w:t xml:space="preserve">to change in practice in </w:t>
      </w:r>
      <w:r w:rsidR="00E32305" w:rsidRPr="000E50F1">
        <w:rPr>
          <w:rFonts w:ascii="Times" w:hAnsi="Times" w:cs="Arial"/>
        </w:rPr>
        <w:t>school</w:t>
      </w:r>
      <w:r w:rsidR="00432F88" w:rsidRPr="000E50F1">
        <w:rPr>
          <w:rFonts w:ascii="Times" w:hAnsi="Times" w:cs="Arial"/>
        </w:rPr>
        <w:t xml:space="preserve"> spaces</w:t>
      </w:r>
      <w:r w:rsidR="00E32305" w:rsidRPr="000E50F1">
        <w:rPr>
          <w:rFonts w:ascii="Times" w:hAnsi="Times" w:cs="Arial"/>
        </w:rPr>
        <w:t xml:space="preserve">. This highlight’s the </w:t>
      </w:r>
      <w:r w:rsidR="00150CB1" w:rsidRPr="000E50F1">
        <w:rPr>
          <w:rFonts w:ascii="Times" w:hAnsi="Times" w:cs="Arial"/>
        </w:rPr>
        <w:t xml:space="preserve">role </w:t>
      </w:r>
      <w:r w:rsidR="00E32305" w:rsidRPr="000E50F1">
        <w:rPr>
          <w:rFonts w:ascii="Times" w:hAnsi="Times" w:cs="Arial"/>
        </w:rPr>
        <w:t xml:space="preserve">of SWIS workers </w:t>
      </w:r>
      <w:r w:rsidR="00150CB1" w:rsidRPr="000E50F1">
        <w:rPr>
          <w:rFonts w:ascii="Times" w:hAnsi="Times" w:cs="Arial"/>
        </w:rPr>
        <w:t>as agents in the process of</w:t>
      </w:r>
      <w:r w:rsidR="00E32305" w:rsidRPr="000E50F1">
        <w:rPr>
          <w:rFonts w:ascii="Times" w:hAnsi="Times" w:cs="Arial"/>
        </w:rPr>
        <w:t xml:space="preserve"> brokering the domain of access, availability, and accessibility as suggested by Frenk </w:t>
      </w:r>
      <w:r w:rsidR="00150CB1" w:rsidRPr="000E50F1">
        <w:rPr>
          <w:rFonts w:ascii="Times" w:hAnsi="Times" w:cs="Arial"/>
        </w:rPr>
        <w:t xml:space="preserve">(1992) to reduce the effects of distance to service for students and improving students’ negotiation of sociospatial </w:t>
      </w:r>
      <w:r w:rsidR="00E32305" w:rsidRPr="000E50F1">
        <w:rPr>
          <w:rFonts w:ascii="Times" w:hAnsi="Times" w:cs="Arial"/>
        </w:rPr>
        <w:t>elements of a health care system (Ricke</w:t>
      </w:r>
      <w:r w:rsidR="00150CB1" w:rsidRPr="000E50F1">
        <w:rPr>
          <w:rFonts w:ascii="Times" w:hAnsi="Times" w:cs="Arial"/>
        </w:rPr>
        <w:t>t</w:t>
      </w:r>
      <w:r w:rsidR="00E32305" w:rsidRPr="000E50F1">
        <w:rPr>
          <w:rFonts w:ascii="Times" w:hAnsi="Times" w:cs="Arial"/>
        </w:rPr>
        <w:t xml:space="preserve">ts 2009: 530). </w:t>
      </w:r>
      <w:r w:rsidR="00150CB1" w:rsidRPr="000E50F1">
        <w:rPr>
          <w:rFonts w:ascii="Times" w:hAnsi="Times" w:cs="Arial"/>
        </w:rPr>
        <w:t xml:space="preserve">The latter speaks of the importance of patient </w:t>
      </w:r>
      <w:r w:rsidR="00D32C37" w:rsidRPr="000E50F1">
        <w:rPr>
          <w:rFonts w:ascii="Times" w:hAnsi="Times" w:cs="Arial"/>
        </w:rPr>
        <w:t xml:space="preserve">learning </w:t>
      </w:r>
      <w:r w:rsidR="00150CB1" w:rsidRPr="000E50F1">
        <w:rPr>
          <w:rFonts w:ascii="Times" w:hAnsi="Times" w:cs="Arial"/>
        </w:rPr>
        <w:t>as active consumers of health care</w:t>
      </w:r>
      <w:r w:rsidR="00E32305" w:rsidRPr="000E50F1">
        <w:rPr>
          <w:rFonts w:ascii="Times" w:hAnsi="Times" w:cs="Arial"/>
        </w:rPr>
        <w:t xml:space="preserve"> </w:t>
      </w:r>
      <w:r w:rsidR="00150CB1" w:rsidRPr="000E50F1">
        <w:rPr>
          <w:rFonts w:ascii="Times" w:hAnsi="Times" w:cs="Arial"/>
        </w:rPr>
        <w:t xml:space="preserve">(Ricketts 2009, </w:t>
      </w:r>
      <w:r w:rsidR="00150CB1" w:rsidRPr="000E50F1">
        <w:rPr>
          <w:rFonts w:ascii="Times" w:hAnsi="Times"/>
          <w:spacing w:val="-5"/>
        </w:rPr>
        <w:t>Dyck and Kearns 2006, Gesler and Kearns 2005</w:t>
      </w:r>
      <w:r w:rsidR="00150CB1" w:rsidRPr="000E50F1">
        <w:rPr>
          <w:rFonts w:ascii="Times" w:hAnsi="Times" w:cs="Arial"/>
        </w:rPr>
        <w:t>)</w:t>
      </w:r>
      <w:r w:rsidR="00553C9A" w:rsidRPr="000E50F1">
        <w:rPr>
          <w:rFonts w:ascii="Times" w:hAnsi="Times" w:cs="Arial"/>
        </w:rPr>
        <w:t xml:space="preserve"> </w:t>
      </w:r>
      <w:r w:rsidR="00D32C37" w:rsidRPr="000E50F1">
        <w:rPr>
          <w:rFonts w:ascii="Times" w:hAnsi="Times" w:cs="Arial"/>
        </w:rPr>
        <w:t xml:space="preserve">to lessen the </w:t>
      </w:r>
      <w:r w:rsidR="00432F88" w:rsidRPr="000E50F1">
        <w:rPr>
          <w:rFonts w:ascii="Times" w:hAnsi="Times" w:cs="Arial"/>
        </w:rPr>
        <w:t>effects of cultural stigma as students gained mental health literacy and</w:t>
      </w:r>
      <w:r w:rsidR="00D32C37" w:rsidRPr="000E50F1">
        <w:rPr>
          <w:rFonts w:ascii="Times" w:hAnsi="Times" w:cs="Arial"/>
        </w:rPr>
        <w:t xml:space="preserve"> competency</w:t>
      </w:r>
      <w:r w:rsidR="00432F88" w:rsidRPr="000E50F1">
        <w:rPr>
          <w:rFonts w:ascii="Times" w:hAnsi="Times" w:cs="Arial"/>
        </w:rPr>
        <w:t xml:space="preserve">. </w:t>
      </w:r>
      <w:r w:rsidR="00FF3E00" w:rsidRPr="000E50F1">
        <w:rPr>
          <w:rFonts w:ascii="Times" w:hAnsi="Times" w:cs="Arial"/>
        </w:rPr>
        <w:t>The active participation of SWIS workers in leveraging student access can be interpreted as human action that</w:t>
      </w:r>
      <w:r w:rsidR="00A46D5A" w:rsidRPr="000E50F1">
        <w:rPr>
          <w:rFonts w:ascii="Times" w:hAnsi="Times" w:cs="Arial"/>
        </w:rPr>
        <w:t xml:space="preserve"> challenge</w:t>
      </w:r>
      <w:r w:rsidR="00FF3E00" w:rsidRPr="000E50F1">
        <w:rPr>
          <w:rFonts w:ascii="Times" w:hAnsi="Times" w:cs="Arial"/>
        </w:rPr>
        <w:t>d</w:t>
      </w:r>
      <w:r w:rsidR="00A46D5A" w:rsidRPr="000E50F1">
        <w:rPr>
          <w:rFonts w:ascii="Times" w:hAnsi="Times" w:cs="Arial"/>
        </w:rPr>
        <w:t xml:space="preserve"> </w:t>
      </w:r>
      <w:r w:rsidR="00FF3E00" w:rsidRPr="000E50F1">
        <w:rPr>
          <w:rFonts w:ascii="Times" w:hAnsi="Times" w:cs="Arial"/>
        </w:rPr>
        <w:t xml:space="preserve">cultural norms and institutional practice that had previously deterred students from </w:t>
      </w:r>
      <w:r w:rsidR="00553C9A" w:rsidRPr="000E50F1">
        <w:rPr>
          <w:rFonts w:ascii="Times" w:hAnsi="Times" w:cs="Arial"/>
        </w:rPr>
        <w:t xml:space="preserve">engaging in </w:t>
      </w:r>
      <w:r w:rsidR="00FF3E00" w:rsidRPr="000E50F1">
        <w:rPr>
          <w:rFonts w:ascii="Times" w:hAnsi="Times" w:cs="Arial"/>
        </w:rPr>
        <w:t xml:space="preserve">mental health </w:t>
      </w:r>
      <w:r w:rsidR="00553C9A" w:rsidRPr="000E50F1">
        <w:rPr>
          <w:rFonts w:ascii="Times" w:hAnsi="Times" w:cs="Arial"/>
        </w:rPr>
        <w:t>education and service use</w:t>
      </w:r>
      <w:r w:rsidR="00FF3E00" w:rsidRPr="000E50F1">
        <w:rPr>
          <w:rFonts w:ascii="Times" w:hAnsi="Times" w:cs="Arial"/>
        </w:rPr>
        <w:t>.</w:t>
      </w:r>
      <w:r w:rsidR="00432F88" w:rsidRPr="000E50F1">
        <w:rPr>
          <w:rFonts w:ascii="Times" w:hAnsi="Times" w:cs="Arial"/>
        </w:rPr>
        <w:t xml:space="preserve"> Additionally, the actions of SWIS workers also highlight the importance of </w:t>
      </w:r>
      <w:r w:rsidR="00D32C37" w:rsidRPr="000E50F1">
        <w:rPr>
          <w:rFonts w:ascii="Times" w:hAnsi="Times" w:cs="Arial"/>
        </w:rPr>
        <w:t xml:space="preserve">SWIS’s </w:t>
      </w:r>
      <w:r w:rsidR="00553C9A" w:rsidRPr="000E50F1">
        <w:rPr>
          <w:rFonts w:ascii="Times" w:hAnsi="Times" w:cs="Arial"/>
        </w:rPr>
        <w:t>ability</w:t>
      </w:r>
      <w:r w:rsidR="00D32C37" w:rsidRPr="000E50F1">
        <w:rPr>
          <w:rFonts w:ascii="Times" w:hAnsi="Times" w:cs="Arial"/>
        </w:rPr>
        <w:t xml:space="preserve"> </w:t>
      </w:r>
      <w:r w:rsidR="00553C9A" w:rsidRPr="000E50F1">
        <w:rPr>
          <w:rFonts w:ascii="Times" w:hAnsi="Times" w:cs="Arial"/>
        </w:rPr>
        <w:t>to</w:t>
      </w:r>
      <w:r w:rsidR="00D32C37" w:rsidRPr="000E50F1">
        <w:rPr>
          <w:rFonts w:ascii="Times" w:hAnsi="Times" w:cs="Arial"/>
        </w:rPr>
        <w:t xml:space="preserve"> disrupt structures to </w:t>
      </w:r>
      <w:r w:rsidR="00553C9A" w:rsidRPr="000E50F1">
        <w:rPr>
          <w:rFonts w:ascii="Times" w:hAnsi="Times" w:cs="Arial"/>
        </w:rPr>
        <w:t>alter patterns of access (in both</w:t>
      </w:r>
      <w:r w:rsidR="00D32C37" w:rsidRPr="000E50F1">
        <w:rPr>
          <w:rFonts w:ascii="Times" w:hAnsi="Times" w:cs="Arial"/>
        </w:rPr>
        <w:t xml:space="preserve"> geographic and temporal movement</w:t>
      </w:r>
      <w:r w:rsidR="00553C9A" w:rsidRPr="000E50F1">
        <w:rPr>
          <w:rFonts w:ascii="Times" w:hAnsi="Times" w:cs="Arial"/>
        </w:rPr>
        <w:t xml:space="preserve">) within </w:t>
      </w:r>
      <w:r w:rsidR="00D32C37" w:rsidRPr="000E50F1">
        <w:rPr>
          <w:rFonts w:ascii="Times" w:hAnsi="Times" w:cs="Arial"/>
        </w:rPr>
        <w:t>school</w:t>
      </w:r>
      <w:r w:rsidR="00553C9A" w:rsidRPr="000E50F1">
        <w:rPr>
          <w:rFonts w:ascii="Times" w:hAnsi="Times" w:cs="Arial"/>
        </w:rPr>
        <w:t>s</w:t>
      </w:r>
      <w:r w:rsidR="00D32C37" w:rsidRPr="000E50F1">
        <w:rPr>
          <w:rFonts w:ascii="Times" w:hAnsi="Times" w:cs="Arial"/>
        </w:rPr>
        <w:t xml:space="preserve"> and </w:t>
      </w:r>
      <w:r w:rsidR="00553C9A" w:rsidRPr="000E50F1">
        <w:rPr>
          <w:rFonts w:ascii="Times" w:hAnsi="Times" w:cs="Arial"/>
        </w:rPr>
        <w:t xml:space="preserve">health services </w:t>
      </w:r>
      <w:r w:rsidR="00D32C37" w:rsidRPr="000E50F1">
        <w:rPr>
          <w:rFonts w:ascii="Times" w:hAnsi="Times" w:cs="Arial"/>
        </w:rPr>
        <w:t xml:space="preserve">towards the continuity and coordination of care, which is the </w:t>
      </w:r>
      <w:r w:rsidR="00320D66" w:rsidRPr="000E50F1">
        <w:rPr>
          <w:rFonts w:ascii="Times" w:hAnsi="Times" w:cs="Arial"/>
        </w:rPr>
        <w:t>operationalization</w:t>
      </w:r>
      <w:r w:rsidR="00D32C37" w:rsidRPr="000E50F1">
        <w:rPr>
          <w:rFonts w:ascii="Times" w:hAnsi="Times" w:cs="Arial"/>
        </w:rPr>
        <w:t xml:space="preserve"> of the 1978 Declaration of Alma-Ata the </w:t>
      </w:r>
      <w:r w:rsidR="00320D66" w:rsidRPr="000E50F1">
        <w:rPr>
          <w:rFonts w:ascii="Times" w:hAnsi="Times" w:cs="Arial"/>
        </w:rPr>
        <w:t xml:space="preserve">by “bringing </w:t>
      </w:r>
      <w:r w:rsidR="00D32C37" w:rsidRPr="000E50F1">
        <w:rPr>
          <w:rFonts w:ascii="Times" w:hAnsi="Times" w:cs="Arial"/>
        </w:rPr>
        <w:t>health care as close as possible to where people live and work” (WHO 2018: 8)</w:t>
      </w:r>
      <w:r w:rsidR="00320D66" w:rsidRPr="000E50F1">
        <w:rPr>
          <w:rFonts w:ascii="Times" w:hAnsi="Times" w:cs="Arial"/>
        </w:rPr>
        <w:t xml:space="preserve">. </w:t>
      </w:r>
      <w:r w:rsidR="00132E7B" w:rsidRPr="000E50F1">
        <w:rPr>
          <w:rFonts w:ascii="Times" w:hAnsi="Times" w:cs="Arial"/>
        </w:rPr>
        <w:t xml:space="preserve">In marrying health access research to the exploration </w:t>
      </w:r>
      <w:r w:rsidR="00132E7B" w:rsidRPr="000E50F1">
        <w:rPr>
          <w:rFonts w:ascii="Times" w:hAnsi="Times" w:cs="Arial"/>
        </w:rPr>
        <w:lastRenderedPageBreak/>
        <w:t>of newcomer youth mental health</w:t>
      </w:r>
      <w:r w:rsidR="00F201D7" w:rsidRPr="000E50F1">
        <w:rPr>
          <w:rFonts w:ascii="Times" w:hAnsi="Times" w:cs="Arial"/>
        </w:rPr>
        <w:t xml:space="preserve"> in one institutional setting, </w:t>
      </w:r>
      <w:r w:rsidR="00B20134" w:rsidRPr="000E50F1">
        <w:rPr>
          <w:rFonts w:ascii="Times" w:hAnsi="Times" w:cs="Arial"/>
        </w:rPr>
        <w:t xml:space="preserve">this research </w:t>
      </w:r>
      <w:r w:rsidR="00F201D7" w:rsidRPr="000E50F1">
        <w:rPr>
          <w:rFonts w:ascii="Times" w:hAnsi="Times" w:cs="Arial"/>
        </w:rPr>
        <w:t xml:space="preserve">substantiates the cultural and institutional dimensions (and meanings) of more complex set of accessibility measurements by </w:t>
      </w:r>
      <w:r w:rsidR="00666AC7" w:rsidRPr="000E50F1">
        <w:rPr>
          <w:rFonts w:ascii="Times" w:hAnsi="Times" w:cs="Arial"/>
        </w:rPr>
        <w:t>the</w:t>
      </w:r>
      <w:r w:rsidR="00F201D7" w:rsidRPr="000E50F1">
        <w:rPr>
          <w:rFonts w:ascii="Times" w:hAnsi="Times" w:cs="Arial"/>
        </w:rPr>
        <w:t xml:space="preserve"> “ecological determinants and as a matrix of structures and processes that can manipulated to allow for use (or non use) of health care and health promoting activities” </w:t>
      </w:r>
      <w:r w:rsidR="00553C9A" w:rsidRPr="000E50F1">
        <w:rPr>
          <w:rFonts w:ascii="Times" w:hAnsi="Times" w:cs="Arial"/>
        </w:rPr>
        <w:t xml:space="preserve">as stated by </w:t>
      </w:r>
      <w:r w:rsidR="00666AC7" w:rsidRPr="000E50F1">
        <w:rPr>
          <w:rFonts w:ascii="Times" w:hAnsi="Times" w:cs="Arial"/>
        </w:rPr>
        <w:t>Ricket</w:t>
      </w:r>
      <w:r w:rsidR="00553C9A" w:rsidRPr="000E50F1">
        <w:rPr>
          <w:rFonts w:ascii="Times" w:hAnsi="Times" w:cs="Arial"/>
        </w:rPr>
        <w:t>ts (</w:t>
      </w:r>
      <w:r w:rsidR="00666AC7" w:rsidRPr="000E50F1">
        <w:rPr>
          <w:rFonts w:ascii="Times" w:hAnsi="Times" w:cs="Arial"/>
        </w:rPr>
        <w:t>2009: 521</w:t>
      </w:r>
      <w:r w:rsidR="00320D66" w:rsidRPr="000E50F1">
        <w:rPr>
          <w:rFonts w:ascii="Times" w:hAnsi="Times" w:cs="Arial"/>
        </w:rPr>
        <w:t xml:space="preserve">). This </w:t>
      </w:r>
      <w:r w:rsidR="003D2529" w:rsidRPr="000E50F1">
        <w:rPr>
          <w:rFonts w:ascii="Times" w:hAnsi="Times" w:cs="Arial"/>
        </w:rPr>
        <w:t xml:space="preserve">research </w:t>
      </w:r>
      <w:r w:rsidR="009C1979" w:rsidRPr="000E50F1">
        <w:rPr>
          <w:rFonts w:ascii="Times" w:hAnsi="Times" w:cs="Arial"/>
        </w:rPr>
        <w:t xml:space="preserve">makes </w:t>
      </w:r>
      <w:r w:rsidR="003D2529" w:rsidRPr="000E50F1">
        <w:rPr>
          <w:rFonts w:ascii="Times" w:hAnsi="Times" w:cs="Arial"/>
        </w:rPr>
        <w:t xml:space="preserve">important </w:t>
      </w:r>
      <w:r w:rsidR="009C1979" w:rsidRPr="000E50F1">
        <w:rPr>
          <w:rFonts w:ascii="Times" w:hAnsi="Times" w:cs="Arial"/>
        </w:rPr>
        <w:t xml:space="preserve">contribution to the </w:t>
      </w:r>
      <w:r w:rsidR="00553C9A" w:rsidRPr="000E50F1">
        <w:rPr>
          <w:rFonts w:ascii="Times" w:hAnsi="Times" w:cs="Arial"/>
        </w:rPr>
        <w:t>inquiry</w:t>
      </w:r>
      <w:r w:rsidR="009C1979" w:rsidRPr="000E50F1">
        <w:rPr>
          <w:rFonts w:ascii="Times" w:hAnsi="Times" w:cs="Arial"/>
        </w:rPr>
        <w:t xml:space="preserve"> of non use for immigrants and refugees in care by</w:t>
      </w:r>
      <w:r w:rsidR="00A20AB3" w:rsidRPr="000E50F1">
        <w:rPr>
          <w:rFonts w:ascii="Times" w:hAnsi="Times" w:cs="Arial"/>
        </w:rPr>
        <w:t xml:space="preserve"> </w:t>
      </w:r>
      <w:r w:rsidR="00F201D7" w:rsidRPr="000E50F1">
        <w:rPr>
          <w:rFonts w:ascii="Times" w:hAnsi="Times" w:cs="Arial"/>
        </w:rPr>
        <w:t>unpack</w:t>
      </w:r>
      <w:r w:rsidR="009C1979" w:rsidRPr="000E50F1">
        <w:rPr>
          <w:rFonts w:ascii="Times" w:hAnsi="Times" w:cs="Arial"/>
        </w:rPr>
        <w:t>ing</w:t>
      </w:r>
      <w:r w:rsidR="00F201D7" w:rsidRPr="000E50F1">
        <w:rPr>
          <w:rFonts w:ascii="Times" w:hAnsi="Times" w:cs="Arial"/>
        </w:rPr>
        <w:t xml:space="preserve"> some of the complexities leading </w:t>
      </w:r>
      <w:r w:rsidR="009C1979" w:rsidRPr="000E50F1">
        <w:rPr>
          <w:rFonts w:ascii="Times" w:hAnsi="Times" w:cs="Arial"/>
        </w:rPr>
        <w:t xml:space="preserve">a person to deny pain, ignores symptoms, deny care, or terminate service </w:t>
      </w:r>
      <w:r w:rsidR="00553C9A" w:rsidRPr="000E50F1">
        <w:rPr>
          <w:rFonts w:ascii="Times" w:hAnsi="Times" w:cs="Arial"/>
        </w:rPr>
        <w:t>utilization</w:t>
      </w:r>
      <w:r w:rsidR="009C1979" w:rsidRPr="000E50F1">
        <w:rPr>
          <w:rFonts w:ascii="Times" w:hAnsi="Times" w:cs="Arial"/>
        </w:rPr>
        <w:t xml:space="preserve"> </w:t>
      </w:r>
      <w:r w:rsidR="00F201D7" w:rsidRPr="000E50F1">
        <w:rPr>
          <w:rFonts w:ascii="Times" w:hAnsi="Times" w:cs="Arial"/>
        </w:rPr>
        <w:t>(Ricketts 2009, Johnston et al. 2000, Khan and Bhardwaj 1994)</w:t>
      </w:r>
      <w:r w:rsidR="00525AD4" w:rsidRPr="000E50F1">
        <w:rPr>
          <w:rFonts w:ascii="Times" w:hAnsi="Times" w:cs="Arial"/>
        </w:rPr>
        <w:t xml:space="preserve"> when considering </w:t>
      </w:r>
      <w:r w:rsidR="009C1979" w:rsidRPr="000E50F1">
        <w:rPr>
          <w:rFonts w:ascii="Times" w:hAnsi="Times" w:cs="Arial"/>
        </w:rPr>
        <w:t xml:space="preserve">the </w:t>
      </w:r>
      <w:r w:rsidR="00525AD4" w:rsidRPr="000E50F1">
        <w:rPr>
          <w:rFonts w:ascii="Times" w:hAnsi="Times" w:cs="Arial"/>
        </w:rPr>
        <w:t xml:space="preserve">outcome and </w:t>
      </w:r>
      <w:r w:rsidR="009C1979" w:rsidRPr="000E50F1">
        <w:rPr>
          <w:rFonts w:ascii="Times" w:hAnsi="Times" w:cs="Arial"/>
        </w:rPr>
        <w:t xml:space="preserve">interaction between people, structures, and their environment. </w:t>
      </w:r>
    </w:p>
    <w:p w14:paraId="0FB512FA" w14:textId="4BF29D01" w:rsidR="0056666C" w:rsidRPr="000E50F1" w:rsidRDefault="0097307E" w:rsidP="0056666C">
      <w:pPr>
        <w:rPr>
          <w:rFonts w:ascii="Times" w:hAnsi="Times" w:cs="Arial"/>
          <w:bCs/>
        </w:rPr>
      </w:pPr>
      <w:r w:rsidRPr="000E50F1">
        <w:rPr>
          <w:rFonts w:ascii="Times" w:hAnsi="Times" w:cs="Arial"/>
          <w:bCs/>
        </w:rPr>
        <w:t>G</w:t>
      </w:r>
      <w:r w:rsidR="0056666C" w:rsidRPr="000E50F1">
        <w:rPr>
          <w:rFonts w:ascii="Times" w:hAnsi="Times" w:cs="Arial"/>
          <w:bCs/>
        </w:rPr>
        <w:t xml:space="preserve">iven IRCC’s </w:t>
      </w:r>
      <w:r w:rsidR="00B11FEB" w:rsidRPr="000E50F1">
        <w:rPr>
          <w:rFonts w:ascii="Times" w:hAnsi="Times" w:cs="Arial"/>
          <w:bCs/>
        </w:rPr>
        <w:t xml:space="preserve">robust </w:t>
      </w:r>
      <w:r w:rsidR="0056666C" w:rsidRPr="000E50F1">
        <w:rPr>
          <w:rFonts w:ascii="Times" w:hAnsi="Times" w:cs="Arial"/>
          <w:bCs/>
        </w:rPr>
        <w:t>immigration targets</w:t>
      </w:r>
      <w:r w:rsidR="00B11FEB" w:rsidRPr="000E50F1">
        <w:rPr>
          <w:rFonts w:ascii="Times" w:hAnsi="Times" w:cs="Arial"/>
          <w:bCs/>
        </w:rPr>
        <w:t>,</w:t>
      </w:r>
      <w:r w:rsidR="0056666C" w:rsidRPr="000E50F1">
        <w:rPr>
          <w:rFonts w:ascii="Times" w:hAnsi="Times" w:cs="Arial"/>
          <w:bCs/>
        </w:rPr>
        <w:t xml:space="preserve"> which aims to add 1.2 million permanent residents to </w:t>
      </w:r>
      <w:r w:rsidRPr="000E50F1">
        <w:rPr>
          <w:rFonts w:ascii="Times" w:hAnsi="Times" w:cs="Arial"/>
          <w:bCs/>
        </w:rPr>
        <w:t>Canada</w:t>
      </w:r>
      <w:r w:rsidR="0056666C" w:rsidRPr="000E50F1">
        <w:rPr>
          <w:rFonts w:ascii="Times" w:hAnsi="Times" w:cs="Arial"/>
          <w:bCs/>
        </w:rPr>
        <w:t xml:space="preserve"> over the next three years</w:t>
      </w:r>
      <w:r w:rsidR="002B6F23" w:rsidRPr="000E50F1">
        <w:rPr>
          <w:rFonts w:ascii="Times" w:hAnsi="Times" w:cs="Arial"/>
          <w:bCs/>
        </w:rPr>
        <w:t xml:space="preserve"> (IRCC 2020)</w:t>
      </w:r>
      <w:r w:rsidRPr="000E50F1">
        <w:rPr>
          <w:rFonts w:ascii="Times" w:hAnsi="Times" w:cs="Arial"/>
          <w:bCs/>
        </w:rPr>
        <w:t>, t</w:t>
      </w:r>
      <w:r w:rsidR="0056666C" w:rsidRPr="000E50F1">
        <w:rPr>
          <w:rFonts w:ascii="Times" w:hAnsi="Times" w:cs="Arial"/>
          <w:bCs/>
        </w:rPr>
        <w:t>his will no doubt have an impact on place as immigrants arrive and settle into their communities. Successful long term integration depend</w:t>
      </w:r>
      <w:r w:rsidR="00B11FEB" w:rsidRPr="000E50F1">
        <w:rPr>
          <w:rFonts w:ascii="Times" w:hAnsi="Times" w:cs="Arial"/>
          <w:bCs/>
        </w:rPr>
        <w:t>s on</w:t>
      </w:r>
      <w:r w:rsidR="0056666C" w:rsidRPr="000E50F1">
        <w:rPr>
          <w:rFonts w:ascii="Times" w:hAnsi="Times" w:cs="Arial"/>
          <w:bCs/>
        </w:rPr>
        <w:t xml:space="preserve"> </w:t>
      </w:r>
      <w:r w:rsidR="006B152B" w:rsidRPr="000E50F1">
        <w:rPr>
          <w:rFonts w:ascii="Times" w:hAnsi="Times" w:cs="Arial"/>
          <w:bCs/>
        </w:rPr>
        <w:t xml:space="preserve">immigration and settlement policies and program </w:t>
      </w:r>
      <w:r w:rsidR="0056666C" w:rsidRPr="000E50F1">
        <w:rPr>
          <w:rFonts w:ascii="Times" w:hAnsi="Times" w:cs="Arial"/>
          <w:bCs/>
        </w:rPr>
        <w:t xml:space="preserve">to effectively function. </w:t>
      </w:r>
      <w:r w:rsidR="006B152B" w:rsidRPr="000E50F1">
        <w:rPr>
          <w:rFonts w:ascii="Times" w:hAnsi="Times" w:cs="Arial"/>
          <w:bCs/>
        </w:rPr>
        <w:t>As a result, t</w:t>
      </w:r>
      <w:r w:rsidR="0056666C" w:rsidRPr="000E50F1">
        <w:rPr>
          <w:rFonts w:ascii="Times" w:hAnsi="Times" w:cs="Arial"/>
          <w:bCs/>
        </w:rPr>
        <w:t>here is an ongoing need to assess Canada’s immigrant selecti</w:t>
      </w:r>
      <w:r w:rsidR="00B11FEB" w:rsidRPr="000E50F1">
        <w:rPr>
          <w:rFonts w:ascii="Times" w:hAnsi="Times" w:cs="Arial"/>
          <w:bCs/>
        </w:rPr>
        <w:t>on</w:t>
      </w:r>
      <w:r w:rsidR="0056666C" w:rsidRPr="000E50F1">
        <w:rPr>
          <w:rFonts w:ascii="Times" w:hAnsi="Times" w:cs="Arial"/>
          <w:bCs/>
        </w:rPr>
        <w:t xml:space="preserve"> system, evaluate settlement programs, and maintain good research to guide this work effectively moving forward. </w:t>
      </w:r>
    </w:p>
    <w:p w14:paraId="441F23E4" w14:textId="77777777" w:rsidR="007F4565" w:rsidRPr="000E50F1" w:rsidRDefault="007F4565">
      <w:pPr>
        <w:rPr>
          <w:rFonts w:ascii="Times" w:hAnsi="Times" w:cs="Arial"/>
        </w:rPr>
      </w:pPr>
    </w:p>
    <w:p w14:paraId="1A541946" w14:textId="505FB4AD" w:rsidR="003E5E63" w:rsidRPr="000E50F1" w:rsidRDefault="003E5E63" w:rsidP="003E5E63">
      <w:pPr>
        <w:pStyle w:val="Heading2"/>
        <w:spacing w:before="0" w:line="240" w:lineRule="auto"/>
        <w:rPr>
          <w:rFonts w:ascii="Times" w:hAnsi="Times" w:cs="Arial"/>
          <w:bCs/>
          <w:sz w:val="24"/>
          <w:szCs w:val="24"/>
          <w:lang w:val="en-CA"/>
        </w:rPr>
      </w:pPr>
      <w:bookmarkStart w:id="33" w:name="_Toc60231901"/>
      <w:r w:rsidRPr="000E50F1">
        <w:rPr>
          <w:rFonts w:ascii="Times" w:hAnsi="Times" w:cs="Arial"/>
          <w:bCs/>
          <w:sz w:val="24"/>
          <w:szCs w:val="24"/>
          <w:lang w:val="en-CA"/>
        </w:rPr>
        <w:t>5.1 Limitations &amp; Future Research</w:t>
      </w:r>
      <w:bookmarkEnd w:id="33"/>
      <w:r w:rsidRPr="000E50F1">
        <w:rPr>
          <w:rFonts w:ascii="Times" w:hAnsi="Times" w:cs="Arial"/>
          <w:bCs/>
          <w:sz w:val="24"/>
          <w:szCs w:val="24"/>
          <w:lang w:val="en-CA"/>
        </w:rPr>
        <w:t xml:space="preserve"> </w:t>
      </w:r>
    </w:p>
    <w:p w14:paraId="5179B661" w14:textId="1828712F" w:rsidR="003C2A44" w:rsidRPr="000E50F1" w:rsidRDefault="003E5E63" w:rsidP="003C2A44">
      <w:pPr>
        <w:pStyle w:val="NormalWeb"/>
        <w:spacing w:before="0" w:beforeAutospacing="0" w:after="0" w:afterAutospacing="0"/>
        <w:rPr>
          <w:rFonts w:ascii="Arial" w:eastAsia="Calibri" w:hAnsi="Arial" w:cs="Arial"/>
          <w:spacing w:val="-5"/>
        </w:rPr>
      </w:pPr>
      <w:r w:rsidRPr="000E50F1">
        <w:rPr>
          <w:rFonts w:ascii="Times" w:hAnsi="Times" w:cs="Arial"/>
          <w:bCs/>
        </w:rPr>
        <w:t>As with any project, several limitations are identified. Given the timing of the research into the exploration of Express Entry in 2017, only 2015 and 2016 year-end data were published limiting temporal results for comparison. Findings presented are also</w:t>
      </w:r>
      <w:r w:rsidRPr="000E50F1">
        <w:rPr>
          <w:rFonts w:ascii="Times" w:hAnsi="Times" w:cs="Arial"/>
        </w:rPr>
        <w:t xml:space="preserve"> indicative of a lag effect of system change</w:t>
      </w:r>
      <w:r w:rsidRPr="000E50F1">
        <w:rPr>
          <w:rFonts w:ascii="Times" w:hAnsi="Times"/>
        </w:rPr>
        <w:t xml:space="preserve">, and successive lag effects are likely to be ongoing. Competing priorities in early 2015 such as Syrian refugees and the need to process the more than 600,000 applications at the end of 2014 (Hiebert 2019) would have limited the number of candidates selected in Express Entry. Additionally, </w:t>
      </w:r>
      <w:r w:rsidRPr="000E50F1">
        <w:rPr>
          <w:rFonts w:ascii="Times" w:hAnsi="Times" w:cs="Arial"/>
        </w:rPr>
        <w:t>r</w:t>
      </w:r>
      <w:r w:rsidRPr="000E50F1">
        <w:rPr>
          <w:rFonts w:ascii="Times" w:hAnsi="Times"/>
        </w:rPr>
        <w:t>egular system recalibrations (e.g., including addition of 15–30 points for candidates with a Canadian education credentials on November 19, 2016) will surely produce consequences that will only be fully understood in two to three years.</w:t>
      </w:r>
      <w:r w:rsidR="00C04DAE" w:rsidRPr="000E50F1">
        <w:rPr>
          <w:rFonts w:ascii="Times" w:hAnsi="Times"/>
        </w:rPr>
        <w:t xml:space="preserve"> Finally, the ability of </w:t>
      </w:r>
      <w:r w:rsidR="003C2A44" w:rsidRPr="000E50F1">
        <w:rPr>
          <w:rFonts w:ascii="Times" w:hAnsi="Times"/>
        </w:rPr>
        <w:t>immigration officials to quickly and administratively alter selection criteria</w:t>
      </w:r>
      <w:r w:rsidR="00C04DAE" w:rsidRPr="000E50F1">
        <w:rPr>
          <w:rFonts w:ascii="Times" w:hAnsi="Times"/>
        </w:rPr>
        <w:t xml:space="preserve"> has made </w:t>
      </w:r>
      <w:r w:rsidR="003C2A44" w:rsidRPr="000E50F1">
        <w:rPr>
          <w:rFonts w:ascii="Times" w:hAnsi="Times"/>
        </w:rPr>
        <w:t xml:space="preserve">the </w:t>
      </w:r>
      <w:r w:rsidR="00C04DAE" w:rsidRPr="000E50F1">
        <w:rPr>
          <w:rFonts w:ascii="Times" w:hAnsi="Times"/>
        </w:rPr>
        <w:t xml:space="preserve">selection process </w:t>
      </w:r>
      <w:r w:rsidR="003C2A44" w:rsidRPr="000E50F1">
        <w:rPr>
          <w:rFonts w:ascii="Times" w:hAnsi="Times"/>
        </w:rPr>
        <w:t>opaque</w:t>
      </w:r>
      <w:r w:rsidR="00C04DAE" w:rsidRPr="000E50F1">
        <w:rPr>
          <w:rFonts w:ascii="Times" w:hAnsi="Times"/>
        </w:rPr>
        <w:t xml:space="preserve"> </w:t>
      </w:r>
      <w:r w:rsidR="003C2A44" w:rsidRPr="000E50F1">
        <w:rPr>
          <w:rFonts w:ascii="Times" w:hAnsi="Times"/>
        </w:rPr>
        <w:t>and detached from public debate</w:t>
      </w:r>
      <w:r w:rsidR="00C04DAE" w:rsidRPr="000E50F1">
        <w:rPr>
          <w:rFonts w:ascii="Times" w:hAnsi="Times"/>
        </w:rPr>
        <w:t xml:space="preserve"> (Hiebert 2019). T</w:t>
      </w:r>
      <w:r w:rsidR="003C2A44" w:rsidRPr="000E50F1">
        <w:rPr>
          <w:rFonts w:ascii="Times" w:hAnsi="Times"/>
        </w:rPr>
        <w:t xml:space="preserve">his detachment is problematic </w:t>
      </w:r>
      <w:r w:rsidR="00C04DAE" w:rsidRPr="000E50F1">
        <w:rPr>
          <w:rFonts w:ascii="Times" w:hAnsi="Times"/>
        </w:rPr>
        <w:t>and researchers and p</w:t>
      </w:r>
      <w:r w:rsidR="003C2A44" w:rsidRPr="000E50F1">
        <w:rPr>
          <w:rFonts w:ascii="Times" w:hAnsi="Times"/>
        </w:rPr>
        <w:t>olicymakers must therefore find new ways to educate and engage with the public on these issues.</w:t>
      </w:r>
      <w:r w:rsidR="003C2A44" w:rsidRPr="000E50F1">
        <w:rPr>
          <w:rFonts w:ascii="Arial" w:eastAsia="Calibri" w:hAnsi="Arial" w:cs="Arial"/>
          <w:spacing w:val="-5"/>
        </w:rPr>
        <w:t xml:space="preserve"> </w:t>
      </w:r>
    </w:p>
    <w:p w14:paraId="4C7AEF7D" w14:textId="77777777" w:rsidR="003E5E63" w:rsidRPr="000E50F1" w:rsidRDefault="003E5E63" w:rsidP="003E5E63">
      <w:pPr>
        <w:ind w:right="4"/>
        <w:rPr>
          <w:rFonts w:ascii="Times" w:hAnsi="Times"/>
        </w:rPr>
      </w:pPr>
    </w:p>
    <w:p w14:paraId="23426B40" w14:textId="08779BE0" w:rsidR="003E5E63" w:rsidRPr="000E50F1" w:rsidRDefault="003E5E63" w:rsidP="003E5E63">
      <w:pPr>
        <w:ind w:right="4"/>
        <w:rPr>
          <w:rFonts w:ascii="Times" w:hAnsi="Times" w:cs="Arial"/>
          <w:bCs/>
        </w:rPr>
      </w:pPr>
      <w:r w:rsidRPr="000E50F1">
        <w:rPr>
          <w:rFonts w:ascii="Times" w:hAnsi="Times" w:cs="Arial"/>
          <w:bCs/>
        </w:rPr>
        <w:t xml:space="preserve">A second limitation of this work is the caveat of place, yielding context specific findings to one particular locale. </w:t>
      </w:r>
      <w:r w:rsidRPr="000E50F1">
        <w:rPr>
          <w:rFonts w:ascii="Times" w:hAnsi="Times"/>
        </w:rPr>
        <w:t xml:space="preserve">While the in-depth case findings illuminate the nuances of place-based intervention particularly in contrast to other LIP experiences across Ontario, it is largely indicative of Hamilton’s </w:t>
      </w:r>
      <w:r w:rsidRPr="000E50F1">
        <w:rPr>
          <w:rFonts w:ascii="Times" w:hAnsi="Times" w:cs="Arial"/>
          <w:bCs/>
        </w:rPr>
        <w:t>context and place history and therefore these findings cannot be generalized. It should be noted that the Syrian Resettlement Initiative had other measure for success and it is important to recognize the efforts in the settlement-, voluntary-, and private-</w:t>
      </w:r>
      <w:r w:rsidRPr="000E50F1">
        <w:rPr>
          <w:rFonts w:ascii="Times" w:hAnsi="Times" w:cs="Arial"/>
          <w:bCs/>
        </w:rPr>
        <w:lastRenderedPageBreak/>
        <w:t>sector in housing, which were imperative in assisting Syrian arrivals post arrival (Rose 2019, Fratzke and Dorst 2019). The LIPs will continue to represent promising practice and embodied elements of place</w:t>
      </w:r>
      <w:r w:rsidRPr="000E50F1">
        <w:rPr>
          <w:rFonts w:ascii="Cambria Math" w:hAnsi="Cambria Math" w:cs="Cambria Math"/>
          <w:bCs/>
        </w:rPr>
        <w:t>‐</w:t>
      </w:r>
      <w:r w:rsidRPr="000E50F1">
        <w:rPr>
          <w:rFonts w:ascii="Times" w:hAnsi="Times" w:cs="Arial"/>
          <w:bCs/>
        </w:rPr>
        <w:t>based policy in settlement (</w:t>
      </w:r>
      <w:r w:rsidRPr="000E50F1">
        <w:rPr>
          <w:rFonts w:ascii="Times" w:hAnsi="Times" w:cs="Arial"/>
        </w:rPr>
        <w:t>Walton</w:t>
      </w:r>
      <w:r w:rsidRPr="000E50F1">
        <w:rPr>
          <w:rFonts w:ascii="Cambria Math" w:hAnsi="Cambria Math" w:cs="Cambria Math"/>
        </w:rPr>
        <w:t>‐</w:t>
      </w:r>
      <w:r w:rsidRPr="000E50F1">
        <w:rPr>
          <w:rFonts w:ascii="Times" w:hAnsi="Times" w:cs="Arial"/>
        </w:rPr>
        <w:t>Roberts et al. 2019</w:t>
      </w:r>
      <w:r w:rsidRPr="000E50F1">
        <w:rPr>
          <w:rFonts w:ascii="Times" w:hAnsi="Times" w:cs="Arial"/>
          <w:bCs/>
        </w:rPr>
        <w:t xml:space="preserve">). In part, the LIPs’ growth and innovation for future success will be weighed by its ability to take these lessons learned to reinforce mechanisms of true multisectoral and </w:t>
      </w:r>
      <w:r w:rsidRPr="000E50F1">
        <w:rPr>
          <w:rFonts w:ascii="Times" w:hAnsi="Times" w:cs="Arial"/>
        </w:rPr>
        <w:t>intergovernmental partnership and collaboration</w:t>
      </w:r>
      <w:r w:rsidR="00C04DAE" w:rsidRPr="000E50F1">
        <w:rPr>
          <w:rFonts w:ascii="Times" w:hAnsi="Times" w:cs="Arial"/>
        </w:rPr>
        <w:t>, and</w:t>
      </w:r>
      <w:r w:rsidR="00D35DAF" w:rsidRPr="000E50F1">
        <w:rPr>
          <w:rFonts w:ascii="Times" w:hAnsi="Times" w:cs="Arial"/>
        </w:rPr>
        <w:t>/or</w:t>
      </w:r>
      <w:r w:rsidR="00C04DAE" w:rsidRPr="000E50F1">
        <w:rPr>
          <w:rFonts w:ascii="Times" w:hAnsi="Times" w:cs="Arial"/>
        </w:rPr>
        <w:t xml:space="preserve"> pivot</w:t>
      </w:r>
      <w:r w:rsidRPr="000E50F1">
        <w:rPr>
          <w:rFonts w:ascii="Times" w:hAnsi="Times" w:cs="Arial"/>
        </w:rPr>
        <w:t xml:space="preserve">. These will be critical areas of study for future </w:t>
      </w:r>
      <w:r w:rsidRPr="000E50F1">
        <w:rPr>
          <w:rFonts w:ascii="Times" w:hAnsi="Times" w:cs="Arial"/>
          <w:bCs/>
        </w:rPr>
        <w:t xml:space="preserve">scenarios of flux and crisis. </w:t>
      </w:r>
    </w:p>
    <w:p w14:paraId="46192BC0" w14:textId="77777777" w:rsidR="003E5E63" w:rsidRPr="000E50F1" w:rsidRDefault="003E5E63" w:rsidP="003E5E63">
      <w:pPr>
        <w:ind w:right="4"/>
        <w:rPr>
          <w:rFonts w:ascii="Times" w:hAnsi="Times" w:cs="Arial"/>
          <w:bCs/>
        </w:rPr>
      </w:pPr>
    </w:p>
    <w:p w14:paraId="4EB032C0" w14:textId="1C6E3D08" w:rsidR="003E5E63" w:rsidRPr="000E50F1" w:rsidRDefault="003E5E63" w:rsidP="003E5E63">
      <w:pPr>
        <w:ind w:right="4"/>
        <w:rPr>
          <w:rFonts w:ascii="Times" w:hAnsi="Times" w:cs="Arial"/>
          <w:bCs/>
        </w:rPr>
      </w:pPr>
      <w:r w:rsidRPr="000E50F1">
        <w:rPr>
          <w:rFonts w:ascii="Times" w:hAnsi="Times" w:cs="Arial"/>
          <w:bCs/>
        </w:rPr>
        <w:t xml:space="preserve">Lastly, </w:t>
      </w:r>
      <w:r w:rsidRPr="000E50F1">
        <w:rPr>
          <w:rFonts w:ascii="Times" w:hAnsi="Times"/>
          <w:spacing w:val="-5"/>
        </w:rPr>
        <w:t xml:space="preserve">despite the value of immigrant and newcomer voices (e.g., international students, resettled Syrian newcomers, and newcomer students in schools), this research is void </w:t>
      </w:r>
      <w:r w:rsidR="00D35DAF" w:rsidRPr="000E50F1">
        <w:rPr>
          <w:rFonts w:ascii="Times" w:hAnsi="Times"/>
          <w:spacing w:val="-5"/>
        </w:rPr>
        <w:t xml:space="preserve">of newcomer voices </w:t>
      </w:r>
      <w:r w:rsidRPr="000E50F1">
        <w:rPr>
          <w:rFonts w:ascii="Times" w:hAnsi="Times"/>
          <w:spacing w:val="-5"/>
        </w:rPr>
        <w:t xml:space="preserve">In particular, the voice of newcomer students and families working with SWIS workers </w:t>
      </w:r>
      <w:r w:rsidRPr="000E50F1">
        <w:rPr>
          <w:rFonts w:ascii="Times" w:hAnsi="Times" w:cs="Arial"/>
          <w:bCs/>
        </w:rPr>
        <w:t xml:space="preserve">would have </w:t>
      </w:r>
      <w:r w:rsidRPr="000E50F1">
        <w:rPr>
          <w:rFonts w:ascii="Times" w:hAnsi="Times"/>
          <w:spacing w:val="-5"/>
        </w:rPr>
        <w:t>provided another layer of analysis to strengthen and corroborate</w:t>
      </w:r>
      <w:r w:rsidRPr="000E50F1">
        <w:rPr>
          <w:rFonts w:ascii="Times" w:hAnsi="Times" w:cs="Arial"/>
          <w:bCs/>
        </w:rPr>
        <w:t xml:space="preserve"> themes of inacc</w:t>
      </w:r>
      <w:r w:rsidRPr="000E50F1">
        <w:rPr>
          <w:rFonts w:ascii="Times" w:hAnsi="Times"/>
          <w:spacing w:val="-5"/>
        </w:rPr>
        <w:t xml:space="preserve">ess and inaccessibility in school-based mental health. Despite the effort to include youth voices in schools in the school-based mental health project, this research encountered several systemic barriers restricting access to secondary student participants following ethic clearance from the researcher’s institution. </w:t>
      </w:r>
      <w:r w:rsidRPr="000E50F1">
        <w:rPr>
          <w:rFonts w:ascii="Times" w:hAnsi="Times" w:cs="Arial"/>
          <w:bCs/>
        </w:rPr>
        <w:t xml:space="preserve">As noted in Salehi (2009), Flicker and Gupta point to these as barriers restricting adolescent participation (e.g., obtaining parental consent) as forms of injustice and exclusion that reinforces the silencing of youth voice in research. Future research examining </w:t>
      </w:r>
      <w:r w:rsidRPr="000E50F1">
        <w:rPr>
          <w:rFonts w:ascii="Times" w:hAnsi="Times"/>
          <w:spacing w:val="-5"/>
        </w:rPr>
        <w:t xml:space="preserve">school-based mental health can look to policies such as the Municipal Freedom of Information and Protection of Privacy Act that authorizes the collection of student-level data without parental consent under the legal authority of the Education Act (R.S.O. 1990, c. E. 2, as amended) for educational and research purposes (Government of Ontario 2019). </w:t>
      </w:r>
      <w:r w:rsidRPr="000E50F1">
        <w:rPr>
          <w:rFonts w:ascii="Times" w:hAnsi="Times" w:cs="Arial"/>
          <w:bCs/>
        </w:rPr>
        <w:t xml:space="preserve">As suggested by Salehi (2009) the need to apply strategies that encourage researchers and ethics board to use context-specific strategies that are responsive to the unique vulnerabilities of their participating youth will be crucial in advancing this work. </w:t>
      </w:r>
    </w:p>
    <w:p w14:paraId="23600A03" w14:textId="77777777" w:rsidR="007F4565" w:rsidRPr="000E50F1" w:rsidRDefault="007F4565" w:rsidP="007F4565">
      <w:pPr>
        <w:rPr>
          <w:rFonts w:ascii="Arial" w:hAnsi="Arial" w:cs="Arial"/>
        </w:rPr>
      </w:pPr>
    </w:p>
    <w:p w14:paraId="19C0A59F" w14:textId="100B1234" w:rsidR="00D41620" w:rsidRPr="000E50F1" w:rsidRDefault="003E5E63" w:rsidP="00C04DAE">
      <w:pPr>
        <w:tabs>
          <w:tab w:val="left" w:pos="1560"/>
        </w:tabs>
        <w:rPr>
          <w:rFonts w:ascii="Times" w:hAnsi="Times"/>
          <w:spacing w:val="-5"/>
        </w:rPr>
      </w:pPr>
      <w:r w:rsidRPr="000E50F1">
        <w:rPr>
          <w:rFonts w:ascii="Times" w:hAnsi="Times"/>
          <w:spacing w:val="-5"/>
        </w:rPr>
        <w:t>Upon reflection, the thesis would have benefited from a stronger integration of social theory from the onset</w:t>
      </w:r>
      <w:r w:rsidR="00B87121" w:rsidRPr="000E50F1">
        <w:rPr>
          <w:rFonts w:ascii="Times" w:hAnsi="Times"/>
          <w:spacing w:val="-5"/>
        </w:rPr>
        <w:t xml:space="preserve"> into each research paper</w:t>
      </w:r>
      <w:r w:rsidRPr="000E50F1">
        <w:rPr>
          <w:rFonts w:ascii="Times" w:hAnsi="Times"/>
          <w:spacing w:val="-5"/>
        </w:rPr>
        <w:t xml:space="preserve">, particularly following the road map for graduate audiences set out by Gesler and Kearns (2005) containing a comprehensive background </w:t>
      </w:r>
      <w:r w:rsidR="0070384A" w:rsidRPr="000E50F1">
        <w:rPr>
          <w:rFonts w:ascii="Times" w:hAnsi="Times"/>
          <w:spacing w:val="-5"/>
        </w:rPr>
        <w:t>and</w:t>
      </w:r>
      <w:r w:rsidRPr="000E50F1">
        <w:rPr>
          <w:rFonts w:ascii="Times" w:hAnsi="Times"/>
          <w:spacing w:val="-5"/>
        </w:rPr>
        <w:t xml:space="preserve"> literature on culture, place</w:t>
      </w:r>
      <w:r w:rsidR="00FC7E42" w:rsidRPr="000E50F1">
        <w:rPr>
          <w:rFonts w:ascii="Times" w:hAnsi="Times"/>
          <w:spacing w:val="-5"/>
        </w:rPr>
        <w:t>,</w:t>
      </w:r>
      <w:r w:rsidRPr="000E50F1">
        <w:rPr>
          <w:rFonts w:ascii="Times" w:hAnsi="Times"/>
          <w:spacing w:val="-5"/>
        </w:rPr>
        <w:t xml:space="preserve"> and health. Gesler and Kearns (2005) points</w:t>
      </w:r>
      <w:r w:rsidR="00FC7E42" w:rsidRPr="000E50F1">
        <w:rPr>
          <w:rFonts w:ascii="Times" w:hAnsi="Times"/>
          <w:spacing w:val="-5"/>
        </w:rPr>
        <w:t xml:space="preserve"> out the importance of philosophical approaches in carrying out research in health geography, and directs </w:t>
      </w:r>
      <w:r w:rsidRPr="000E50F1">
        <w:rPr>
          <w:rFonts w:ascii="Times" w:hAnsi="Times"/>
          <w:spacing w:val="-5"/>
        </w:rPr>
        <w:t>readers to the contribution of social theories</w:t>
      </w:r>
      <w:r w:rsidR="00FC7E42" w:rsidRPr="000E50F1">
        <w:rPr>
          <w:rFonts w:ascii="Times" w:hAnsi="Times"/>
          <w:spacing w:val="-5"/>
        </w:rPr>
        <w:t>,</w:t>
      </w:r>
      <w:r w:rsidRPr="000E50F1">
        <w:rPr>
          <w:rFonts w:ascii="Times" w:hAnsi="Times"/>
          <w:spacing w:val="-5"/>
        </w:rPr>
        <w:t xml:space="preserve"> discussing the three ‘isms’ to guide researchers in the field; structuralism, humanism, and postmodernism.</w:t>
      </w:r>
      <w:r w:rsidR="00CC06A0" w:rsidRPr="000E50F1">
        <w:rPr>
          <w:rFonts w:ascii="Times" w:hAnsi="Times"/>
          <w:spacing w:val="-5"/>
        </w:rPr>
        <w:t xml:space="preserve"> </w:t>
      </w:r>
      <w:r w:rsidRPr="000E50F1">
        <w:rPr>
          <w:rFonts w:ascii="Times" w:hAnsi="Times"/>
          <w:spacing w:val="-5"/>
        </w:rPr>
        <w:t xml:space="preserve">These social theories can help geographers to consider the underlying forces that create division of inequities in society; incorporate subjectivity of experiences and its attached meaning into their research; and pay attention to pluralism and it differences and multiplicity of voices, all of which are threaded throughout is thesis. </w:t>
      </w:r>
    </w:p>
    <w:p w14:paraId="1977CEFB" w14:textId="77777777" w:rsidR="0070384A" w:rsidRPr="000E50F1" w:rsidRDefault="0070384A" w:rsidP="00FF2975">
      <w:pPr>
        <w:ind w:right="4"/>
        <w:rPr>
          <w:rFonts w:ascii="Times" w:hAnsi="Times" w:cs="Arial"/>
          <w:b/>
          <w:bCs/>
        </w:rPr>
      </w:pPr>
    </w:p>
    <w:p w14:paraId="1B67F10E" w14:textId="77777777" w:rsidR="0070384A" w:rsidRPr="000E50F1" w:rsidRDefault="0070384A" w:rsidP="00FF2975">
      <w:pPr>
        <w:ind w:right="4"/>
        <w:rPr>
          <w:rFonts w:ascii="Times" w:hAnsi="Times" w:cs="Arial"/>
          <w:b/>
          <w:bCs/>
        </w:rPr>
      </w:pPr>
    </w:p>
    <w:p w14:paraId="368F6A3B" w14:textId="77777777" w:rsidR="0070384A" w:rsidRPr="000E50F1" w:rsidRDefault="0070384A" w:rsidP="00FF2975">
      <w:pPr>
        <w:ind w:right="4"/>
        <w:rPr>
          <w:rFonts w:ascii="Times" w:hAnsi="Times" w:cs="Arial"/>
          <w:b/>
          <w:bCs/>
        </w:rPr>
      </w:pPr>
    </w:p>
    <w:p w14:paraId="065BEFEA" w14:textId="7D9775CE" w:rsidR="00AB5A97" w:rsidRPr="000E50F1" w:rsidRDefault="00AB5A97" w:rsidP="00FF2975">
      <w:pPr>
        <w:ind w:right="4"/>
        <w:rPr>
          <w:rFonts w:ascii="Times" w:hAnsi="Times" w:cs="Arial"/>
          <w:bCs/>
        </w:rPr>
      </w:pPr>
      <w:r w:rsidRPr="000E50F1">
        <w:rPr>
          <w:rFonts w:ascii="Times" w:hAnsi="Times" w:cs="Arial"/>
          <w:b/>
          <w:bCs/>
        </w:rPr>
        <w:lastRenderedPageBreak/>
        <w:t>References</w:t>
      </w:r>
    </w:p>
    <w:p w14:paraId="1A1E1941" w14:textId="77777777" w:rsidR="00EC106E" w:rsidRPr="000E50F1" w:rsidRDefault="00EC106E" w:rsidP="00C04DAE">
      <w:pPr>
        <w:rPr>
          <w:rFonts w:ascii="Times" w:hAnsi="Times"/>
        </w:rPr>
      </w:pPr>
    </w:p>
    <w:p w14:paraId="455EC4D6" w14:textId="77777777" w:rsidR="00EC106E" w:rsidRPr="000E50F1" w:rsidRDefault="00EC106E" w:rsidP="00EC106E">
      <w:pPr>
        <w:autoSpaceDE w:val="0"/>
        <w:autoSpaceDN w:val="0"/>
        <w:adjustRightInd w:val="0"/>
        <w:ind w:left="567" w:hanging="567"/>
        <w:rPr>
          <w:rFonts w:cs="TimesNewRoman"/>
          <w:lang w:eastAsia="en-CA"/>
        </w:rPr>
      </w:pPr>
      <w:r w:rsidRPr="000E50F1">
        <w:rPr>
          <w:rFonts w:cs="TimesNewRoman"/>
          <w:lang w:eastAsia="en-CA"/>
        </w:rPr>
        <w:t xml:space="preserve">Baer, L.D., Gesler, W.M. &amp; Konrad, T.R. (2000). The wineglass model: tracking the locational   histories of health professionals. </w:t>
      </w:r>
      <w:r w:rsidRPr="000E50F1">
        <w:rPr>
          <w:rFonts w:cs="TimesNewRoman,Italic"/>
          <w:i/>
          <w:iCs/>
          <w:lang w:eastAsia="en-CA"/>
        </w:rPr>
        <w:t>Social Science &amp; Medicine</w:t>
      </w:r>
      <w:r w:rsidRPr="000E50F1">
        <w:rPr>
          <w:rFonts w:cs="TimesNewRoman"/>
          <w:lang w:eastAsia="en-CA"/>
        </w:rPr>
        <w:t>, 50, 317-329.</w:t>
      </w:r>
    </w:p>
    <w:p w14:paraId="23739608" w14:textId="77777777" w:rsidR="00AB5A97" w:rsidRPr="000E50F1" w:rsidRDefault="00AB5A97" w:rsidP="00AB5A97">
      <w:pPr>
        <w:rPr>
          <w:rFonts w:ascii="Times" w:hAnsi="Times" w:cs="Arial"/>
          <w:shd w:val="clear" w:color="auto" w:fill="FFFFFF"/>
        </w:rPr>
      </w:pPr>
    </w:p>
    <w:p w14:paraId="244F8341" w14:textId="77777777" w:rsidR="00AB5A97" w:rsidRPr="000E50F1" w:rsidRDefault="00AB5A97" w:rsidP="00AB5A97">
      <w:pPr>
        <w:ind w:left="567" w:hanging="567"/>
        <w:rPr>
          <w:rFonts w:ascii="Times" w:hAnsi="Times" w:cs="Arial"/>
          <w:shd w:val="clear" w:color="auto" w:fill="FFFFFF"/>
        </w:rPr>
      </w:pPr>
      <w:r w:rsidRPr="000E50F1">
        <w:rPr>
          <w:rFonts w:ascii="Times" w:hAnsi="Times" w:cs="Arial"/>
          <w:shd w:val="clear" w:color="auto" w:fill="FFFFFF"/>
        </w:rPr>
        <w:t>Belkhodja, C., &amp; Esses, V. (2013). Improving the assessment of international students’ contribution to Canadian society. </w:t>
      </w:r>
      <w:r w:rsidRPr="000E50F1">
        <w:rPr>
          <w:rFonts w:ascii="Times" w:hAnsi="Times" w:cs="Arial"/>
          <w:i/>
          <w:iCs/>
          <w:shd w:val="clear" w:color="auto" w:fill="FFFFFF"/>
        </w:rPr>
        <w:t>Knowledge Synthesis</w:t>
      </w:r>
      <w:r w:rsidRPr="000E50F1">
        <w:rPr>
          <w:rFonts w:ascii="Times" w:hAnsi="Times" w:cs="Arial"/>
          <w:shd w:val="clear" w:color="auto" w:fill="FFFFFF"/>
        </w:rPr>
        <w:t>, Canada: Université de Moncton and Victoria Esses, Western University Pathways to Prosperity Partnership.</w:t>
      </w:r>
    </w:p>
    <w:p w14:paraId="196B1FFE" w14:textId="77777777" w:rsidR="00AB5A97" w:rsidRPr="000E50F1" w:rsidRDefault="00AB5A97" w:rsidP="00AB5A97">
      <w:pPr>
        <w:rPr>
          <w:rFonts w:ascii="Times" w:hAnsi="Times" w:cs="Arial"/>
          <w:shd w:val="clear" w:color="auto" w:fill="FFFFFF"/>
        </w:rPr>
      </w:pPr>
    </w:p>
    <w:p w14:paraId="3DB722C6" w14:textId="77777777" w:rsidR="00AB5A97" w:rsidRPr="000E50F1" w:rsidRDefault="00AB5A97" w:rsidP="00AB5A97">
      <w:pPr>
        <w:ind w:left="567" w:hanging="567"/>
        <w:rPr>
          <w:rFonts w:ascii="Times" w:hAnsi="Times"/>
        </w:rPr>
      </w:pPr>
      <w:r w:rsidRPr="000E50F1">
        <w:rPr>
          <w:rFonts w:ascii="Times" w:hAnsi="Times" w:cs="Arial"/>
          <w:shd w:val="clear" w:color="auto" w:fill="FFFFFF"/>
        </w:rPr>
        <w:t>Carmichael, B. A., Drori, I., &amp; Honig, B. (Eds.). (2010).</w:t>
      </w:r>
      <w:r w:rsidRPr="000E50F1">
        <w:rPr>
          <w:rStyle w:val="apple-converted-space"/>
          <w:rFonts w:ascii="Times" w:hAnsi="Times" w:cs="Arial"/>
          <w:shd w:val="clear" w:color="auto" w:fill="FFFFFF"/>
        </w:rPr>
        <w:t> </w:t>
      </w:r>
      <w:r w:rsidRPr="000E50F1">
        <w:rPr>
          <w:rFonts w:ascii="Times" w:hAnsi="Times" w:cs="Arial"/>
          <w:i/>
          <w:iCs/>
        </w:rPr>
        <w:t>Transnational and immigrant entrepreneurship in a globalized world</w:t>
      </w:r>
      <w:r w:rsidRPr="000E50F1">
        <w:rPr>
          <w:rFonts w:ascii="Times" w:hAnsi="Times" w:cs="Arial"/>
          <w:shd w:val="clear" w:color="auto" w:fill="FFFFFF"/>
        </w:rPr>
        <w:t>. University of Toronto Press.</w:t>
      </w:r>
    </w:p>
    <w:p w14:paraId="35BDD50E" w14:textId="77777777" w:rsidR="00AB5A97" w:rsidRPr="000E50F1" w:rsidRDefault="00AB5A97" w:rsidP="00AB5A97">
      <w:pPr>
        <w:ind w:right="4"/>
        <w:rPr>
          <w:rFonts w:ascii="Times" w:hAnsi="Times" w:cs="Arial"/>
          <w:b/>
          <w:bCs/>
        </w:rPr>
      </w:pPr>
    </w:p>
    <w:p w14:paraId="77316B2F" w14:textId="6E1947DD" w:rsidR="003F2A75" w:rsidRPr="000E50F1" w:rsidRDefault="00AB5A97" w:rsidP="00AB5A97">
      <w:pPr>
        <w:ind w:left="567" w:hanging="567"/>
        <w:rPr>
          <w:rFonts w:ascii="Times" w:hAnsi="Times" w:cs="Arial"/>
          <w:shd w:val="clear" w:color="auto" w:fill="FFFFFF"/>
        </w:rPr>
      </w:pPr>
      <w:r w:rsidRPr="000E50F1">
        <w:rPr>
          <w:rFonts w:ascii="Times" w:hAnsi="Times" w:cs="Arial"/>
          <w:shd w:val="clear" w:color="auto" w:fill="FFFFFF"/>
        </w:rPr>
        <w:t>Cullen, B. T., &amp; Walton</w:t>
      </w:r>
      <w:r w:rsidRPr="000E50F1">
        <w:rPr>
          <w:rFonts w:ascii="Cambria Math" w:hAnsi="Cambria Math" w:cs="Cambria Math"/>
          <w:shd w:val="clear" w:color="auto" w:fill="FFFFFF"/>
        </w:rPr>
        <w:t>‐</w:t>
      </w:r>
      <w:r w:rsidRPr="000E50F1">
        <w:rPr>
          <w:rFonts w:ascii="Times" w:hAnsi="Times" w:cs="Arial"/>
          <w:shd w:val="clear" w:color="auto" w:fill="FFFFFF"/>
        </w:rPr>
        <w:t>Roberts, M. (2019). The role of local immigration partnerships in Syrian refugee resettlement in Waterloo Region, Ontario. </w:t>
      </w:r>
      <w:r w:rsidRPr="000E50F1">
        <w:rPr>
          <w:rFonts w:ascii="Times" w:hAnsi="Times" w:cs="Arial"/>
          <w:i/>
          <w:iCs/>
        </w:rPr>
        <w:t>The Canadian Geographer/Le Géographe canadien</w:t>
      </w:r>
      <w:r w:rsidRPr="000E50F1">
        <w:rPr>
          <w:rFonts w:ascii="Times" w:hAnsi="Times" w:cs="Arial"/>
          <w:shd w:val="clear" w:color="auto" w:fill="FFFFFF"/>
        </w:rPr>
        <w:t>, </w:t>
      </w:r>
      <w:r w:rsidRPr="000E50F1">
        <w:rPr>
          <w:rFonts w:ascii="Times" w:hAnsi="Times" w:cs="Arial"/>
          <w:i/>
          <w:iCs/>
        </w:rPr>
        <w:t>63</w:t>
      </w:r>
      <w:r w:rsidRPr="000E50F1">
        <w:rPr>
          <w:rFonts w:ascii="Times" w:hAnsi="Times" w:cs="Arial"/>
          <w:shd w:val="clear" w:color="auto" w:fill="FFFFFF"/>
        </w:rPr>
        <w:t>(3), 374-390.</w:t>
      </w:r>
    </w:p>
    <w:p w14:paraId="5AE6EE95" w14:textId="77777777" w:rsidR="00EC106E" w:rsidRPr="000E50F1" w:rsidRDefault="00EC106E" w:rsidP="00AB5A97">
      <w:pPr>
        <w:ind w:left="567" w:hanging="567"/>
        <w:rPr>
          <w:rFonts w:ascii="Times" w:hAnsi="Times"/>
        </w:rPr>
      </w:pPr>
    </w:p>
    <w:p w14:paraId="0362C40E" w14:textId="77777777" w:rsidR="00EC106E" w:rsidRPr="000E50F1" w:rsidRDefault="00EC106E" w:rsidP="00EC106E">
      <w:pPr>
        <w:autoSpaceDE w:val="0"/>
        <w:autoSpaceDN w:val="0"/>
        <w:adjustRightInd w:val="0"/>
        <w:ind w:left="567" w:hanging="567"/>
        <w:rPr>
          <w:rFonts w:ascii="Times" w:eastAsiaTheme="minorHAnsi" w:hAnsi="Times" w:cs="Arial"/>
          <w:shd w:val="clear" w:color="auto" w:fill="FFFFFF"/>
        </w:rPr>
      </w:pPr>
      <w:r w:rsidRPr="000E50F1">
        <w:rPr>
          <w:rFonts w:ascii="Times" w:eastAsiaTheme="minorHAnsi" w:hAnsi="Times" w:cs="Arial"/>
          <w:shd w:val="clear" w:color="auto" w:fill="FFFFFF"/>
        </w:rPr>
        <w:t>Dyck, I., &amp; Kearns, R. A. (2006). Structuration theory: agency, structure and everyday life. </w:t>
      </w:r>
      <w:r w:rsidRPr="000E50F1">
        <w:rPr>
          <w:rFonts w:ascii="Times" w:eastAsiaTheme="minorHAnsi" w:hAnsi="Times" w:cs="Arial"/>
          <w:i/>
          <w:iCs/>
          <w:shd w:val="clear" w:color="auto" w:fill="FFFFFF"/>
        </w:rPr>
        <w:t>Approaches to human geography</w:t>
      </w:r>
      <w:r w:rsidRPr="000E50F1">
        <w:rPr>
          <w:rFonts w:ascii="Times" w:eastAsiaTheme="minorHAnsi" w:hAnsi="Times" w:cs="Arial"/>
          <w:shd w:val="clear" w:color="auto" w:fill="FFFFFF"/>
        </w:rPr>
        <w:t>, 86-97.</w:t>
      </w:r>
    </w:p>
    <w:p w14:paraId="0C47D260" w14:textId="77777777" w:rsidR="003F2A75" w:rsidRPr="000E50F1" w:rsidRDefault="003F2A75" w:rsidP="003F2A75">
      <w:pPr>
        <w:rPr>
          <w:rFonts w:ascii="Times" w:hAnsi="Times"/>
        </w:rPr>
      </w:pPr>
    </w:p>
    <w:p w14:paraId="0D72B575" w14:textId="49054E0F" w:rsidR="00AB5A97" w:rsidRPr="000E50F1" w:rsidRDefault="00AB5A97" w:rsidP="00AB5A97">
      <w:pPr>
        <w:ind w:left="567" w:hanging="567"/>
        <w:rPr>
          <w:rFonts w:ascii="Times" w:hAnsi="Times" w:cs="Arial"/>
        </w:rPr>
      </w:pPr>
      <w:r w:rsidRPr="000E50F1">
        <w:rPr>
          <w:rFonts w:ascii="Times" w:hAnsi="Times" w:cs="Arial"/>
        </w:rPr>
        <w:t>Ellis, E. (2019). ‘Seamless’ Transition to Citizenship? International Student Graduates, Race, and Structural Inequities in Canada’s (Im) migration-Labour Market (Doctoral dissertation).</w:t>
      </w:r>
    </w:p>
    <w:p w14:paraId="04A7F3C4" w14:textId="77777777" w:rsidR="00AB5A97" w:rsidRPr="000E50F1" w:rsidRDefault="00AB5A97" w:rsidP="003F2A75">
      <w:pPr>
        <w:rPr>
          <w:rFonts w:ascii="Times" w:hAnsi="Times" w:cs="Arial"/>
        </w:rPr>
      </w:pPr>
    </w:p>
    <w:p w14:paraId="3A3F6AC3" w14:textId="77777777" w:rsidR="00AB5A97" w:rsidRPr="000E50F1" w:rsidRDefault="00AB5A97" w:rsidP="00AB5A97">
      <w:pPr>
        <w:ind w:left="567" w:hanging="567"/>
        <w:rPr>
          <w:rFonts w:ascii="Times" w:hAnsi="Times" w:cs="Arial"/>
        </w:rPr>
      </w:pPr>
      <w:r w:rsidRPr="000E50F1">
        <w:rPr>
          <w:rFonts w:ascii="Times" w:hAnsi="Times"/>
        </w:rPr>
        <w:t xml:space="preserve">Evans, J. 2009. Emergency Powers: Addressing the Crisis of Homelessness in a Canadian City. PhD Thesis, School of Geography and Earth Sciences, McMaster University. </w:t>
      </w:r>
    </w:p>
    <w:p w14:paraId="2DEF9C66" w14:textId="77777777" w:rsidR="00AB5A97" w:rsidRPr="000E50F1" w:rsidRDefault="00AB5A97" w:rsidP="00AB5A97">
      <w:pPr>
        <w:ind w:right="4"/>
        <w:rPr>
          <w:rFonts w:ascii="Times" w:hAnsi="Times" w:cs="Arial"/>
        </w:rPr>
      </w:pPr>
    </w:p>
    <w:p w14:paraId="5C4FBB90" w14:textId="77777777" w:rsidR="00AB5A97" w:rsidRPr="000E50F1" w:rsidRDefault="00AB5A97" w:rsidP="00AB5A97">
      <w:pPr>
        <w:ind w:left="567" w:hanging="567"/>
        <w:rPr>
          <w:rFonts w:ascii="Times" w:hAnsi="Times" w:cs="Arial"/>
        </w:rPr>
      </w:pPr>
      <w:r w:rsidRPr="000E50F1">
        <w:rPr>
          <w:rFonts w:ascii="Times" w:hAnsi="Times" w:cs="Arial"/>
        </w:rPr>
        <w:t xml:space="preserve">Fratzke, S., &amp; Dorst, E. (2019). </w:t>
      </w:r>
      <w:r w:rsidRPr="000E50F1">
        <w:rPr>
          <w:rFonts w:ascii="Times" w:hAnsi="Times" w:cs="Arial"/>
          <w:i/>
          <w:iCs/>
        </w:rPr>
        <w:t>Volunteers and Sponsors: A Catalyst for Refugee Integration?</w:t>
      </w:r>
      <w:r w:rsidRPr="000E50F1">
        <w:rPr>
          <w:rFonts w:ascii="Times" w:hAnsi="Times"/>
        </w:rPr>
        <w:t xml:space="preserve"> Washington, DC: Migration Policy Institute.</w:t>
      </w:r>
    </w:p>
    <w:p w14:paraId="79DB5A3A" w14:textId="77777777" w:rsidR="00AB5A97" w:rsidRPr="000E50F1" w:rsidRDefault="00AB5A97" w:rsidP="00AB5A97">
      <w:pPr>
        <w:ind w:left="567" w:hanging="567"/>
        <w:rPr>
          <w:rFonts w:ascii="Times" w:hAnsi="Times" w:cs="Arial"/>
        </w:rPr>
      </w:pPr>
    </w:p>
    <w:p w14:paraId="6F2157E2" w14:textId="3E679174" w:rsidR="00AB5A97" w:rsidRPr="000E50F1" w:rsidRDefault="00AB5A97" w:rsidP="00AB5A97">
      <w:pPr>
        <w:ind w:left="567" w:hanging="567"/>
        <w:rPr>
          <w:rFonts w:ascii="Times" w:hAnsi="Times" w:cs="Arial"/>
          <w:shd w:val="clear" w:color="auto" w:fill="FFFFFF"/>
        </w:rPr>
      </w:pPr>
      <w:r w:rsidRPr="000E50F1">
        <w:rPr>
          <w:rFonts w:ascii="Times" w:hAnsi="Times" w:cs="Arial"/>
        </w:rPr>
        <w:t xml:space="preserve">Frenette, M., Lu, Y., </w:t>
      </w:r>
      <w:r w:rsidR="00D036F8" w:rsidRPr="000E50F1">
        <w:rPr>
          <w:rFonts w:ascii="Times" w:hAnsi="Times" w:cs="Arial"/>
        </w:rPr>
        <w:t>&amp;</w:t>
      </w:r>
      <w:r w:rsidRPr="000E50F1">
        <w:rPr>
          <w:rFonts w:ascii="Times" w:hAnsi="Times" w:cs="Arial"/>
        </w:rPr>
        <w:t xml:space="preserve"> Chan, W. (2019). The Postsecondary Experience and Early Labour Market Outcomes of International Study Permit Holders. </w:t>
      </w:r>
      <w:hyperlink r:id="rId50" w:history="1">
        <w:r w:rsidRPr="000E50F1">
          <w:rPr>
            <w:rStyle w:val="Hyperlink"/>
            <w:rFonts w:ascii="Times" w:hAnsi="Times"/>
            <w:color w:val="auto"/>
          </w:rPr>
          <w:t>https://www150.statcan.gc.ca/n1/en/pub/11f0019m/11f0019m2019019-eng.pdf?st=tkcVxUsq</w:t>
        </w:r>
      </w:hyperlink>
    </w:p>
    <w:p w14:paraId="02B7BD0E" w14:textId="77777777" w:rsidR="00607705" w:rsidRPr="000E50F1" w:rsidRDefault="00607705" w:rsidP="00607705">
      <w:pPr>
        <w:ind w:left="567" w:hanging="567"/>
        <w:rPr>
          <w:rFonts w:ascii="Times" w:hAnsi="Times" w:cs="Arial"/>
          <w:shd w:val="clear" w:color="auto" w:fill="FFFFFF"/>
        </w:rPr>
      </w:pPr>
    </w:p>
    <w:p w14:paraId="6762D8E4" w14:textId="12AFF0DB" w:rsidR="00607705" w:rsidRPr="000E50F1" w:rsidRDefault="00607705" w:rsidP="00607705">
      <w:pPr>
        <w:ind w:left="567" w:hanging="567"/>
        <w:rPr>
          <w:rFonts w:ascii="Times" w:hAnsi="Times" w:cs="Arial"/>
          <w:shd w:val="clear" w:color="auto" w:fill="FFFFFF"/>
        </w:rPr>
      </w:pPr>
      <w:r w:rsidRPr="000E50F1">
        <w:rPr>
          <w:rFonts w:ascii="Times" w:hAnsi="Times" w:cs="Arial"/>
          <w:shd w:val="clear" w:color="auto" w:fill="FFFFFF"/>
        </w:rPr>
        <w:t xml:space="preserve">Frenk, J. (1992) The concept and measurement of accessibility. In K.L. White (ed.), </w:t>
      </w:r>
      <w:r w:rsidRPr="000E50F1">
        <w:rPr>
          <w:rFonts w:ascii="Times" w:hAnsi="Times" w:cs="Arial"/>
          <w:i/>
          <w:iCs/>
          <w:shd w:val="clear" w:color="auto" w:fill="FFFFFF"/>
        </w:rPr>
        <w:t>Health Services Research: An Anthology</w:t>
      </w:r>
      <w:r w:rsidRPr="000E50F1">
        <w:rPr>
          <w:rFonts w:ascii="Times" w:hAnsi="Times" w:cs="Arial"/>
          <w:shd w:val="clear" w:color="auto" w:fill="FFFFFF"/>
        </w:rPr>
        <w:t>. Pan American Health Organization, Washington, DC, pp. 842–55.</w:t>
      </w:r>
    </w:p>
    <w:p w14:paraId="6D3559D5" w14:textId="45020439" w:rsidR="00AB5A97" w:rsidRPr="000E50F1" w:rsidRDefault="00AB5A97" w:rsidP="00AB5A97">
      <w:pPr>
        <w:ind w:left="567" w:hanging="567"/>
        <w:rPr>
          <w:rFonts w:ascii="Times" w:hAnsi="Times" w:cs="Arial"/>
          <w:shd w:val="clear" w:color="auto" w:fill="FFFFFF"/>
        </w:rPr>
      </w:pPr>
    </w:p>
    <w:p w14:paraId="43880437" w14:textId="77777777" w:rsidR="00150CB1" w:rsidRPr="000E50F1" w:rsidRDefault="00150CB1" w:rsidP="00150CB1">
      <w:pPr>
        <w:pStyle w:val="NormalWeb"/>
        <w:tabs>
          <w:tab w:val="left" w:pos="1560"/>
        </w:tabs>
        <w:spacing w:before="0" w:beforeAutospacing="0" w:after="0" w:afterAutospacing="0"/>
        <w:ind w:left="567" w:hanging="567"/>
        <w:rPr>
          <w:rFonts w:ascii="Times" w:hAnsi="Times"/>
        </w:rPr>
      </w:pPr>
      <w:r w:rsidRPr="000E50F1">
        <w:rPr>
          <w:rFonts w:ascii="Times" w:hAnsi="Times"/>
        </w:rPr>
        <w:lastRenderedPageBreak/>
        <w:t>Gesler, W. M., &amp; Kearns, R. A. (2005). </w:t>
      </w:r>
      <w:r w:rsidRPr="000E50F1">
        <w:rPr>
          <w:rFonts w:ascii="Times" w:hAnsi="Times"/>
          <w:i/>
          <w:iCs/>
        </w:rPr>
        <w:t>Culture, Place and Health</w:t>
      </w:r>
      <w:r w:rsidRPr="000E50F1">
        <w:rPr>
          <w:rFonts w:ascii="Times" w:hAnsi="Times"/>
        </w:rPr>
        <w:t xml:space="preserve"> (Vol. 16). Routledge.</w:t>
      </w:r>
    </w:p>
    <w:p w14:paraId="7968C62F" w14:textId="77777777" w:rsidR="00150CB1" w:rsidRPr="000E50F1" w:rsidRDefault="00150CB1" w:rsidP="00AB5A97">
      <w:pPr>
        <w:ind w:left="567" w:hanging="567"/>
        <w:rPr>
          <w:rFonts w:ascii="Times" w:hAnsi="Times" w:cs="Arial"/>
          <w:shd w:val="clear" w:color="auto" w:fill="FFFFFF"/>
        </w:rPr>
      </w:pPr>
    </w:p>
    <w:p w14:paraId="32C42D67" w14:textId="211AC566" w:rsidR="00AB5A97" w:rsidRPr="000E50F1" w:rsidRDefault="00AB5A97" w:rsidP="00AB5A97">
      <w:pPr>
        <w:ind w:left="567" w:hanging="567"/>
        <w:rPr>
          <w:rFonts w:ascii="Times" w:hAnsi="Times" w:cs="Arial"/>
          <w:shd w:val="clear" w:color="auto" w:fill="FFFFFF"/>
        </w:rPr>
      </w:pPr>
      <w:r w:rsidRPr="000E50F1">
        <w:rPr>
          <w:rFonts w:ascii="Times" w:hAnsi="Times" w:cs="Arial"/>
          <w:shd w:val="clear" w:color="auto" w:fill="FFFFFF"/>
        </w:rPr>
        <w:t>Gopal, A. (2016). Visa and immigration trends: A comparative examination of international student mobility in Canada, Australia, the United Kingdom, and the United States. </w:t>
      </w:r>
      <w:r w:rsidRPr="000E50F1">
        <w:rPr>
          <w:rFonts w:ascii="Times" w:hAnsi="Times" w:cs="Arial"/>
          <w:i/>
          <w:iCs/>
        </w:rPr>
        <w:t>Strategic enrollment management quarterly</w:t>
      </w:r>
      <w:r w:rsidRPr="000E50F1">
        <w:rPr>
          <w:rFonts w:ascii="Times" w:hAnsi="Times" w:cs="Arial"/>
          <w:shd w:val="clear" w:color="auto" w:fill="FFFFFF"/>
        </w:rPr>
        <w:t>, </w:t>
      </w:r>
      <w:r w:rsidRPr="000E50F1">
        <w:rPr>
          <w:rFonts w:ascii="Times" w:hAnsi="Times" w:cs="Arial"/>
          <w:i/>
          <w:iCs/>
        </w:rPr>
        <w:t>4</w:t>
      </w:r>
      <w:r w:rsidRPr="000E50F1">
        <w:rPr>
          <w:rFonts w:ascii="Times" w:hAnsi="Times" w:cs="Arial"/>
          <w:shd w:val="clear" w:color="auto" w:fill="FFFFFF"/>
        </w:rPr>
        <w:t>(3), 130-141.</w:t>
      </w:r>
    </w:p>
    <w:p w14:paraId="1B139FE4" w14:textId="5AE9B7E5" w:rsidR="00FF2975" w:rsidRPr="000E50F1" w:rsidRDefault="00FF2975" w:rsidP="00AB5A97">
      <w:pPr>
        <w:ind w:left="567" w:hanging="567"/>
        <w:rPr>
          <w:rFonts w:ascii="Times" w:hAnsi="Times" w:cs="Arial"/>
          <w:shd w:val="clear" w:color="auto" w:fill="FFFFFF"/>
        </w:rPr>
      </w:pPr>
    </w:p>
    <w:p w14:paraId="727A7F1C" w14:textId="77777777" w:rsidR="00FF2975" w:rsidRPr="000E50F1" w:rsidRDefault="00FF2975" w:rsidP="00FF2975">
      <w:pPr>
        <w:ind w:left="567" w:hanging="567"/>
        <w:rPr>
          <w:rFonts w:ascii="Times" w:hAnsi="Times" w:cs="Arial"/>
          <w:bCs/>
        </w:rPr>
      </w:pPr>
      <w:r w:rsidRPr="000E50F1">
        <w:rPr>
          <w:rFonts w:ascii="Times" w:hAnsi="Times" w:cs="Arial"/>
          <w:bCs/>
        </w:rPr>
        <w:t xml:space="preserve">Government of Ontario. (2019). </w:t>
      </w:r>
      <w:r w:rsidRPr="000E50F1">
        <w:rPr>
          <w:rFonts w:ascii="Times" w:hAnsi="Times" w:cs="Arial"/>
          <w:bCs/>
          <w:i/>
          <w:iCs/>
        </w:rPr>
        <w:t xml:space="preserve">Education Act, R.S.O. 1990, c. E.2. </w:t>
      </w:r>
      <w:hyperlink r:id="rId51" w:history="1">
        <w:r w:rsidRPr="000E50F1">
          <w:rPr>
            <w:rStyle w:val="Hyperlink"/>
            <w:color w:val="auto"/>
            <w:u w:val="none"/>
          </w:rPr>
          <w:t>https://www.ontario.ca/laws/statute/90e02/v82</w:t>
        </w:r>
      </w:hyperlink>
    </w:p>
    <w:p w14:paraId="5340A804" w14:textId="77777777" w:rsidR="00FF2975" w:rsidRPr="000E50F1" w:rsidRDefault="00FF2975" w:rsidP="00AB5A97">
      <w:pPr>
        <w:ind w:left="567" w:hanging="567"/>
        <w:rPr>
          <w:rFonts w:ascii="Times" w:eastAsia="Calibri" w:hAnsi="Times" w:cs="Arial"/>
        </w:rPr>
      </w:pPr>
    </w:p>
    <w:p w14:paraId="2B0E86FC" w14:textId="77777777" w:rsidR="00AB5A97" w:rsidRPr="000E50F1" w:rsidRDefault="00AB5A97" w:rsidP="00AB5A97">
      <w:pPr>
        <w:ind w:left="567" w:hanging="567"/>
        <w:rPr>
          <w:rFonts w:ascii="Times" w:hAnsi="Times" w:cs="Arial"/>
        </w:rPr>
      </w:pPr>
    </w:p>
    <w:p w14:paraId="675D3EB9" w14:textId="1C8D2325" w:rsidR="00AB5A97" w:rsidRPr="000E50F1" w:rsidRDefault="00AB5A97" w:rsidP="00AB5A97">
      <w:pPr>
        <w:pStyle w:val="NormalWeb"/>
        <w:spacing w:before="0" w:beforeAutospacing="0" w:after="0" w:afterAutospacing="0"/>
        <w:ind w:left="567" w:hanging="567"/>
        <w:rPr>
          <w:rFonts w:ascii="Times" w:hAnsi="Times"/>
        </w:rPr>
      </w:pPr>
      <w:r w:rsidRPr="000E50F1">
        <w:rPr>
          <w:rFonts w:ascii="Times" w:hAnsi="Times"/>
        </w:rPr>
        <w:t xml:space="preserve">Hiebert, Daniel. 2019. </w:t>
      </w:r>
      <w:r w:rsidRPr="000E50F1">
        <w:rPr>
          <w:rFonts w:ascii="Times" w:hAnsi="Times"/>
          <w:i/>
          <w:iCs/>
        </w:rPr>
        <w:t>The Canadian Express Entry System for Selecting Economic Immigrants: Progress and Persistent Challenges</w:t>
      </w:r>
      <w:r w:rsidRPr="000E50F1">
        <w:rPr>
          <w:rFonts w:ascii="Times" w:hAnsi="Times"/>
        </w:rPr>
        <w:t xml:space="preserve">. Washington, DC: Migration Policy Institute. </w:t>
      </w:r>
    </w:p>
    <w:p w14:paraId="6D89FF95" w14:textId="77777777" w:rsidR="00761C08" w:rsidRPr="000E50F1" w:rsidRDefault="00761C08" w:rsidP="00AB5A97">
      <w:pPr>
        <w:pStyle w:val="NormalWeb"/>
        <w:spacing w:before="0" w:beforeAutospacing="0" w:after="0" w:afterAutospacing="0"/>
        <w:ind w:left="567" w:hanging="567"/>
        <w:rPr>
          <w:rFonts w:ascii="Times" w:hAnsi="Times"/>
        </w:rPr>
      </w:pPr>
    </w:p>
    <w:p w14:paraId="7F3C1C7D" w14:textId="101A910C" w:rsidR="00AB5A97" w:rsidRPr="000E50F1" w:rsidRDefault="00761C08" w:rsidP="00761C08">
      <w:pPr>
        <w:ind w:left="567" w:hanging="567"/>
        <w:rPr>
          <w:rFonts w:ascii="Times" w:hAnsi="Times" w:cs="Arial"/>
          <w:shd w:val="clear" w:color="auto" w:fill="FFFFFF"/>
        </w:rPr>
      </w:pPr>
      <w:r w:rsidRPr="000E50F1">
        <w:rPr>
          <w:rFonts w:ascii="Times" w:eastAsiaTheme="minorHAnsi" w:hAnsi="Times"/>
          <w:lang w:val="en-US"/>
        </w:rPr>
        <w:t xml:space="preserve">Johnston, R.J., Gregory, D., Pratt, G., and Watts, M. (2000) </w:t>
      </w:r>
      <w:r w:rsidRPr="000E50F1">
        <w:rPr>
          <w:rFonts w:ascii="Times" w:eastAsiaTheme="minorHAnsi" w:hAnsi="Times"/>
          <w:i/>
          <w:iCs/>
          <w:lang w:val="en-US"/>
        </w:rPr>
        <w:t>The Dictionary of Human Geography</w:t>
      </w:r>
      <w:r w:rsidRPr="000E50F1">
        <w:rPr>
          <w:rFonts w:ascii="Times" w:eastAsiaTheme="minorHAnsi" w:hAnsi="Times"/>
          <w:lang w:val="en-US"/>
        </w:rPr>
        <w:t>. Blackwell, Oxford.</w:t>
      </w:r>
    </w:p>
    <w:p w14:paraId="43B89DDE" w14:textId="77777777" w:rsidR="00761C08" w:rsidRPr="000E50F1" w:rsidRDefault="00761C08" w:rsidP="00761C08">
      <w:pPr>
        <w:rPr>
          <w:rFonts w:ascii="Times" w:hAnsi="Times" w:cs="Arial"/>
          <w:shd w:val="clear" w:color="auto" w:fill="FFFFFF"/>
        </w:rPr>
      </w:pPr>
    </w:p>
    <w:p w14:paraId="5E059D8B" w14:textId="6E7839BA" w:rsidR="002B6F23" w:rsidRPr="000E50F1" w:rsidRDefault="002B6F23" w:rsidP="002B6F23">
      <w:pPr>
        <w:tabs>
          <w:tab w:val="left" w:pos="1560"/>
        </w:tabs>
        <w:ind w:left="567" w:hanging="567"/>
      </w:pPr>
      <w:r w:rsidRPr="000E50F1">
        <w:t xml:space="preserve">IRCC (Immigration, Refugees and Citizenship Canada). 2020. Notice—Supplementary Information for the 2021-2023 Immigration Levels Plan. </w:t>
      </w:r>
      <w:hyperlink r:id="rId52" w:history="1">
        <w:r w:rsidR="00D22188" w:rsidRPr="000E50F1">
          <w:rPr>
            <w:rStyle w:val="Hyperlink"/>
            <w:color w:val="auto"/>
          </w:rPr>
          <w:t>https://www.canada.ca/en/immigration-refugees-citizenship/news/notices/supplementary-immigration-levels-2021-2023.html</w:t>
        </w:r>
      </w:hyperlink>
    </w:p>
    <w:p w14:paraId="145B3105" w14:textId="77777777" w:rsidR="00D22188" w:rsidRPr="000E50F1" w:rsidRDefault="00D22188" w:rsidP="00D22188">
      <w:pPr>
        <w:tabs>
          <w:tab w:val="left" w:pos="1560"/>
        </w:tabs>
        <w:ind w:left="567" w:hanging="567"/>
        <w:rPr>
          <w:rFonts w:ascii="Times" w:hAnsi="Times"/>
        </w:rPr>
      </w:pPr>
    </w:p>
    <w:p w14:paraId="006B18FD" w14:textId="2741B3E4" w:rsidR="00D22188" w:rsidRPr="000E50F1" w:rsidRDefault="00D22188" w:rsidP="00D22188">
      <w:pPr>
        <w:tabs>
          <w:tab w:val="left" w:pos="1560"/>
        </w:tabs>
        <w:ind w:left="567" w:hanging="567"/>
        <w:rPr>
          <w:rFonts w:ascii="Times" w:hAnsi="Times"/>
        </w:rPr>
      </w:pPr>
      <w:r w:rsidRPr="000E50F1">
        <w:rPr>
          <w:rFonts w:ascii="Times" w:hAnsi="Times"/>
        </w:rPr>
        <w:t xml:space="preserve">Khan, A. and Bhardwaj, S. (1994) Access to health care: a conceptual framework  and its relevance to health care planning. </w:t>
      </w:r>
      <w:r w:rsidRPr="000E50F1">
        <w:rPr>
          <w:rFonts w:ascii="Times" w:hAnsi="Times"/>
          <w:i/>
          <w:iCs/>
        </w:rPr>
        <w:t>Evaluation &amp; the Health Professions (17),</w:t>
      </w:r>
      <w:r w:rsidRPr="000E50F1">
        <w:rPr>
          <w:rFonts w:ascii="Times" w:hAnsi="Times"/>
        </w:rPr>
        <w:t xml:space="preserve"> 60–76.</w:t>
      </w:r>
    </w:p>
    <w:p w14:paraId="53008019" w14:textId="77777777" w:rsidR="002B6F23" w:rsidRPr="000E50F1" w:rsidRDefault="002B6F23" w:rsidP="00381852">
      <w:pPr>
        <w:rPr>
          <w:rFonts w:ascii="Times" w:hAnsi="Times" w:cs="Arial"/>
          <w:shd w:val="clear" w:color="auto" w:fill="FFFFFF"/>
        </w:rPr>
      </w:pPr>
    </w:p>
    <w:p w14:paraId="401DED15" w14:textId="77777777" w:rsidR="00AB5A97" w:rsidRPr="000E50F1" w:rsidRDefault="00AB5A97" w:rsidP="00AB5A97">
      <w:pPr>
        <w:ind w:left="567" w:hanging="567"/>
        <w:rPr>
          <w:rFonts w:ascii="Times" w:hAnsi="Times"/>
        </w:rPr>
      </w:pPr>
      <w:r w:rsidRPr="000E50F1">
        <w:rPr>
          <w:rFonts w:ascii="Times" w:hAnsi="Times" w:cs="Arial"/>
          <w:shd w:val="clear" w:color="auto" w:fill="FFFFFF"/>
        </w:rPr>
        <w:t>Kenny, C., &amp; Mamuji, A. (2019). Resettling Syrian refugees in Canada: challenges faced by nongovernmental service providers. In </w:t>
      </w:r>
      <w:r w:rsidRPr="000E50F1">
        <w:rPr>
          <w:rFonts w:ascii="Times" w:hAnsi="Times" w:cs="Arial"/>
          <w:i/>
          <w:iCs/>
        </w:rPr>
        <w:t>Resettlement challenges for displaced populations and refugees</w:t>
      </w:r>
      <w:r w:rsidRPr="000E50F1">
        <w:rPr>
          <w:rFonts w:ascii="Times" w:hAnsi="Times" w:cs="Arial"/>
          <w:shd w:val="clear" w:color="auto" w:fill="FFFFFF"/>
        </w:rPr>
        <w:t> (pp. 17-28). Springer, Cham.</w:t>
      </w:r>
    </w:p>
    <w:p w14:paraId="571D1A44" w14:textId="77777777" w:rsidR="00AB5A97" w:rsidRPr="000E50F1" w:rsidRDefault="00AB5A97" w:rsidP="00AB5A97">
      <w:pPr>
        <w:ind w:left="567" w:hanging="567"/>
        <w:rPr>
          <w:rFonts w:ascii="Times" w:hAnsi="Times" w:cs="Arial"/>
        </w:rPr>
      </w:pPr>
    </w:p>
    <w:p w14:paraId="1285822A" w14:textId="77777777" w:rsidR="00AB5A97" w:rsidRPr="000E50F1" w:rsidRDefault="00AB5A97" w:rsidP="00AB5A97">
      <w:pPr>
        <w:pStyle w:val="NormalWeb"/>
        <w:spacing w:before="0" w:beforeAutospacing="0" w:after="0" w:afterAutospacing="0"/>
        <w:ind w:left="567" w:hanging="567"/>
        <w:rPr>
          <w:rFonts w:ascii="Times" w:hAnsi="Times" w:cs="Arial"/>
        </w:rPr>
      </w:pPr>
      <w:r w:rsidRPr="000E50F1">
        <w:rPr>
          <w:rFonts w:ascii="Times" w:hAnsi="Times" w:cs="Arial"/>
          <w:bCs/>
        </w:rPr>
        <w:t>Khanlou, N. (2010). Migrant Mental Health in Canada, in “</w:t>
      </w:r>
      <w:r w:rsidRPr="000E50F1">
        <w:rPr>
          <w:rFonts w:ascii="Times" w:hAnsi="Times" w:cs="Arial"/>
          <w:bCs/>
          <w:i/>
          <w:iCs/>
        </w:rPr>
        <w:t>Canadian Issues: Immigrant Mental Health</w:t>
      </w:r>
      <w:r w:rsidRPr="000E50F1">
        <w:rPr>
          <w:rFonts w:ascii="Times" w:hAnsi="Times" w:cs="Arial"/>
          <w:bCs/>
        </w:rPr>
        <w:t xml:space="preserve">, </w:t>
      </w:r>
      <w:r w:rsidRPr="000E50F1">
        <w:rPr>
          <w:rFonts w:ascii="Times" w:hAnsi="Times" w:cs="Arial"/>
          <w:shd w:val="clear" w:color="auto" w:fill="FFFFFF"/>
        </w:rPr>
        <w:t xml:space="preserve">N. Khanlou and B. Jackson, Eds, 9-16. </w:t>
      </w:r>
      <w:hyperlink r:id="rId53" w:history="1">
        <w:r w:rsidRPr="000E50F1">
          <w:rPr>
            <w:rStyle w:val="Hyperlink"/>
            <w:rFonts w:ascii="Times" w:hAnsi="Times" w:cs="Arial"/>
            <w:color w:val="auto"/>
            <w:shd w:val="clear" w:color="auto" w:fill="FFFFFF"/>
          </w:rPr>
          <w:t>http://www.metropolis.net/pdfs/immigrant_mental_health_10aug10.pdf</w:t>
        </w:r>
      </w:hyperlink>
    </w:p>
    <w:p w14:paraId="26DF4878" w14:textId="77777777" w:rsidR="00AB5A97" w:rsidRPr="000E50F1" w:rsidRDefault="00AB5A97" w:rsidP="00AB5A97">
      <w:pPr>
        <w:ind w:left="567" w:hanging="567"/>
        <w:rPr>
          <w:rFonts w:ascii="Times" w:hAnsi="Times" w:cs="Arial"/>
        </w:rPr>
      </w:pPr>
    </w:p>
    <w:p w14:paraId="5EEBFACF" w14:textId="77777777" w:rsidR="00AB5A97" w:rsidRPr="000E50F1" w:rsidRDefault="00AB5A97" w:rsidP="00AB5A97">
      <w:pPr>
        <w:ind w:left="567" w:hanging="567"/>
        <w:rPr>
          <w:rFonts w:ascii="Times" w:hAnsi="Times"/>
        </w:rPr>
      </w:pPr>
      <w:r w:rsidRPr="000E50F1">
        <w:rPr>
          <w:rFonts w:ascii="Times" w:hAnsi="Times"/>
        </w:rPr>
        <w:t xml:space="preserve">Mangalji, A. &amp; Long, E. (2020). Immigration Predictions for 2020. Retrieved January 20, 2020, from http://www.lmlawgroup. com/news/. </w:t>
      </w:r>
    </w:p>
    <w:p w14:paraId="1E01C186" w14:textId="77777777" w:rsidR="00AB5A97" w:rsidRPr="000E50F1" w:rsidRDefault="00AB5A97" w:rsidP="00AB5A97">
      <w:pPr>
        <w:ind w:left="567" w:hanging="567"/>
        <w:rPr>
          <w:rFonts w:ascii="Times" w:hAnsi="Times" w:cs="Arial"/>
          <w:shd w:val="clear" w:color="auto" w:fill="FFFFFF"/>
        </w:rPr>
      </w:pPr>
    </w:p>
    <w:p w14:paraId="51EADCF6" w14:textId="4D0A7687" w:rsidR="00B71995" w:rsidRPr="000E50F1" w:rsidRDefault="00B71995" w:rsidP="00B71995">
      <w:pPr>
        <w:ind w:left="567" w:hanging="567"/>
        <w:rPr>
          <w:rFonts w:ascii="Times" w:hAnsi="Times" w:cs="Arial"/>
          <w:shd w:val="clear" w:color="auto" w:fill="FFFFFF"/>
        </w:rPr>
      </w:pPr>
      <w:r w:rsidRPr="000E50F1">
        <w:rPr>
          <w:rFonts w:ascii="Times" w:hAnsi="Times" w:cs="Arial"/>
          <w:shd w:val="clear" w:color="auto" w:fill="FFFFFF"/>
        </w:rPr>
        <w:t>Philo, C., &amp; Wolch, J. (2001). The ‘three waves’ of research in mental health geography: A review and critical commentary. </w:t>
      </w:r>
      <w:r w:rsidRPr="000E50F1">
        <w:rPr>
          <w:rFonts w:ascii="Times" w:hAnsi="Times" w:cs="Arial"/>
          <w:i/>
          <w:iCs/>
          <w:shd w:val="clear" w:color="auto" w:fill="FFFFFF"/>
        </w:rPr>
        <w:t>Epidemiologia e psichiatria sociale</w:t>
      </w:r>
      <w:r w:rsidRPr="000E50F1">
        <w:rPr>
          <w:rFonts w:ascii="Times" w:hAnsi="Times" w:cs="Arial"/>
          <w:shd w:val="clear" w:color="auto" w:fill="FFFFFF"/>
        </w:rPr>
        <w:t>, </w:t>
      </w:r>
      <w:r w:rsidRPr="000E50F1">
        <w:rPr>
          <w:rFonts w:ascii="Times" w:hAnsi="Times" w:cs="Arial"/>
          <w:i/>
          <w:iCs/>
          <w:shd w:val="clear" w:color="auto" w:fill="FFFFFF"/>
        </w:rPr>
        <w:t>10</w:t>
      </w:r>
      <w:r w:rsidRPr="000E50F1">
        <w:rPr>
          <w:rFonts w:ascii="Times" w:hAnsi="Times" w:cs="Arial"/>
          <w:shd w:val="clear" w:color="auto" w:fill="FFFFFF"/>
        </w:rPr>
        <w:t>(4), 230-244.</w:t>
      </w:r>
    </w:p>
    <w:p w14:paraId="25720996" w14:textId="77777777" w:rsidR="00B71995" w:rsidRPr="000E50F1" w:rsidRDefault="00B71995" w:rsidP="00B71995">
      <w:pPr>
        <w:ind w:left="567" w:hanging="567"/>
        <w:rPr>
          <w:rFonts w:ascii="Times" w:hAnsi="Times" w:cs="Arial"/>
          <w:shd w:val="clear" w:color="auto" w:fill="FFFFFF"/>
        </w:rPr>
      </w:pPr>
    </w:p>
    <w:p w14:paraId="446A01DA" w14:textId="77777777" w:rsidR="00AB5A97" w:rsidRPr="000E50F1" w:rsidRDefault="00AB5A97" w:rsidP="00AB5A97">
      <w:pPr>
        <w:ind w:left="567" w:hanging="567"/>
        <w:rPr>
          <w:rFonts w:ascii="Times" w:hAnsi="Times" w:cs="Arial"/>
          <w:shd w:val="clear" w:color="auto" w:fill="FFFFFF"/>
        </w:rPr>
      </w:pPr>
      <w:r w:rsidRPr="000E50F1">
        <w:rPr>
          <w:rFonts w:ascii="Times" w:hAnsi="Times" w:cs="Arial"/>
          <w:shd w:val="clear" w:color="auto" w:fill="FFFFFF"/>
        </w:rPr>
        <w:lastRenderedPageBreak/>
        <w:t>Reichert, P. (2020). Internationalization &amp; career-focused programming for international students: a qualitative study of universities in Canada (Unpublished doctoral thesis). University of Calgary, Calgary, AB.</w:t>
      </w:r>
    </w:p>
    <w:p w14:paraId="31D5EFAC" w14:textId="77777777" w:rsidR="00AB5A97" w:rsidRPr="000E50F1" w:rsidRDefault="00AB5A97" w:rsidP="00AB5A97">
      <w:pPr>
        <w:ind w:right="4"/>
        <w:rPr>
          <w:rFonts w:ascii="Times" w:hAnsi="Times" w:cs="Arial"/>
        </w:rPr>
      </w:pPr>
    </w:p>
    <w:p w14:paraId="77586D67" w14:textId="77777777" w:rsidR="00AB5A97" w:rsidRPr="000E50F1" w:rsidRDefault="00AB5A97" w:rsidP="00AB5A97">
      <w:pPr>
        <w:ind w:left="567" w:hanging="567"/>
        <w:rPr>
          <w:rFonts w:ascii="Times" w:hAnsi="Times"/>
        </w:rPr>
      </w:pPr>
      <w:r w:rsidRPr="000E50F1">
        <w:rPr>
          <w:rFonts w:ascii="Times" w:hAnsi="Times" w:cs="Arial"/>
        </w:rPr>
        <w:t xml:space="preserve">Rose, D. (2019). </w:t>
      </w:r>
      <w:r w:rsidRPr="000E50F1">
        <w:rPr>
          <w:rFonts w:ascii="Times" w:hAnsi="Times" w:cs="Arial"/>
          <w:i/>
          <w:iCs/>
        </w:rPr>
        <w:t>Creating a Home in Canada: Refugee Housing Challenges and Potential Policy Solutions</w:t>
      </w:r>
      <w:r w:rsidRPr="000E50F1">
        <w:rPr>
          <w:rFonts w:ascii="Times" w:hAnsi="Times" w:cs="Arial"/>
        </w:rPr>
        <w:t xml:space="preserve">. </w:t>
      </w:r>
      <w:r w:rsidRPr="000E50F1">
        <w:rPr>
          <w:rFonts w:ascii="Times" w:hAnsi="Times"/>
        </w:rPr>
        <w:t>Washington, DC: Migration Policy Institute.</w:t>
      </w:r>
    </w:p>
    <w:p w14:paraId="1669F30B" w14:textId="77777777" w:rsidR="00AB5A97" w:rsidRPr="000E50F1" w:rsidRDefault="00AB5A97" w:rsidP="00AB5A97">
      <w:pPr>
        <w:ind w:left="567" w:hanging="567"/>
        <w:rPr>
          <w:rFonts w:ascii="Times" w:hAnsi="Times"/>
        </w:rPr>
      </w:pPr>
    </w:p>
    <w:p w14:paraId="111E154E" w14:textId="77777777" w:rsidR="00865C64" w:rsidRPr="000E50F1" w:rsidRDefault="00AB5A97" w:rsidP="00865C64">
      <w:pPr>
        <w:ind w:left="567" w:hanging="567"/>
        <w:rPr>
          <w:rFonts w:ascii="Times" w:hAnsi="Times" w:cs="Arial"/>
        </w:rPr>
      </w:pPr>
      <w:r w:rsidRPr="000E50F1">
        <w:rPr>
          <w:rFonts w:ascii="Times" w:hAnsi="Times" w:cs="Arial"/>
        </w:rPr>
        <w:t>Salehi, R. (2010). Intersection of health, immigration, and youth: A systematic literature review. </w:t>
      </w:r>
      <w:r w:rsidRPr="000E50F1">
        <w:rPr>
          <w:rFonts w:ascii="Times" w:hAnsi="Times" w:cs="Arial"/>
          <w:i/>
          <w:iCs/>
        </w:rPr>
        <w:t>Journal of immigrant and minority health</w:t>
      </w:r>
      <w:r w:rsidRPr="000E50F1">
        <w:rPr>
          <w:rFonts w:ascii="Times" w:hAnsi="Times" w:cs="Arial"/>
        </w:rPr>
        <w:t>, </w:t>
      </w:r>
      <w:r w:rsidRPr="000E50F1">
        <w:rPr>
          <w:rFonts w:ascii="Times" w:hAnsi="Times" w:cs="Arial"/>
          <w:i/>
          <w:iCs/>
        </w:rPr>
        <w:t>12</w:t>
      </w:r>
      <w:r w:rsidRPr="000E50F1">
        <w:rPr>
          <w:rFonts w:ascii="Times" w:hAnsi="Times" w:cs="Arial"/>
        </w:rPr>
        <w:t>(5), 788-797.</w:t>
      </w:r>
    </w:p>
    <w:p w14:paraId="345B2052" w14:textId="77777777" w:rsidR="00865C64" w:rsidRPr="000E50F1" w:rsidRDefault="00865C64" w:rsidP="00865C64"/>
    <w:p w14:paraId="6474CE59" w14:textId="7A572742" w:rsidR="00AB5A97" w:rsidRPr="000E50F1" w:rsidRDefault="00AB5A97" w:rsidP="00AB5A97">
      <w:pPr>
        <w:ind w:left="567" w:hanging="567"/>
        <w:rPr>
          <w:rFonts w:ascii="Times" w:hAnsi="Times" w:cs="Arial"/>
        </w:rPr>
      </w:pPr>
      <w:r w:rsidRPr="000E50F1">
        <w:rPr>
          <w:rFonts w:ascii="Times" w:hAnsi="Times" w:cs="Arial"/>
        </w:rPr>
        <w:t>She, Q., &amp; Wotherspoon, T. (2013). International student mobility and highly skilled migration: A comparative study of Canada, the United States, and the United Kingdom. SpringerPlus, 2(1), 132.</w:t>
      </w:r>
    </w:p>
    <w:p w14:paraId="701D172D" w14:textId="77777777" w:rsidR="00AB5A97" w:rsidRPr="000E50F1" w:rsidRDefault="00AB5A97" w:rsidP="00AB5A97">
      <w:pPr>
        <w:ind w:left="567" w:hanging="567"/>
        <w:rPr>
          <w:rFonts w:ascii="Times" w:hAnsi="Times" w:cs="Arial"/>
        </w:rPr>
      </w:pPr>
    </w:p>
    <w:p w14:paraId="270F1A4D" w14:textId="77777777" w:rsidR="00AB5A97" w:rsidRPr="000E50F1" w:rsidRDefault="00AB5A97" w:rsidP="00AB5A97">
      <w:pPr>
        <w:ind w:left="567" w:hanging="567"/>
        <w:rPr>
          <w:rFonts w:ascii="Times" w:hAnsi="Times" w:cs="Arial"/>
        </w:rPr>
      </w:pPr>
      <w:r w:rsidRPr="000E50F1">
        <w:rPr>
          <w:rFonts w:ascii="Times" w:hAnsi="Times" w:cs="Arial"/>
        </w:rPr>
        <w:t>Smith, W. C., &amp; Fernandez, F. (2015). Education and wage gaps: A comparative study of immigrant and native employees in the United States and Canada.</w:t>
      </w:r>
      <w:r w:rsidRPr="000E50F1">
        <w:rPr>
          <w:rFonts w:ascii="Times" w:hAnsi="Times"/>
        </w:rPr>
        <w:t> </w:t>
      </w:r>
      <w:r w:rsidRPr="000E50F1">
        <w:rPr>
          <w:rFonts w:ascii="Times" w:hAnsi="Times" w:cs="Arial"/>
        </w:rPr>
        <w:t>Program for the International Assessment of Adult Competencies.</w:t>
      </w:r>
    </w:p>
    <w:p w14:paraId="0970C6AE" w14:textId="77777777" w:rsidR="00AB5A97" w:rsidRPr="000E50F1" w:rsidRDefault="00AB5A97" w:rsidP="004A74B7">
      <w:pPr>
        <w:rPr>
          <w:rFonts w:ascii="Times" w:hAnsi="Times"/>
        </w:rPr>
      </w:pPr>
    </w:p>
    <w:p w14:paraId="4682B85C" w14:textId="71196E8A" w:rsidR="00AB5A97" w:rsidRPr="000E50F1" w:rsidRDefault="00AB5A97" w:rsidP="00AB5A97">
      <w:pPr>
        <w:ind w:left="567" w:hanging="567"/>
        <w:rPr>
          <w:rFonts w:ascii="Times" w:hAnsi="Times"/>
        </w:rPr>
      </w:pPr>
      <w:r w:rsidRPr="000E50F1">
        <w:rPr>
          <w:rFonts w:ascii="Times" w:hAnsi="Times" w:cs="Arial"/>
          <w:shd w:val="clear" w:color="auto" w:fill="FFFFFF"/>
        </w:rPr>
        <w:t>Veronis, L. (2019). Building intersectoral partnerships as place</w:t>
      </w:r>
      <w:r w:rsidRPr="000E50F1">
        <w:rPr>
          <w:rFonts w:ascii="Cambria Math" w:hAnsi="Cambria Math" w:cs="Cambria Math"/>
          <w:shd w:val="clear" w:color="auto" w:fill="FFFFFF"/>
        </w:rPr>
        <w:t>‐</w:t>
      </w:r>
      <w:r w:rsidRPr="000E50F1">
        <w:rPr>
          <w:rFonts w:ascii="Times" w:hAnsi="Times" w:cs="Arial"/>
          <w:shd w:val="clear" w:color="auto" w:fill="FFFFFF"/>
        </w:rPr>
        <w:t>based strategy for immigrant and refugee (re) settlement: The Ottawa Local Immigration Partnership. </w:t>
      </w:r>
      <w:r w:rsidRPr="000E50F1">
        <w:rPr>
          <w:rFonts w:ascii="Times" w:hAnsi="Times" w:cs="Arial"/>
          <w:i/>
          <w:iCs/>
        </w:rPr>
        <w:t xml:space="preserve">The Canadian Geographer/Le Géographe </w:t>
      </w:r>
      <w:r w:rsidR="00876D92" w:rsidRPr="000E50F1">
        <w:rPr>
          <w:rFonts w:ascii="Times" w:hAnsi="Times" w:cs="Arial"/>
          <w:i/>
          <w:iCs/>
        </w:rPr>
        <w:t>C</w:t>
      </w:r>
      <w:r w:rsidRPr="000E50F1">
        <w:rPr>
          <w:rFonts w:ascii="Times" w:hAnsi="Times" w:cs="Arial"/>
          <w:i/>
          <w:iCs/>
        </w:rPr>
        <w:t>anadien</w:t>
      </w:r>
      <w:r w:rsidRPr="000E50F1">
        <w:rPr>
          <w:rFonts w:ascii="Times" w:hAnsi="Times" w:cs="Arial"/>
          <w:shd w:val="clear" w:color="auto" w:fill="FFFFFF"/>
        </w:rPr>
        <w:t>, </w:t>
      </w:r>
      <w:r w:rsidRPr="000E50F1">
        <w:rPr>
          <w:rFonts w:ascii="Times" w:hAnsi="Times" w:cs="Arial"/>
          <w:i/>
          <w:iCs/>
        </w:rPr>
        <w:t>63</w:t>
      </w:r>
      <w:r w:rsidRPr="000E50F1">
        <w:rPr>
          <w:rFonts w:ascii="Times" w:hAnsi="Times" w:cs="Arial"/>
          <w:shd w:val="clear" w:color="auto" w:fill="FFFFFF"/>
        </w:rPr>
        <w:t>(3), 391-404.</w:t>
      </w:r>
    </w:p>
    <w:p w14:paraId="1FE76F46" w14:textId="77777777" w:rsidR="00AB5A97" w:rsidRPr="000E50F1" w:rsidRDefault="00AB5A97" w:rsidP="00AB5A97">
      <w:pPr>
        <w:ind w:left="567" w:right="4" w:hanging="567"/>
        <w:rPr>
          <w:rFonts w:ascii="Times" w:hAnsi="Times" w:cs="Arial"/>
          <w:b/>
          <w:bCs/>
        </w:rPr>
      </w:pPr>
    </w:p>
    <w:p w14:paraId="1B9FA464" w14:textId="42B442F2" w:rsidR="00320D66" w:rsidRPr="000E50F1" w:rsidRDefault="00AB5A97" w:rsidP="00AB5A97">
      <w:pPr>
        <w:ind w:left="567" w:hanging="567"/>
        <w:rPr>
          <w:rFonts w:ascii="Times" w:eastAsia="Calibri" w:hAnsi="Times"/>
        </w:rPr>
      </w:pPr>
      <w:r w:rsidRPr="000E50F1">
        <w:rPr>
          <w:rFonts w:ascii="Times" w:hAnsi="Times" w:cs="Arial"/>
          <w:shd w:val="clear" w:color="auto" w:fill="FFFFFF"/>
        </w:rPr>
        <w:t>Walton</w:t>
      </w:r>
      <w:r w:rsidRPr="000E50F1">
        <w:rPr>
          <w:rFonts w:ascii="Cambria Math" w:hAnsi="Cambria Math" w:cs="Cambria Math"/>
          <w:shd w:val="clear" w:color="auto" w:fill="FFFFFF"/>
        </w:rPr>
        <w:t>‐</w:t>
      </w:r>
      <w:r w:rsidRPr="000E50F1">
        <w:rPr>
          <w:rFonts w:ascii="Times" w:hAnsi="Times" w:cs="Arial"/>
          <w:shd w:val="clear" w:color="auto" w:fill="FFFFFF"/>
        </w:rPr>
        <w:t>Roberts, M., Veronis, L., Wayland, S. V., Dam, H., &amp; Cullen, B. (2019). Syrian refugee resettlement and the role of local immigration partnerships in Ontario, Canada. </w:t>
      </w:r>
      <w:r w:rsidRPr="000E50F1">
        <w:rPr>
          <w:rFonts w:ascii="Times" w:hAnsi="Times" w:cs="Arial"/>
          <w:i/>
          <w:iCs/>
        </w:rPr>
        <w:t xml:space="preserve">The Canadian Geographer/Le Géographe </w:t>
      </w:r>
      <w:r w:rsidR="00BD5406" w:rsidRPr="000E50F1">
        <w:rPr>
          <w:rFonts w:ascii="Times" w:hAnsi="Times" w:cs="Arial"/>
          <w:i/>
          <w:iCs/>
        </w:rPr>
        <w:t>C</w:t>
      </w:r>
      <w:r w:rsidRPr="000E50F1">
        <w:rPr>
          <w:rFonts w:ascii="Times" w:hAnsi="Times" w:cs="Arial"/>
          <w:i/>
          <w:iCs/>
        </w:rPr>
        <w:t>anadien</w:t>
      </w:r>
      <w:r w:rsidRPr="000E50F1">
        <w:rPr>
          <w:rFonts w:ascii="Times" w:hAnsi="Times" w:cs="Arial"/>
          <w:shd w:val="clear" w:color="auto" w:fill="FFFFFF"/>
        </w:rPr>
        <w:t>, </w:t>
      </w:r>
      <w:r w:rsidRPr="000E50F1">
        <w:rPr>
          <w:rFonts w:ascii="Times" w:hAnsi="Times" w:cs="Arial"/>
          <w:i/>
          <w:iCs/>
        </w:rPr>
        <w:t>63</w:t>
      </w:r>
      <w:r w:rsidRPr="000E50F1">
        <w:rPr>
          <w:rFonts w:ascii="Times" w:hAnsi="Times" w:cs="Arial"/>
          <w:shd w:val="clear" w:color="auto" w:fill="FFFFFF"/>
        </w:rPr>
        <w:t>(3), 347-359.</w:t>
      </w:r>
    </w:p>
    <w:p w14:paraId="09B01221" w14:textId="77777777" w:rsidR="00320D66" w:rsidRPr="000E50F1" w:rsidRDefault="00320D66" w:rsidP="00AB5A97">
      <w:pPr>
        <w:ind w:left="567" w:hanging="567"/>
        <w:rPr>
          <w:rFonts w:ascii="Times" w:hAnsi="Times"/>
        </w:rPr>
      </w:pPr>
    </w:p>
    <w:p w14:paraId="0714FC64" w14:textId="77777777" w:rsidR="00320D66" w:rsidRPr="000E50F1" w:rsidRDefault="00320D66" w:rsidP="00320D66">
      <w:pPr>
        <w:ind w:left="567" w:hanging="567"/>
        <w:rPr>
          <w:rFonts w:ascii="Times" w:eastAsia="Calibri" w:hAnsi="Times"/>
          <w:lang w:val="en-US"/>
        </w:rPr>
      </w:pPr>
      <w:r w:rsidRPr="000E50F1">
        <w:rPr>
          <w:rFonts w:ascii="Times" w:eastAsia="Calibri" w:hAnsi="Times"/>
        </w:rPr>
        <w:t xml:space="preserve">World Health Organization. (2018). </w:t>
      </w:r>
      <w:r w:rsidRPr="000E50F1">
        <w:rPr>
          <w:rFonts w:ascii="Times" w:eastAsia="Calibri" w:hAnsi="Times"/>
          <w:i/>
          <w:iCs/>
          <w:lang w:val="en-US"/>
        </w:rPr>
        <w:t>Continuity and coordination of care: a practice brief to support implementation of the WHO Framework on integrated people-centred health services.</w:t>
      </w:r>
      <w:r w:rsidRPr="000E50F1">
        <w:rPr>
          <w:rFonts w:ascii="Times" w:eastAsia="Calibri" w:hAnsi="Times"/>
          <w:lang w:val="en-US"/>
        </w:rPr>
        <w:t xml:space="preserve"> Geneva. Licence: CC BY-NC-SA 3.0 IGO. </w:t>
      </w:r>
    </w:p>
    <w:p w14:paraId="0C92C632" w14:textId="77777777" w:rsidR="00840033" w:rsidRPr="000E50F1" w:rsidRDefault="00840033">
      <w:pPr>
        <w:rPr>
          <w:rFonts w:ascii="Times" w:eastAsia="Calibri" w:hAnsi="Times"/>
          <w:b/>
          <w:lang w:val="en-US"/>
        </w:rPr>
      </w:pPr>
      <w:r w:rsidRPr="000E50F1">
        <w:rPr>
          <w:rFonts w:ascii="Times" w:eastAsia="Calibri" w:hAnsi="Times"/>
        </w:rPr>
        <w:br w:type="page"/>
      </w:r>
    </w:p>
    <w:p w14:paraId="7BFF6179" w14:textId="45218F6C" w:rsidR="00FF2CEF" w:rsidRPr="000E50F1" w:rsidRDefault="00FF2CEF" w:rsidP="00E95A3E">
      <w:pPr>
        <w:pStyle w:val="Heading1"/>
        <w:spacing w:before="0" w:line="240" w:lineRule="auto"/>
        <w:jc w:val="center"/>
        <w:rPr>
          <w:rFonts w:ascii="Times" w:eastAsia="Calibri" w:hAnsi="Times"/>
          <w:color w:val="auto"/>
          <w:sz w:val="24"/>
          <w:szCs w:val="24"/>
        </w:rPr>
      </w:pPr>
      <w:bookmarkStart w:id="34" w:name="_Toc60231902"/>
      <w:r w:rsidRPr="000E50F1">
        <w:rPr>
          <w:rFonts w:ascii="Times" w:eastAsia="Calibri" w:hAnsi="Times"/>
          <w:color w:val="auto"/>
          <w:sz w:val="24"/>
          <w:szCs w:val="24"/>
        </w:rPr>
        <w:lastRenderedPageBreak/>
        <w:t>A</w:t>
      </w:r>
      <w:r w:rsidR="00F729AC" w:rsidRPr="000E50F1">
        <w:rPr>
          <w:rFonts w:ascii="Times" w:eastAsia="Calibri" w:hAnsi="Times"/>
          <w:color w:val="auto"/>
          <w:sz w:val="24"/>
          <w:szCs w:val="24"/>
        </w:rPr>
        <w:t>PPENDIX A</w:t>
      </w:r>
      <w:r w:rsidR="00121C5A" w:rsidRPr="000E50F1">
        <w:rPr>
          <w:rFonts w:ascii="Times" w:eastAsia="Calibri" w:hAnsi="Times"/>
          <w:color w:val="auto"/>
          <w:sz w:val="24"/>
          <w:szCs w:val="24"/>
        </w:rPr>
        <w:t xml:space="preserve">: </w:t>
      </w:r>
      <w:r w:rsidR="00AF28A3" w:rsidRPr="000E50F1">
        <w:rPr>
          <w:rFonts w:ascii="Times" w:eastAsia="Calibri" w:hAnsi="Times"/>
          <w:color w:val="auto"/>
          <w:sz w:val="24"/>
          <w:szCs w:val="24"/>
        </w:rPr>
        <w:t>RESEARCHER</w:t>
      </w:r>
      <w:r w:rsidR="008C05D7" w:rsidRPr="000E50F1">
        <w:rPr>
          <w:rFonts w:ascii="Times" w:eastAsia="Calibri" w:hAnsi="Times"/>
          <w:color w:val="auto"/>
          <w:sz w:val="24"/>
          <w:szCs w:val="24"/>
        </w:rPr>
        <w:t>’S</w:t>
      </w:r>
      <w:r w:rsidR="00AF28A3" w:rsidRPr="000E50F1">
        <w:rPr>
          <w:rFonts w:ascii="Times" w:eastAsia="Calibri" w:hAnsi="Times"/>
          <w:color w:val="auto"/>
          <w:sz w:val="24"/>
          <w:szCs w:val="24"/>
        </w:rPr>
        <w:t xml:space="preserve"> BIOGRAPHY</w:t>
      </w:r>
      <w:bookmarkEnd w:id="34"/>
    </w:p>
    <w:p w14:paraId="50F6285C" w14:textId="77777777" w:rsidR="001F0F7D" w:rsidRPr="000E50F1" w:rsidRDefault="001F0F7D" w:rsidP="0070492E">
      <w:pPr>
        <w:rPr>
          <w:rFonts w:ascii="Times" w:hAnsi="Times"/>
        </w:rPr>
      </w:pPr>
    </w:p>
    <w:p w14:paraId="2FF7E84C" w14:textId="77777777" w:rsidR="007207AB" w:rsidRPr="000E50F1" w:rsidRDefault="007207AB" w:rsidP="0070492E">
      <w:pPr>
        <w:rPr>
          <w:rFonts w:ascii="Times" w:hAnsi="Times"/>
        </w:rPr>
      </w:pPr>
    </w:p>
    <w:p w14:paraId="403F5F7C" w14:textId="3E1CE593" w:rsidR="00E813FC" w:rsidRPr="000E50F1" w:rsidRDefault="00E813FC" w:rsidP="00E813FC">
      <w:pPr>
        <w:jc w:val="center"/>
        <w:rPr>
          <w:rFonts w:ascii="Times" w:hAnsi="Times"/>
        </w:rPr>
      </w:pPr>
      <w:r w:rsidRPr="000E50F1">
        <w:rPr>
          <w:rFonts w:ascii="Times" w:hAnsi="Times"/>
        </w:rPr>
        <w:t xml:space="preserve">“This willingness to be candid in reporting research reflects a renewed </w:t>
      </w:r>
      <w:r w:rsidR="00EE53AB" w:rsidRPr="000E50F1">
        <w:rPr>
          <w:rFonts w:ascii="Times" w:hAnsi="Times"/>
        </w:rPr>
        <w:t xml:space="preserve">        </w:t>
      </w:r>
      <w:r w:rsidRPr="000E50F1">
        <w:rPr>
          <w:rFonts w:ascii="Times" w:hAnsi="Times"/>
        </w:rPr>
        <w:t>frankness about the way things are, and the experience of being researchers”</w:t>
      </w:r>
      <w:r w:rsidR="00543331" w:rsidRPr="000E50F1">
        <w:rPr>
          <w:rStyle w:val="FootnoteReference"/>
          <w:rFonts w:ascii="Times" w:hAnsi="Times"/>
        </w:rPr>
        <w:footnoteReference w:id="7"/>
      </w:r>
      <w:r w:rsidRPr="000E50F1">
        <w:rPr>
          <w:rFonts w:ascii="Times" w:hAnsi="Times"/>
        </w:rPr>
        <w:t xml:space="preserve">                  </w:t>
      </w:r>
    </w:p>
    <w:p w14:paraId="26B1773C" w14:textId="0138090D" w:rsidR="00E813FC" w:rsidRPr="000E50F1" w:rsidRDefault="00E813FC" w:rsidP="0070492E">
      <w:pPr>
        <w:rPr>
          <w:rFonts w:ascii="Times" w:hAnsi="Times"/>
        </w:rPr>
      </w:pPr>
    </w:p>
    <w:p w14:paraId="3B6AE7CB" w14:textId="77777777" w:rsidR="00E813FC" w:rsidRPr="000E50F1" w:rsidRDefault="00E813FC" w:rsidP="0070492E">
      <w:pPr>
        <w:rPr>
          <w:rFonts w:ascii="Times" w:hAnsi="Times"/>
        </w:rPr>
      </w:pPr>
    </w:p>
    <w:p w14:paraId="508BCD23" w14:textId="5A3EEF30" w:rsidR="00F46663" w:rsidRPr="000E50F1" w:rsidRDefault="00F46663" w:rsidP="0070492E">
      <w:pPr>
        <w:rPr>
          <w:rFonts w:ascii="Times" w:hAnsi="Times"/>
        </w:rPr>
      </w:pPr>
      <w:r w:rsidRPr="000E50F1">
        <w:rPr>
          <w:rFonts w:ascii="Times" w:hAnsi="Times"/>
        </w:rPr>
        <w:t xml:space="preserve">I was born in Hong Kong in 1984 at Queen Elizabeth Hospital. Life from what I can remember, and family photos, was not out of the ordinary. On Sundays, we went to church and McDonalds—a family tradition that my paternal grandfather, Dam Van Mac, had enforced after his conversion to Christianity. Life in Hong Kong was carefree and fun. I grew up with my older sister, younger brother, and many first cousins, most of whom were born in Hong Kong. Although we did move multiple times between the city and the refugee camp, we all lived together under the same roof for the first four years of my life. My eldest cousin, Tung, was our only first cousin who was born in Vietnam. At the age of six, Tung’s parent made the decision to remain in Vietnam and left him to the care of my grandparents in 1982. </w:t>
      </w:r>
    </w:p>
    <w:p w14:paraId="3DB66AD4" w14:textId="77777777" w:rsidR="00AA3B10" w:rsidRPr="000E50F1" w:rsidRDefault="00AA3B10" w:rsidP="00AA3B10">
      <w:pPr>
        <w:rPr>
          <w:rFonts w:ascii="Times" w:hAnsi="Times"/>
        </w:rPr>
      </w:pPr>
    </w:p>
    <w:p w14:paraId="1E499AEC" w14:textId="094001F1" w:rsidR="00F46663" w:rsidRPr="000E50F1" w:rsidRDefault="00F46663" w:rsidP="00AA3B10">
      <w:pPr>
        <w:rPr>
          <w:rFonts w:ascii="Times" w:hAnsi="Times"/>
        </w:rPr>
      </w:pPr>
      <w:r w:rsidRPr="000E50F1">
        <w:rPr>
          <w:rFonts w:ascii="Times" w:hAnsi="Times"/>
        </w:rPr>
        <w:t>In the summer of 1982, my parents, extended family, their close family friends, and neighbours—</w:t>
      </w:r>
      <w:r w:rsidR="00FF51A9" w:rsidRPr="000E50F1">
        <w:rPr>
          <w:rFonts w:ascii="Times" w:hAnsi="Times"/>
        </w:rPr>
        <w:t>who</w:t>
      </w:r>
      <w:r w:rsidRPr="000E50F1">
        <w:rPr>
          <w:rFonts w:ascii="Times" w:hAnsi="Times"/>
        </w:rPr>
        <w:t xml:space="preserve"> totalled more than 60 passengers—fled Vietnam on my grandfather’s fishing boat. In the 60s my grandfather was forced to work as a cook for the French government and so the family was blacklisted by the community and the Vietnamese government. The oppressive circumstances led my grandfather to uproot his family from their home and homeland in hope of a better future abroad during the mass exodus of the ‘Boat People Crisis’. On their ten-day journey to Hong Kong, my grandfather had picked up a group of people whose boat fell shipwrecked. Those arriving with my grandfather in Hong Kong were fortunate because they were admitted before a major cut-off date for incoming asylums at the end of summer. My family was placed in an open camp, which meant that they could obtain temporary residence status in Hong Kong; permitting them to work and live outside of the refugee camp. Given the sheer volume of Boat People arriving and claiming asylum in those days, many thereafter were ordered to detention centres and not granted these privileges. </w:t>
      </w:r>
    </w:p>
    <w:p w14:paraId="526BCB0C" w14:textId="77777777" w:rsidR="00AA3B10" w:rsidRPr="000E50F1" w:rsidRDefault="00AA3B10" w:rsidP="00AA3B10">
      <w:pPr>
        <w:rPr>
          <w:rFonts w:ascii="Times" w:hAnsi="Times"/>
        </w:rPr>
      </w:pPr>
    </w:p>
    <w:p w14:paraId="4A7D7911" w14:textId="77777777" w:rsidR="00877110" w:rsidRPr="000E50F1" w:rsidRDefault="00F46663" w:rsidP="00AA3B10">
      <w:pPr>
        <w:rPr>
          <w:rFonts w:ascii="Times" w:hAnsi="Times"/>
        </w:rPr>
      </w:pPr>
      <w:r w:rsidRPr="000E50F1">
        <w:rPr>
          <w:rFonts w:ascii="Times" w:hAnsi="Times"/>
        </w:rPr>
        <w:t xml:space="preserve">When I was four years old my parents, siblings, and I were sponsored by a church in Canada and we arrived on a cold day in Regina, Saskatchewan in March 1988. Life in Regina was isolating without family or friends. Many aspects of our new life in Canada was foreign to us including the idea of sleeping in separate rooms and on separate beds. On our first night’s stay, my dad took the mattresses from our rooms and placed them together on the living room floor so we could all sleep together as we did in Hong Kong. Our time in Regina was short. My father </w:t>
      </w:r>
      <w:r w:rsidRPr="000E50F1">
        <w:rPr>
          <w:rFonts w:ascii="Times" w:hAnsi="Times"/>
        </w:rPr>
        <w:lastRenderedPageBreak/>
        <w:t>somehow connected with a young man—one of the passengers on my grandfather’s boat—who was currently living in Hamilton, Ontario with the help of the Mountain Fund to Help the Boat People (known as the ‘Mountain Fund’ for short). After three months of initial resettlement in Regina, our family took a bus to Hamilton where the Mountain Fund had arranged an apartment for us upon arrival. More on the Mountain Fund can be found in my Master’s thesis</w:t>
      </w:r>
      <w:r w:rsidR="00877110" w:rsidRPr="000E50F1">
        <w:rPr>
          <w:rFonts w:ascii="Times" w:hAnsi="Times"/>
        </w:rPr>
        <w:t xml:space="preserve"> (Dam 2009)</w:t>
      </w:r>
      <w:r w:rsidRPr="000E50F1">
        <w:rPr>
          <w:rFonts w:ascii="Times" w:hAnsi="Times"/>
        </w:rPr>
        <w:t>.</w:t>
      </w:r>
    </w:p>
    <w:p w14:paraId="5BF98DCB" w14:textId="15467183" w:rsidR="00AA3B10" w:rsidRPr="000E50F1" w:rsidRDefault="00F46663" w:rsidP="00AA3B10">
      <w:pPr>
        <w:rPr>
          <w:rFonts w:ascii="Times" w:hAnsi="Times"/>
        </w:rPr>
      </w:pPr>
      <w:r w:rsidRPr="000E50F1">
        <w:rPr>
          <w:rFonts w:ascii="Times" w:hAnsi="Times"/>
        </w:rPr>
        <w:t xml:space="preserve"> </w:t>
      </w:r>
    </w:p>
    <w:p w14:paraId="25615FB3" w14:textId="6FF45D0C" w:rsidR="00F46663" w:rsidRPr="000E50F1" w:rsidRDefault="00F46663" w:rsidP="00AA3B10">
      <w:pPr>
        <w:rPr>
          <w:rFonts w:ascii="Times" w:hAnsi="Times"/>
        </w:rPr>
      </w:pPr>
      <w:r w:rsidRPr="000E50F1">
        <w:rPr>
          <w:rFonts w:ascii="Times" w:hAnsi="Times"/>
        </w:rPr>
        <w:t xml:space="preserve">In 1989, my grandfather passed away in Hong Kong of stomach cancer. At the time of his death, my grandfather was a stateless man. In faith, my dad booked a flight to Hong Kong to see his father before he passed. The morning of his flight, he followed the mailman the around neighbourhood before receiving his travel documents and rushing off to the airport. On his trip back to Canada, my dad brought back his father’s ashes. </w:t>
      </w:r>
      <w:r w:rsidR="00877110" w:rsidRPr="000E50F1">
        <w:rPr>
          <w:rFonts w:ascii="Times" w:hAnsi="Times"/>
        </w:rPr>
        <w:t>To my knowledge</w:t>
      </w:r>
      <w:r w:rsidRPr="000E50F1">
        <w:rPr>
          <w:rFonts w:ascii="Times" w:hAnsi="Times"/>
        </w:rPr>
        <w:t>, my grandfather was the second Vietnamese Boat People refugee to be buried in Hamilton, Ontario. For my Dad, Canada was</w:t>
      </w:r>
      <w:r w:rsidR="00877110" w:rsidRPr="000E50F1">
        <w:rPr>
          <w:rFonts w:ascii="Times" w:hAnsi="Times"/>
        </w:rPr>
        <w:t xml:space="preserve"> now</w:t>
      </w:r>
      <w:r w:rsidRPr="000E50F1">
        <w:rPr>
          <w:rFonts w:ascii="Times" w:hAnsi="Times"/>
        </w:rPr>
        <w:t xml:space="preserve"> home, and so his father should lay to rest where his children and grandchildren would reside. </w:t>
      </w:r>
    </w:p>
    <w:p w14:paraId="0FD11342" w14:textId="77777777" w:rsidR="00AA3B10" w:rsidRPr="000E50F1" w:rsidRDefault="00AA3B10" w:rsidP="00AA3B10">
      <w:pPr>
        <w:rPr>
          <w:rFonts w:ascii="Times" w:hAnsi="Times"/>
        </w:rPr>
      </w:pPr>
    </w:p>
    <w:p w14:paraId="23A12CB9" w14:textId="57783723" w:rsidR="00F46663" w:rsidRPr="000E50F1" w:rsidRDefault="00F46663" w:rsidP="00AA3B10">
      <w:pPr>
        <w:rPr>
          <w:rFonts w:ascii="Times" w:hAnsi="Times"/>
        </w:rPr>
      </w:pPr>
      <w:r w:rsidRPr="000E50F1">
        <w:rPr>
          <w:rFonts w:ascii="Times" w:hAnsi="Times"/>
        </w:rPr>
        <w:t xml:space="preserve">By 1990, many of my extended family had immigrated to Canada and were living in Hamilton with the exception of my grandmother, my cousin Tung, and my mother’s younger brother—a mismatch family unit consisting of an elderly widow, a 14-year old teenager, and a young adult in his late twenties—who were still awaiting approval to come to Canada. In 1990, John Smith, chair of the Mountain Fund reached out to the CBC for help. Our family’s story was among others experiencing long delays in family sponsorship and reunification. Foreign correspondent, Hilary Brown, was sent on assignment to conduct a story on those “forgotten” in the refugee camps of Kong Hong. I was six years old the night the story aired. We were told that our family had been featured in the </w:t>
      </w:r>
      <w:r w:rsidR="00877110" w:rsidRPr="000E50F1">
        <w:rPr>
          <w:rFonts w:ascii="Times" w:hAnsi="Times"/>
        </w:rPr>
        <w:t xml:space="preserve">mini docu-series </w:t>
      </w:r>
      <w:r w:rsidRPr="000E50F1">
        <w:rPr>
          <w:rFonts w:ascii="Times" w:hAnsi="Times"/>
        </w:rPr>
        <w:t xml:space="preserve">and so in anticipation we gathered together to watch. I can still recall the images of my grandmother and my cousin, our excitement, and the tears as we huddled around the television. Almost six-months to the day after the story aired, my grandmother, cousin, and uncle arrived at Toronto Pearson International Airport along with Hilary and a CBC cameraman, who was there to capture the moment. </w:t>
      </w:r>
    </w:p>
    <w:p w14:paraId="41BAC4FE" w14:textId="77777777" w:rsidR="00AA3B10" w:rsidRPr="000E50F1" w:rsidRDefault="00AA3B10" w:rsidP="00AA3B10">
      <w:pPr>
        <w:rPr>
          <w:rFonts w:ascii="Times" w:hAnsi="Times"/>
        </w:rPr>
      </w:pPr>
    </w:p>
    <w:p w14:paraId="793D6EC0" w14:textId="66F8E8A7" w:rsidR="00F46663" w:rsidRPr="000E50F1" w:rsidRDefault="00F46663" w:rsidP="00AA3B10">
      <w:pPr>
        <w:rPr>
          <w:rFonts w:ascii="Times" w:hAnsi="Times"/>
        </w:rPr>
      </w:pPr>
      <w:r w:rsidRPr="000E50F1">
        <w:rPr>
          <w:rFonts w:ascii="Times" w:hAnsi="Times"/>
        </w:rPr>
        <w:t xml:space="preserve">In 2006, during my fourth year of undergraduate studies at McMaster University, our family received a call from Tung’s mother in Vietnam to tell us that Tung had died by suicide. It was a call that shook our family, but it did not come as a surprise. Although he was never diagnosed or treated, we believed Tung was living was schizophrenia for many years. Tung’s death was never openly discussed in our family and without a funeral, we mourned his passing individually and privately. For me, it was something to be tucked away. During this time, I became interested in graduate studies, and particularly in the idea of ‘sense of place’ and identity so I reached out to Dr. John Eyles in the School of </w:t>
      </w:r>
      <w:r w:rsidRPr="000E50F1">
        <w:rPr>
          <w:rFonts w:ascii="Times" w:hAnsi="Times"/>
        </w:rPr>
        <w:lastRenderedPageBreak/>
        <w:t xml:space="preserve">Geography and Earth Science, whose critical work on ‘sense of place’ had been recognized in the field. Ultimately, my </w:t>
      </w:r>
      <w:r w:rsidR="00877110" w:rsidRPr="000E50F1">
        <w:rPr>
          <w:rFonts w:ascii="Times" w:hAnsi="Times"/>
        </w:rPr>
        <w:t xml:space="preserve">goal </w:t>
      </w:r>
      <w:r w:rsidRPr="000E50F1">
        <w:rPr>
          <w:rFonts w:ascii="Times" w:hAnsi="Times"/>
        </w:rPr>
        <w:t>was to search for meaning in ‘home’ and identity</w:t>
      </w:r>
      <w:r w:rsidR="00877110" w:rsidRPr="000E50F1">
        <w:rPr>
          <w:rFonts w:ascii="Times" w:hAnsi="Times"/>
        </w:rPr>
        <w:t xml:space="preserve">, and I </w:t>
      </w:r>
      <w:r w:rsidRPr="000E50F1">
        <w:rPr>
          <w:rFonts w:ascii="Times" w:hAnsi="Times"/>
        </w:rPr>
        <w:t>complete my Master’s thesis in 2009 on the experience of other former Vietnamese Boat People in Hamilton</w:t>
      </w:r>
      <w:r w:rsidR="00877110" w:rsidRPr="000E50F1">
        <w:rPr>
          <w:rFonts w:ascii="Times" w:hAnsi="Times"/>
        </w:rPr>
        <w:t>.</w:t>
      </w:r>
    </w:p>
    <w:p w14:paraId="43E0C483" w14:textId="77777777" w:rsidR="00AA3B10" w:rsidRPr="000E50F1" w:rsidRDefault="00AA3B10" w:rsidP="00AA3B10">
      <w:pPr>
        <w:rPr>
          <w:rFonts w:ascii="Times" w:hAnsi="Times"/>
        </w:rPr>
      </w:pPr>
    </w:p>
    <w:p w14:paraId="44CEA8C5" w14:textId="37389A44" w:rsidR="00F46663" w:rsidRPr="000E50F1" w:rsidRDefault="00F46663" w:rsidP="00AA3B10">
      <w:pPr>
        <w:rPr>
          <w:rFonts w:ascii="Times" w:hAnsi="Times"/>
        </w:rPr>
      </w:pPr>
      <w:r w:rsidRPr="000E50F1">
        <w:rPr>
          <w:rFonts w:ascii="Times" w:hAnsi="Times"/>
        </w:rPr>
        <w:t>My academic and community interest in immigration, settlement, and integration continued to grow over the years. Ultimately, the shift in Hamilton’s local settlement context in January 2011—when the federal government officially d</w:t>
      </w:r>
      <w:r w:rsidR="00877110" w:rsidRPr="000E50F1">
        <w:rPr>
          <w:rFonts w:ascii="Times" w:hAnsi="Times"/>
        </w:rPr>
        <w:t xml:space="preserve">issolved </w:t>
      </w:r>
      <w:r w:rsidRPr="000E50F1">
        <w:rPr>
          <w:rFonts w:ascii="Times" w:hAnsi="Times"/>
        </w:rPr>
        <w:t xml:space="preserve">Settlement and Integration Services Organization (SISO)—led me to reach out to Dr. Bruce Newbold who was the health domain lead for the Welcoming Community Initiate (now called Pathways to Prosperity). Discussions about the impact of SISO’s collapse and the void it would leave in the settlement sector led me to begin my doctoral program in the fall of 2011 with an interest in the role of the Local Immigration Partnership in Hamilton (which I was then a newly member of). Given my proximity to frontline service providers, and much observations in the community, issues of immigrant mental health began to emerge as a key issue on the ground, and its dearth in research were some of the reasons that led me to shift my academic focus. On a personal level, the draw to explore issues of immigrant mental health, and the stigma attached to it from a cultural perspective, solidified when I received a call in the spring of 2012 from a close family friend who had reached out to me for support and translation assistance at the hospital. He was admitted as a result of an over-dose in an attempt to die by suicide. In 2013, another incident </w:t>
      </w:r>
      <w:r w:rsidR="00877110" w:rsidRPr="000E50F1">
        <w:rPr>
          <w:rFonts w:ascii="Times" w:hAnsi="Times"/>
        </w:rPr>
        <w:t xml:space="preserve">closer to home </w:t>
      </w:r>
      <w:r w:rsidRPr="000E50F1">
        <w:rPr>
          <w:rFonts w:ascii="Times" w:hAnsi="Times"/>
        </w:rPr>
        <w:t>led me to encounter and navigate mental illness and care</w:t>
      </w:r>
      <w:r w:rsidR="00877110" w:rsidRPr="000E50F1">
        <w:rPr>
          <w:rFonts w:ascii="Times" w:hAnsi="Times"/>
        </w:rPr>
        <w:t xml:space="preserve"> in a new way</w:t>
      </w:r>
      <w:r w:rsidRPr="000E50F1">
        <w:rPr>
          <w:rFonts w:ascii="Times" w:hAnsi="Times"/>
        </w:rPr>
        <w:t>, negotiat</w:t>
      </w:r>
      <w:r w:rsidR="00877110" w:rsidRPr="000E50F1">
        <w:rPr>
          <w:rFonts w:ascii="Times" w:hAnsi="Times"/>
        </w:rPr>
        <w:t>ing family-based and</w:t>
      </w:r>
      <w:r w:rsidRPr="000E50F1">
        <w:rPr>
          <w:rFonts w:ascii="Times" w:hAnsi="Times"/>
        </w:rPr>
        <w:t xml:space="preserve"> cultural stigma with those closest to me. </w:t>
      </w:r>
    </w:p>
    <w:p w14:paraId="3F824A55" w14:textId="77777777" w:rsidR="00AA3B10" w:rsidRPr="000E50F1" w:rsidRDefault="00AA3B10" w:rsidP="00AA3B10">
      <w:pPr>
        <w:rPr>
          <w:rFonts w:ascii="Times" w:hAnsi="Times"/>
        </w:rPr>
      </w:pPr>
    </w:p>
    <w:p w14:paraId="472D727F" w14:textId="6CC9F20A" w:rsidR="00F46663" w:rsidRPr="000E50F1" w:rsidRDefault="00F46663" w:rsidP="00AA3B10">
      <w:pPr>
        <w:rPr>
          <w:rFonts w:ascii="Times" w:hAnsi="Times"/>
        </w:rPr>
      </w:pPr>
      <w:r w:rsidRPr="000E50F1">
        <w:rPr>
          <w:rFonts w:ascii="Times" w:hAnsi="Times"/>
        </w:rPr>
        <w:t xml:space="preserve">In 2014, I co-founded and co-chaired a local young professional group called Global Hamilton Connect (GHC). Under the leadership of my friend Dr. Sarah Wayland, who was working in Economic Development at the City of Hamilton, Sarah sought to bring together a group of young adults to address the gap in the community and help foster a network of support for those living and studying in Hamilton as international students. Many of our board members were then newly undergraduate alumni who were about to embark upon the process (and hardship) of immigration via the Express Entry. Although GHC’s group vision and mandates were centered around creating a welcoming community for international students, it was apparent that support, information, and resources on immigration </w:t>
      </w:r>
      <w:r w:rsidR="00877110" w:rsidRPr="000E50F1">
        <w:rPr>
          <w:rFonts w:ascii="Times" w:hAnsi="Times"/>
        </w:rPr>
        <w:t>were</w:t>
      </w:r>
      <w:r w:rsidRPr="000E50F1">
        <w:rPr>
          <w:rFonts w:ascii="Times" w:hAnsi="Times"/>
        </w:rPr>
        <w:t xml:space="preserve"> most urgent and needed. In hindsight, the group came together at a strategic time, which enabled me to stay current on topical areas of the changing rules of Express Entry and the fluctuating admission cut-off limiting and/or delaying many from obtaining permanent residence. In 2017, GHC aimed to move into a greater role of advocacy via research and given my academic training and position on the executive board, it was fitting for me to take on the voluntary role of project lead in conducting the research on barriers to immigration amongst international students in Canada. </w:t>
      </w:r>
    </w:p>
    <w:p w14:paraId="03E8198C" w14:textId="77777777" w:rsidR="00AA3B10" w:rsidRPr="000E50F1" w:rsidRDefault="00AA3B10" w:rsidP="00AA3B10">
      <w:pPr>
        <w:rPr>
          <w:rFonts w:ascii="Times" w:hAnsi="Times"/>
        </w:rPr>
      </w:pPr>
    </w:p>
    <w:p w14:paraId="358E3F50" w14:textId="1A5753A9" w:rsidR="00F46663" w:rsidRPr="000E50F1" w:rsidRDefault="00F46663" w:rsidP="00AA3B10">
      <w:pPr>
        <w:rPr>
          <w:rFonts w:ascii="Times" w:hAnsi="Times"/>
        </w:rPr>
      </w:pPr>
      <w:r w:rsidRPr="000E50F1">
        <w:rPr>
          <w:rFonts w:ascii="Times" w:hAnsi="Times"/>
        </w:rPr>
        <w:t xml:space="preserve">With some critical missing and misinformation, for almost 18 years, my family was unsuccessful at locating Hilary Brown and the 1990 CBC documentary, in which our family had been featured. On June 14, 2018, Hilary Brown, John Smith, John’s wife Judy, and I gathered at a local Vietnamese restaurant in Hamilton, Ontario for lunch. We spent a long time recounting the past, sharing stories, and reflecting on the experiences that had brought us together. The image below would capture this moment and my sentiments that day: </w:t>
      </w:r>
    </w:p>
    <w:p w14:paraId="23312EC6" w14:textId="77777777" w:rsidR="00877110" w:rsidRPr="000E50F1" w:rsidRDefault="00877110" w:rsidP="00AA3B10">
      <w:pPr>
        <w:rPr>
          <w:rFonts w:ascii="Times" w:hAnsi="Times"/>
        </w:rPr>
      </w:pPr>
    </w:p>
    <w:p w14:paraId="2A4E017E" w14:textId="4AC45095" w:rsidR="00332214" w:rsidRPr="000E50F1" w:rsidRDefault="007917C0" w:rsidP="0070492E">
      <w:pPr>
        <w:rPr>
          <w:rFonts w:ascii="Times" w:hAnsi="Times"/>
        </w:rPr>
      </w:pPr>
      <w:r w:rsidRPr="000E50F1">
        <w:rPr>
          <w:rFonts w:ascii="Arial Narrow" w:hAnsi="Arial Narrow"/>
          <w:noProof/>
          <w:sz w:val="21"/>
          <w:szCs w:val="20"/>
        </w:rPr>
        <mc:AlternateContent>
          <mc:Choice Requires="wps">
            <w:drawing>
              <wp:anchor distT="0" distB="0" distL="114300" distR="114300" simplePos="0" relativeHeight="251668480" behindDoc="0" locked="0" layoutInCell="1" allowOverlap="1" wp14:anchorId="2B184248" wp14:editId="3A949C00">
                <wp:simplePos x="0" y="0"/>
                <wp:positionH relativeFrom="column">
                  <wp:posOffset>2546985</wp:posOffset>
                </wp:positionH>
                <wp:positionV relativeFrom="paragraph">
                  <wp:posOffset>-33016</wp:posOffset>
                </wp:positionV>
                <wp:extent cx="2468319" cy="252984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68319" cy="2529844"/>
                        </a:xfrm>
                        <a:prstGeom prst="rect">
                          <a:avLst/>
                        </a:prstGeom>
                        <a:solidFill>
                          <a:schemeClr val="lt1"/>
                        </a:solidFill>
                        <a:ln w="6350">
                          <a:noFill/>
                        </a:ln>
                      </wps:spPr>
                      <wps:txbx>
                        <w:txbxContent>
                          <w:p w14:paraId="6A59713E" w14:textId="77777777" w:rsidR="00C71D9C" w:rsidRPr="007917C0" w:rsidRDefault="00C71D9C" w:rsidP="007917C0">
                            <w:pPr>
                              <w:rPr>
                                <w:rFonts w:ascii="Arial Narrow" w:hAnsi="Arial Narrow"/>
                                <w:szCs w:val="22"/>
                              </w:rPr>
                            </w:pPr>
                            <w:r w:rsidRPr="007917C0">
                              <w:rPr>
                                <w:rFonts w:ascii="Arial Narrow" w:hAnsi="Arial Narrow"/>
                                <w:b/>
                                <w:bCs/>
                                <w:sz w:val="21"/>
                                <w:szCs w:val="20"/>
                              </w:rPr>
                              <w:t>Left to right</w:t>
                            </w:r>
                            <w:r w:rsidRPr="007917C0">
                              <w:rPr>
                                <w:rFonts w:ascii="Arial Narrow" w:hAnsi="Arial Narrow"/>
                                <w:sz w:val="21"/>
                                <w:szCs w:val="20"/>
                              </w:rPr>
                              <w:t>: John Smith (former City of Hamilton Councillor), Hilary Brown, myself and Judy Smith. The Smith founded the ‘Mountain Fund to Help the Boat People’ in 1979 and sponsored hundreds and possibility up to 3,000 (but no one was counting) Vietnamese refugees for more than a decade. Hilary Brown, former CBC foreign correspondent did a documentary in 1990 that featured some of my family who were stuck in the refugee camp for almost a decade. The documentary is entitled, “Searching the Past.” Yesterday the Smith and I met Hilary for lunch in Hamilton. The last time we were together I was 6. These good folks embody kindness and courage. My heart is full and I am blessed.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84248" id="_x0000_t202" coordsize="21600,21600" o:spt="202" path="m,l,21600r21600,l21600,xe">
                <v:stroke joinstyle="miter"/>
                <v:path gradientshapeok="t" o:connecttype="rect"/>
              </v:shapetype>
              <v:shape id="Text Box 12" o:spid="_x0000_s1030" type="#_x0000_t202" style="position:absolute;margin-left:200.55pt;margin-top:-2.6pt;width:194.35pt;height:19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" fillcolor="white [3201]" stroked="f" strokeweight=".5pt">
                <v:textbox>
                  <w:txbxContent>
                    <w:p w14:paraId="6A59713E" w14:textId="77777777" w:rsidR="00C71D9C" w:rsidRPr="007917C0" w:rsidRDefault="00C71D9C" w:rsidP="007917C0">
                      <w:pPr>
                        <w:rPr>
                          <w:rFonts w:ascii="Arial Narrow" w:hAnsi="Arial Narrow"/>
                          <w:szCs w:val="22"/>
                        </w:rPr>
                      </w:pPr>
                      <w:r w:rsidRPr="007917C0">
                        <w:rPr>
                          <w:rFonts w:ascii="Arial Narrow" w:hAnsi="Arial Narrow"/>
                          <w:b/>
                          <w:bCs/>
                          <w:sz w:val="21"/>
                          <w:szCs w:val="20"/>
                        </w:rPr>
                        <w:t>Left to right</w:t>
                      </w:r>
                      <w:r w:rsidRPr="007917C0">
                        <w:rPr>
                          <w:rFonts w:ascii="Arial Narrow" w:hAnsi="Arial Narrow"/>
                          <w:sz w:val="21"/>
                          <w:szCs w:val="20"/>
                        </w:rPr>
                        <w:t>: John Smith (former City of Hamilton Councillor), Hilary Brown, myself and Judy Smith. The Smith founded the ‘Mountain Fund to Help the Boat People’ in 1979 and sponsored hundreds and possibility up to 3,000 (but no one was counting) Vietnamese refugees for more than a decade. Hilary Brown, former CBC foreign correspondent did a documentary in 1990 that featured some of my family who were stuck in the refugee camp for almost a decade. The documentary is entitled, “Searching the Past.” Yesterday the Smith and I met Hilary for lunch in Hamilton. The last time we were together I was 6. These good folks embody kindness and courage. My heart is full and I am blessed.</w:t>
                      </w:r>
                    </w:p>
                  </w:txbxContent>
                </v:textbox>
              </v:shape>
            </w:pict>
          </mc:Fallback>
        </mc:AlternateContent>
      </w:r>
      <w:r w:rsidR="00A9798C" w:rsidRPr="000E50F1">
        <w:rPr>
          <w:rFonts w:ascii="Times" w:hAnsi="Times"/>
          <w:noProof/>
        </w:rPr>
        <mc:AlternateContent>
          <mc:Choice Requires="wps">
            <w:drawing>
              <wp:anchor distT="0" distB="0" distL="114300" distR="114300" simplePos="0" relativeHeight="251666432" behindDoc="0" locked="0" layoutInCell="1" allowOverlap="1" wp14:anchorId="0FFE76C1" wp14:editId="5573480D">
                <wp:simplePos x="0" y="0"/>
                <wp:positionH relativeFrom="column">
                  <wp:posOffset>2635240</wp:posOffset>
                </wp:positionH>
                <wp:positionV relativeFrom="paragraph">
                  <wp:posOffset>41158</wp:posOffset>
                </wp:positionV>
                <wp:extent cx="709012" cy="137863"/>
                <wp:effectExtent l="0" t="0" r="2540" b="1905"/>
                <wp:wrapNone/>
                <wp:docPr id="10" name="Rectangle 10"/>
                <wp:cNvGraphicFramePr/>
                <a:graphic xmlns:a="http://schemas.openxmlformats.org/drawingml/2006/main">
                  <a:graphicData uri="http://schemas.microsoft.com/office/word/2010/wordprocessingShape">
                    <wps:wsp>
                      <wps:cNvSpPr/>
                      <wps:spPr>
                        <a:xfrm>
                          <a:off x="0" y="0"/>
                          <a:ext cx="709012" cy="1378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7F5EB" id="Rectangle 10" o:spid="_x0000_s1026" style="position:absolute;margin-left:207.5pt;margin-top:3.25pt;width:55.85pt;height:1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" fillcolor="white [3201]" stroked="f" strokeweight="1pt"/>
            </w:pict>
          </mc:Fallback>
        </mc:AlternateContent>
      </w:r>
      <w:r w:rsidR="00332214" w:rsidRPr="000E50F1">
        <w:rPr>
          <w:rFonts w:ascii="Times" w:hAnsi="Times"/>
          <w:noProof/>
        </w:rPr>
        <w:drawing>
          <wp:anchor distT="0" distB="0" distL="114300" distR="114300" simplePos="0" relativeHeight="251659264" behindDoc="0" locked="0" layoutInCell="1" allowOverlap="1" wp14:anchorId="45EF6A3A" wp14:editId="539478DB">
            <wp:simplePos x="0" y="0"/>
            <wp:positionH relativeFrom="column">
              <wp:posOffset>4980</wp:posOffset>
            </wp:positionH>
            <wp:positionV relativeFrom="paragraph">
              <wp:posOffset>763</wp:posOffset>
            </wp:positionV>
            <wp:extent cx="2513965" cy="2496185"/>
            <wp:effectExtent l="0" t="0" r="63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27 at 3.50.23 PM.png"/>
                    <pic:cNvPicPr/>
                  </pic:nvPicPr>
                  <pic:blipFill>
                    <a:blip r:embed="rId54">
                      <a:extLst>
                        <a:ext uri="{28A0092B-C50C-407E-A947-70E740481C1C}">
                          <a14:useLocalDpi xmlns:a14="http://schemas.microsoft.com/office/drawing/2010/main" val="0"/>
                        </a:ext>
                      </a:extLst>
                    </a:blip>
                    <a:stretch>
                      <a:fillRect/>
                    </a:stretch>
                  </pic:blipFill>
                  <pic:spPr>
                    <a:xfrm>
                      <a:off x="0" y="0"/>
                      <a:ext cx="2513965" cy="2496185"/>
                    </a:xfrm>
                    <a:prstGeom prst="rect">
                      <a:avLst/>
                    </a:prstGeom>
                  </pic:spPr>
                </pic:pic>
              </a:graphicData>
            </a:graphic>
            <wp14:sizeRelH relativeFrom="page">
              <wp14:pctWidth>0</wp14:pctWidth>
            </wp14:sizeRelH>
            <wp14:sizeRelV relativeFrom="page">
              <wp14:pctHeight>0</wp14:pctHeight>
            </wp14:sizeRelV>
          </wp:anchor>
        </w:drawing>
      </w:r>
    </w:p>
    <w:p w14:paraId="3571BE53" w14:textId="13F67F40" w:rsidR="007917C0" w:rsidRPr="000E50F1" w:rsidRDefault="007917C0" w:rsidP="0070492E">
      <w:pPr>
        <w:rPr>
          <w:rFonts w:ascii="Times" w:hAnsi="Times"/>
        </w:rPr>
      </w:pPr>
    </w:p>
    <w:p w14:paraId="2D1FBD5A" w14:textId="753647D6" w:rsidR="00F46663" w:rsidRPr="000E50F1" w:rsidRDefault="00F46663" w:rsidP="0070492E">
      <w:pPr>
        <w:rPr>
          <w:rFonts w:ascii="Times" w:hAnsi="Times"/>
        </w:rPr>
      </w:pPr>
    </w:p>
    <w:p w14:paraId="36FD1537" w14:textId="6B85385C" w:rsidR="00F46663" w:rsidRPr="000E50F1" w:rsidRDefault="00F46663" w:rsidP="0070492E">
      <w:pPr>
        <w:rPr>
          <w:rFonts w:ascii="Times" w:hAnsi="Times"/>
        </w:rPr>
      </w:pPr>
    </w:p>
    <w:p w14:paraId="7CEB6395" w14:textId="6D58433D" w:rsidR="00332214" w:rsidRPr="000E50F1" w:rsidRDefault="00332214" w:rsidP="0070492E">
      <w:pPr>
        <w:rPr>
          <w:rFonts w:ascii="Times" w:hAnsi="Times"/>
        </w:rPr>
      </w:pPr>
    </w:p>
    <w:p w14:paraId="6E185B97" w14:textId="377EA75E" w:rsidR="00332214" w:rsidRPr="000E50F1" w:rsidRDefault="00332214" w:rsidP="0070492E">
      <w:pPr>
        <w:rPr>
          <w:rFonts w:ascii="Times" w:hAnsi="Times"/>
        </w:rPr>
      </w:pPr>
    </w:p>
    <w:p w14:paraId="10E79033" w14:textId="1E93C035" w:rsidR="00332214" w:rsidRPr="000E50F1" w:rsidRDefault="00332214" w:rsidP="0070492E">
      <w:pPr>
        <w:rPr>
          <w:rFonts w:ascii="Times" w:hAnsi="Times"/>
        </w:rPr>
      </w:pPr>
    </w:p>
    <w:p w14:paraId="25417644" w14:textId="5B62CD58" w:rsidR="00332214" w:rsidRPr="000E50F1" w:rsidRDefault="00332214" w:rsidP="0070492E">
      <w:pPr>
        <w:rPr>
          <w:rFonts w:ascii="Times" w:hAnsi="Times"/>
        </w:rPr>
      </w:pPr>
    </w:p>
    <w:p w14:paraId="786C7D1C" w14:textId="75089AB2" w:rsidR="00332214" w:rsidRPr="000E50F1" w:rsidRDefault="00332214" w:rsidP="0070492E">
      <w:pPr>
        <w:rPr>
          <w:rFonts w:ascii="Times" w:hAnsi="Times"/>
        </w:rPr>
      </w:pPr>
    </w:p>
    <w:p w14:paraId="6623A4DC" w14:textId="0078720E" w:rsidR="00332214" w:rsidRPr="000E50F1" w:rsidRDefault="00332214" w:rsidP="0070492E">
      <w:pPr>
        <w:rPr>
          <w:rFonts w:ascii="Times" w:hAnsi="Times"/>
        </w:rPr>
      </w:pPr>
    </w:p>
    <w:p w14:paraId="27BC264E" w14:textId="7816400C" w:rsidR="00332214" w:rsidRPr="000E50F1" w:rsidRDefault="00332214" w:rsidP="0070492E">
      <w:pPr>
        <w:rPr>
          <w:rFonts w:ascii="Times" w:hAnsi="Times"/>
        </w:rPr>
      </w:pPr>
    </w:p>
    <w:p w14:paraId="08A3FD2B" w14:textId="16340C9A" w:rsidR="00332214" w:rsidRPr="000E50F1" w:rsidRDefault="00332214" w:rsidP="0070492E">
      <w:pPr>
        <w:rPr>
          <w:rFonts w:ascii="Times" w:hAnsi="Times"/>
        </w:rPr>
      </w:pPr>
    </w:p>
    <w:p w14:paraId="65D42957" w14:textId="1742CDB1" w:rsidR="00332214" w:rsidRPr="000E50F1" w:rsidRDefault="00332214" w:rsidP="0070492E">
      <w:pPr>
        <w:rPr>
          <w:rFonts w:ascii="Times" w:hAnsi="Times"/>
        </w:rPr>
      </w:pPr>
    </w:p>
    <w:p w14:paraId="78D9C608" w14:textId="558F0CBA" w:rsidR="00332214" w:rsidRPr="000E50F1" w:rsidRDefault="00332214" w:rsidP="0070492E">
      <w:pPr>
        <w:rPr>
          <w:rFonts w:ascii="Times" w:hAnsi="Times"/>
        </w:rPr>
      </w:pPr>
    </w:p>
    <w:p w14:paraId="6BE82418" w14:textId="77777777" w:rsidR="00332214" w:rsidRPr="000E50F1" w:rsidRDefault="00332214" w:rsidP="0070492E">
      <w:pPr>
        <w:rPr>
          <w:rFonts w:ascii="Times" w:hAnsi="Times"/>
        </w:rPr>
      </w:pPr>
    </w:p>
    <w:p w14:paraId="6BC4DDBF" w14:textId="47B63E9C" w:rsidR="00EB5D00" w:rsidRPr="000E50F1" w:rsidRDefault="0049719E" w:rsidP="0049719E">
      <w:pPr>
        <w:pStyle w:val="Caption"/>
        <w:rPr>
          <w:rFonts w:ascii="Times" w:hAnsi="Times"/>
          <w:sz w:val="24"/>
          <w:szCs w:val="24"/>
        </w:rPr>
      </w:pPr>
      <w:bookmarkStart w:id="35" w:name="_Toc54020237"/>
      <w:r w:rsidRPr="000E50F1">
        <w:rPr>
          <w:i/>
          <w:iCs w:val="0"/>
        </w:rPr>
        <w:t xml:space="preserve">Figure </w:t>
      </w:r>
      <w:r w:rsidRPr="000E50F1">
        <w:rPr>
          <w:i/>
          <w:iCs w:val="0"/>
        </w:rPr>
        <w:fldChar w:fldCharType="begin"/>
      </w:r>
      <w:r w:rsidRPr="000E50F1">
        <w:rPr>
          <w:i/>
          <w:iCs w:val="0"/>
        </w:rPr>
        <w:instrText xml:space="preserve"> SEQ Figure \* ARABIC </w:instrText>
      </w:r>
      <w:r w:rsidRPr="000E50F1">
        <w:rPr>
          <w:i/>
          <w:iCs w:val="0"/>
        </w:rPr>
        <w:fldChar w:fldCharType="separate"/>
      </w:r>
      <w:r w:rsidR="005D60E2" w:rsidRPr="000E50F1">
        <w:rPr>
          <w:i/>
          <w:iCs w:val="0"/>
          <w:noProof/>
        </w:rPr>
        <w:t>7</w:t>
      </w:r>
      <w:r w:rsidRPr="000E50F1">
        <w:rPr>
          <w:i/>
          <w:iCs w:val="0"/>
        </w:rPr>
        <w:fldChar w:fldCharType="end"/>
      </w:r>
      <w:r w:rsidR="00FF6ABC" w:rsidRPr="000E50F1">
        <w:rPr>
          <w:rFonts w:ascii="Times" w:hAnsi="Times"/>
          <w:i/>
          <w:iCs w:val="0"/>
          <w:sz w:val="24"/>
          <w:szCs w:val="24"/>
        </w:rPr>
        <w:t>.</w:t>
      </w:r>
      <w:r w:rsidR="00FF6ABC" w:rsidRPr="000E50F1">
        <w:rPr>
          <w:rFonts w:ascii="Times" w:hAnsi="Times"/>
          <w:sz w:val="24"/>
          <w:szCs w:val="24"/>
        </w:rPr>
        <w:t xml:space="preserve"> </w:t>
      </w:r>
      <w:r w:rsidR="00EB5D00" w:rsidRPr="000E50F1">
        <w:rPr>
          <w:rFonts w:ascii="Times" w:hAnsi="Times"/>
          <w:sz w:val="24"/>
          <w:szCs w:val="24"/>
        </w:rPr>
        <w:t xml:space="preserve">Social </w:t>
      </w:r>
      <w:r w:rsidRPr="000E50F1">
        <w:rPr>
          <w:rFonts w:ascii="Times" w:hAnsi="Times"/>
          <w:sz w:val="24"/>
          <w:szCs w:val="24"/>
        </w:rPr>
        <w:t>m</w:t>
      </w:r>
      <w:r w:rsidR="00EB5D00" w:rsidRPr="000E50F1">
        <w:rPr>
          <w:rFonts w:ascii="Times" w:hAnsi="Times"/>
          <w:sz w:val="24"/>
          <w:szCs w:val="24"/>
        </w:rPr>
        <w:t xml:space="preserve">edia </w:t>
      </w:r>
      <w:r w:rsidRPr="000E50F1">
        <w:rPr>
          <w:rFonts w:ascii="Times" w:hAnsi="Times"/>
          <w:sz w:val="24"/>
          <w:szCs w:val="24"/>
        </w:rPr>
        <w:t>p</w:t>
      </w:r>
      <w:r w:rsidR="00EB5D00" w:rsidRPr="000E50F1">
        <w:rPr>
          <w:rFonts w:ascii="Times" w:hAnsi="Times"/>
          <w:sz w:val="24"/>
          <w:szCs w:val="24"/>
        </w:rPr>
        <w:t xml:space="preserve">ost </w:t>
      </w:r>
      <w:r w:rsidR="001069FA" w:rsidRPr="000E50F1">
        <w:rPr>
          <w:rFonts w:ascii="Times" w:hAnsi="Times"/>
          <w:sz w:val="24"/>
          <w:szCs w:val="24"/>
        </w:rPr>
        <w:t xml:space="preserve">on </w:t>
      </w:r>
      <w:r w:rsidR="00EB5D00" w:rsidRPr="000E50F1">
        <w:rPr>
          <w:rFonts w:ascii="Times" w:hAnsi="Times"/>
          <w:sz w:val="24"/>
          <w:szCs w:val="24"/>
        </w:rPr>
        <w:t>June 14, 2018</w:t>
      </w:r>
      <w:bookmarkEnd w:id="35"/>
    </w:p>
    <w:p w14:paraId="38A5FC2A" w14:textId="77777777" w:rsidR="001F0F7D" w:rsidRPr="000E50F1" w:rsidRDefault="001F0F7D" w:rsidP="0070492E">
      <w:pPr>
        <w:rPr>
          <w:rFonts w:ascii="Times" w:hAnsi="Times"/>
        </w:rPr>
      </w:pPr>
    </w:p>
    <w:p w14:paraId="444DB843" w14:textId="0FA5C1E7" w:rsidR="00F46663" w:rsidRPr="000E50F1" w:rsidRDefault="00F46663" w:rsidP="0070492E">
      <w:pPr>
        <w:rPr>
          <w:rFonts w:ascii="Times" w:hAnsi="Times"/>
        </w:rPr>
      </w:pPr>
      <w:r w:rsidRPr="000E50F1">
        <w:rPr>
          <w:rFonts w:ascii="Times" w:hAnsi="Times"/>
        </w:rPr>
        <w:t>The gift from Hilary, a copy of “Searching the Past”, would later help to deepen my understanding of the political, economic, and social circumstances of the ‘Boat People Crisis’ and its connection to my life journey</w:t>
      </w:r>
      <w:r w:rsidR="00877110" w:rsidRPr="000E50F1">
        <w:rPr>
          <w:rFonts w:ascii="Times" w:hAnsi="Times"/>
        </w:rPr>
        <w:t xml:space="preserve">, my </w:t>
      </w:r>
      <w:r w:rsidRPr="000E50F1">
        <w:rPr>
          <w:rFonts w:ascii="Times" w:hAnsi="Times"/>
        </w:rPr>
        <w:t xml:space="preserve">academic </w:t>
      </w:r>
      <w:r w:rsidR="00877110" w:rsidRPr="000E50F1">
        <w:rPr>
          <w:rFonts w:ascii="Times" w:hAnsi="Times"/>
        </w:rPr>
        <w:t>research, and its social transformation in Hamilton, Ontario</w:t>
      </w:r>
      <w:r w:rsidRPr="000E50F1">
        <w:rPr>
          <w:rFonts w:ascii="Times" w:hAnsi="Times"/>
        </w:rPr>
        <w:t xml:space="preserve">. This glimpse into the past has allowed me to re-enter this space, connect to it, and interpret it. As Massey (1994: 3) would say, </w:t>
      </w:r>
    </w:p>
    <w:p w14:paraId="74A2B98E" w14:textId="77777777" w:rsidR="00F46663" w:rsidRPr="000E50F1" w:rsidRDefault="00F46663" w:rsidP="0070492E">
      <w:pPr>
        <w:rPr>
          <w:rFonts w:ascii="Times" w:hAnsi="Times"/>
        </w:rPr>
      </w:pPr>
    </w:p>
    <w:p w14:paraId="21B566E9" w14:textId="77777777" w:rsidR="00F46663" w:rsidRPr="000E50F1" w:rsidRDefault="00F46663" w:rsidP="001F0F7D">
      <w:pPr>
        <w:ind w:left="567" w:right="571"/>
        <w:jc w:val="both"/>
        <w:rPr>
          <w:rFonts w:ascii="Times" w:hAnsi="Times"/>
        </w:rPr>
      </w:pPr>
      <w:r w:rsidRPr="000E50F1">
        <w:rPr>
          <w:rFonts w:ascii="Times" w:hAnsi="Times"/>
        </w:rPr>
        <w:t xml:space="preserve">“The social relations of spaces are experienced differently, and variously interpreted, by those holding different positions of it […] For there too the observer is inevitably within the world (or space) being observed […] and the fact of the observer’s constitution of it means that there is necessarily a multiplicity of different spaces, or takes on space.”  </w:t>
      </w:r>
    </w:p>
    <w:p w14:paraId="4739C8E5" w14:textId="77777777" w:rsidR="00F46663" w:rsidRPr="000E50F1" w:rsidRDefault="00F46663" w:rsidP="0070492E">
      <w:pPr>
        <w:ind w:left="567" w:right="571"/>
        <w:rPr>
          <w:rFonts w:ascii="Times" w:hAnsi="Times"/>
        </w:rPr>
      </w:pPr>
    </w:p>
    <w:p w14:paraId="1E25D449" w14:textId="23333841" w:rsidR="00AA3B10" w:rsidRPr="000E50F1" w:rsidRDefault="00F46663">
      <w:pPr>
        <w:rPr>
          <w:rFonts w:ascii="Times" w:hAnsi="Times"/>
        </w:rPr>
      </w:pPr>
      <w:r w:rsidRPr="000E50F1">
        <w:rPr>
          <w:rFonts w:ascii="Times" w:hAnsi="Times"/>
        </w:rPr>
        <w:t xml:space="preserve">Now holding a different position, with the hat and lens of an observer and researcher, I add new meaning to personal past experiences and see history reflected in the continuum of immigration, settlement, and integration in </w:t>
      </w:r>
      <w:r w:rsidR="00877110" w:rsidRPr="000E50F1">
        <w:rPr>
          <w:rFonts w:ascii="Times" w:hAnsi="Times"/>
        </w:rPr>
        <w:t>Hamilton, Ontario</w:t>
      </w:r>
      <w:r w:rsidRPr="000E50F1">
        <w:rPr>
          <w:rFonts w:ascii="Times" w:hAnsi="Times"/>
        </w:rPr>
        <w:t xml:space="preserve">.  </w:t>
      </w:r>
    </w:p>
    <w:p w14:paraId="0495FBAD" w14:textId="57DAE1D7" w:rsidR="00310F91" w:rsidRPr="000E50F1" w:rsidRDefault="00310F91" w:rsidP="00310F91">
      <w:pPr>
        <w:pStyle w:val="Heading1"/>
        <w:spacing w:before="0" w:line="240" w:lineRule="auto"/>
        <w:jc w:val="center"/>
        <w:rPr>
          <w:rFonts w:ascii="Times" w:eastAsia="Calibri" w:hAnsi="Times"/>
          <w:b w:val="0"/>
          <w:bCs/>
          <w:color w:val="auto"/>
          <w:sz w:val="24"/>
          <w:szCs w:val="24"/>
        </w:rPr>
      </w:pPr>
      <w:bookmarkStart w:id="36" w:name="_Toc60231903"/>
      <w:r w:rsidRPr="000E50F1">
        <w:rPr>
          <w:rFonts w:ascii="Times" w:eastAsia="Calibri" w:hAnsi="Times"/>
          <w:color w:val="auto"/>
          <w:sz w:val="24"/>
          <w:szCs w:val="24"/>
        </w:rPr>
        <w:lastRenderedPageBreak/>
        <w:t>APPENDIX B: METHODS &amp; REFLEXIVITY</w:t>
      </w:r>
      <w:bookmarkEnd w:id="36"/>
      <w:r w:rsidRPr="000E50F1">
        <w:rPr>
          <w:rFonts w:ascii="Times" w:eastAsia="Calibri" w:hAnsi="Times"/>
          <w:color w:val="auto"/>
          <w:sz w:val="24"/>
          <w:szCs w:val="24"/>
        </w:rPr>
        <w:t xml:space="preserve"> </w:t>
      </w:r>
    </w:p>
    <w:p w14:paraId="5CEEEC4D" w14:textId="6824193E" w:rsidR="00310F91" w:rsidRPr="000E50F1" w:rsidRDefault="00310F91">
      <w:pPr>
        <w:rPr>
          <w:rFonts w:ascii="Times" w:eastAsia="Calibri" w:hAnsi="Times"/>
          <w:b/>
          <w:lang w:val="en-US"/>
        </w:rPr>
      </w:pPr>
    </w:p>
    <w:p w14:paraId="56CFA259" w14:textId="242A037B" w:rsidR="00A36808" w:rsidRPr="000E50F1" w:rsidRDefault="00A36808" w:rsidP="00A36808">
      <w:pPr>
        <w:jc w:val="center"/>
        <w:rPr>
          <w:rFonts w:ascii="Times" w:eastAsia="Calibri" w:hAnsi="Times"/>
          <w:bCs/>
          <w:lang w:val="en-US"/>
        </w:rPr>
      </w:pPr>
      <w:r w:rsidRPr="000E50F1">
        <w:rPr>
          <w:rFonts w:ascii="Times" w:eastAsia="Calibri" w:hAnsi="Times"/>
          <w:bCs/>
          <w:lang w:val="en-US"/>
        </w:rPr>
        <w:t>“Reflecting on, fleshing out, interrogating, and conveying your positionality relative to a research orientation is critical to ensuring the validity of your research stance. After all, no one can be 100% objective. The researcher’s beliefs, values systems, and moral stances are as fundamentally present and inseparable from the research process</w:t>
      </w:r>
      <w:r w:rsidR="00543331" w:rsidRPr="000E50F1">
        <w:rPr>
          <w:rFonts w:ascii="Times" w:eastAsia="Calibri" w:hAnsi="Times"/>
          <w:bCs/>
          <w:lang w:val="en-US"/>
        </w:rPr>
        <w:t>…</w:t>
      </w:r>
      <w:r w:rsidRPr="000E50F1">
        <w:rPr>
          <w:rFonts w:ascii="Times" w:eastAsia="Calibri" w:hAnsi="Times"/>
          <w:bCs/>
          <w:lang w:val="en-US"/>
        </w:rPr>
        <w:t>it is our ethical duty to intentionally and mindfully attend to our role(s) in the contextual power interplay of the research process.”</w:t>
      </w:r>
      <w:r w:rsidR="00543331" w:rsidRPr="000E50F1">
        <w:rPr>
          <w:rStyle w:val="FootnoteReference"/>
          <w:rFonts w:ascii="Times" w:eastAsia="Calibri" w:hAnsi="Times"/>
          <w:bCs/>
          <w:lang w:val="en-US"/>
        </w:rPr>
        <w:footnoteReference w:id="8"/>
      </w:r>
    </w:p>
    <w:p w14:paraId="65700C2E" w14:textId="7DE5E0DB" w:rsidR="00A36808" w:rsidRPr="000E50F1" w:rsidRDefault="00A36808" w:rsidP="00A36808">
      <w:pPr>
        <w:jc w:val="center"/>
        <w:rPr>
          <w:rFonts w:ascii="Times" w:eastAsia="Calibri" w:hAnsi="Times"/>
          <w:bCs/>
          <w:lang w:val="en-US"/>
        </w:rPr>
      </w:pPr>
    </w:p>
    <w:p w14:paraId="787B0E88" w14:textId="7551BA7F" w:rsidR="00D72FC3" w:rsidRPr="000E50F1" w:rsidRDefault="00D72FC3" w:rsidP="00D72FC3">
      <w:pPr>
        <w:textAlignment w:val="baseline"/>
        <w:rPr>
          <w:rFonts w:ascii="inherit" w:hAnsi="inherit"/>
          <w:sz w:val="27"/>
          <w:szCs w:val="27"/>
        </w:rPr>
      </w:pPr>
      <w:r w:rsidRPr="000E50F1">
        <w:rPr>
          <w:rFonts w:ascii="Times" w:eastAsia="Calibri" w:hAnsi="Times"/>
          <w:bCs/>
          <w:lang w:val="en-US"/>
        </w:rPr>
        <w:t xml:space="preserve">The purpose of this section is to reflect and interrogate my positionality in the research. As suggested by the Weingarten Learning Resources Centre (2017) this allows the researcher to address how </w:t>
      </w:r>
      <w:r w:rsidR="00D87AD8" w:rsidRPr="000E50F1">
        <w:rPr>
          <w:rFonts w:ascii="Times" w:eastAsia="Calibri" w:hAnsi="Times"/>
          <w:bCs/>
          <w:lang w:val="en-US"/>
        </w:rPr>
        <w:t>one’s</w:t>
      </w:r>
      <w:r w:rsidRPr="000E50F1">
        <w:rPr>
          <w:rFonts w:ascii="Times" w:eastAsia="Calibri" w:hAnsi="Times"/>
          <w:bCs/>
          <w:lang w:val="en-US"/>
        </w:rPr>
        <w:t xml:space="preserve"> personal, professional and/or intellectual positionalities (i.e., identities, contexts, experiences, and perspectives) </w:t>
      </w:r>
      <w:r w:rsidR="00E6304E">
        <w:rPr>
          <w:rFonts w:ascii="Times" w:eastAsia="Calibri" w:hAnsi="Times"/>
          <w:bCs/>
          <w:lang w:val="en-US"/>
        </w:rPr>
        <w:t xml:space="preserve">that </w:t>
      </w:r>
      <w:r w:rsidRPr="000E50F1">
        <w:rPr>
          <w:rFonts w:ascii="Times" w:eastAsia="Calibri" w:hAnsi="Times"/>
          <w:bCs/>
          <w:lang w:val="en-US"/>
        </w:rPr>
        <w:t>corresponded with</w:t>
      </w:r>
      <w:r w:rsidR="00A247B7" w:rsidRPr="000E50F1">
        <w:rPr>
          <w:rFonts w:ascii="Times" w:eastAsia="Calibri" w:hAnsi="Times"/>
          <w:bCs/>
          <w:lang w:val="en-US"/>
        </w:rPr>
        <w:t>,</w:t>
      </w:r>
      <w:r w:rsidRPr="000E50F1">
        <w:rPr>
          <w:rFonts w:ascii="Times" w:eastAsia="Calibri" w:hAnsi="Times"/>
          <w:bCs/>
          <w:lang w:val="en-US"/>
        </w:rPr>
        <w:t xml:space="preserve"> or diverged from</w:t>
      </w:r>
      <w:r w:rsidR="00A247B7" w:rsidRPr="000E50F1">
        <w:rPr>
          <w:rFonts w:ascii="Times" w:eastAsia="Calibri" w:hAnsi="Times"/>
          <w:bCs/>
          <w:lang w:val="en-US"/>
        </w:rPr>
        <w:t>,</w:t>
      </w:r>
      <w:r w:rsidRPr="000E50F1">
        <w:rPr>
          <w:rFonts w:ascii="Times" w:eastAsia="Calibri" w:hAnsi="Times"/>
          <w:bCs/>
          <w:lang w:val="en-US"/>
        </w:rPr>
        <w:t xml:space="preserve"> the research inquiries</w:t>
      </w:r>
      <w:r w:rsidR="00D87AD8" w:rsidRPr="000E50F1">
        <w:rPr>
          <w:rFonts w:ascii="Times" w:eastAsia="Calibri" w:hAnsi="Times"/>
          <w:bCs/>
          <w:lang w:val="en-US"/>
        </w:rPr>
        <w:t xml:space="preserve">. Additionally, it traces </w:t>
      </w:r>
      <w:r w:rsidRPr="000E50F1">
        <w:rPr>
          <w:rFonts w:ascii="Times" w:eastAsia="Calibri" w:hAnsi="Times"/>
          <w:bCs/>
          <w:lang w:val="en-US"/>
        </w:rPr>
        <w:t xml:space="preserve">how one’s positionality </w:t>
      </w:r>
      <w:r w:rsidR="00D87AD8" w:rsidRPr="000E50F1">
        <w:rPr>
          <w:rFonts w:ascii="Times" w:eastAsia="Calibri" w:hAnsi="Times"/>
          <w:bCs/>
          <w:lang w:val="en-US"/>
        </w:rPr>
        <w:t xml:space="preserve">is </w:t>
      </w:r>
      <w:r w:rsidRPr="000E50F1">
        <w:rPr>
          <w:rFonts w:ascii="Times" w:eastAsia="Calibri" w:hAnsi="Times"/>
          <w:bCs/>
          <w:lang w:val="en-US"/>
        </w:rPr>
        <w:t>recognized</w:t>
      </w:r>
      <w:r w:rsidR="00D87AD8" w:rsidRPr="000E50F1">
        <w:rPr>
          <w:rFonts w:ascii="Times" w:eastAsia="Calibri" w:hAnsi="Times"/>
          <w:bCs/>
          <w:lang w:val="en-US"/>
        </w:rPr>
        <w:t xml:space="preserve"> and</w:t>
      </w:r>
      <w:r w:rsidRPr="000E50F1">
        <w:rPr>
          <w:rFonts w:ascii="Times" w:eastAsia="Calibri" w:hAnsi="Times"/>
          <w:bCs/>
          <w:lang w:val="en-US"/>
        </w:rPr>
        <w:t xml:space="preserve"> honored, and/or</w:t>
      </w:r>
      <w:r w:rsidR="00A247B7" w:rsidRPr="000E50F1">
        <w:rPr>
          <w:rFonts w:ascii="Times" w:eastAsia="Calibri" w:hAnsi="Times"/>
          <w:bCs/>
          <w:lang w:val="en-US"/>
        </w:rPr>
        <w:t xml:space="preserve"> how they</w:t>
      </w:r>
      <w:r w:rsidRPr="000E50F1">
        <w:rPr>
          <w:rFonts w:ascii="Times" w:eastAsia="Calibri" w:hAnsi="Times"/>
          <w:bCs/>
          <w:lang w:val="en-US"/>
        </w:rPr>
        <w:t xml:space="preserve"> problematized intersectional notions of difference (i.e., politics, </w:t>
      </w:r>
      <w:r w:rsidR="00FF51A9" w:rsidRPr="000E50F1">
        <w:rPr>
          <w:rFonts w:ascii="Times" w:eastAsia="Calibri" w:hAnsi="Times"/>
          <w:bCs/>
          <w:lang w:val="en-US"/>
        </w:rPr>
        <w:t>economics</w:t>
      </w:r>
      <w:r w:rsidRPr="000E50F1">
        <w:rPr>
          <w:rFonts w:ascii="Times" w:eastAsia="Calibri" w:hAnsi="Times"/>
          <w:bCs/>
          <w:lang w:val="en-US"/>
        </w:rPr>
        <w:t xml:space="preserve"> class, race, ethnicity, nationality, citizenship, legality, age, ability, education, sexuality, gender, and/or religion) as a conceptual praxis of analysis in the research context. </w:t>
      </w:r>
      <w:r w:rsidR="00D87AD8" w:rsidRPr="000E50F1">
        <w:rPr>
          <w:rFonts w:ascii="Times" w:eastAsia="Calibri" w:hAnsi="Times"/>
          <w:bCs/>
          <w:lang w:val="en-US"/>
        </w:rPr>
        <w:t xml:space="preserve">Positionality </w:t>
      </w:r>
      <w:r w:rsidR="00A247B7" w:rsidRPr="000E50F1">
        <w:rPr>
          <w:rFonts w:ascii="Times" w:eastAsia="Calibri" w:hAnsi="Times"/>
          <w:bCs/>
          <w:lang w:val="en-US"/>
        </w:rPr>
        <w:t xml:space="preserve">thus </w:t>
      </w:r>
      <w:r w:rsidRPr="000E50F1">
        <w:rPr>
          <w:rFonts w:ascii="Times" w:eastAsia="Calibri" w:hAnsi="Times"/>
          <w:bCs/>
          <w:lang w:val="en-US"/>
        </w:rPr>
        <w:t>provides the critical space to inspect the ways (or not) in which the researcher is conscientiously reifying, resisting, disrupting, and/or changing the constructs of his/her positionality through this research process</w:t>
      </w:r>
      <w:r w:rsidR="00D87AD8" w:rsidRPr="000E50F1">
        <w:rPr>
          <w:rFonts w:ascii="Times" w:eastAsia="Calibri" w:hAnsi="Times"/>
          <w:bCs/>
          <w:lang w:val="en-US"/>
        </w:rPr>
        <w:t xml:space="preserve"> (Weingarten Learning Resources Centre 2017)</w:t>
      </w:r>
      <w:r w:rsidRPr="000E50F1">
        <w:rPr>
          <w:rFonts w:ascii="Times" w:eastAsia="Calibri" w:hAnsi="Times"/>
          <w:bCs/>
          <w:lang w:val="en-US"/>
        </w:rPr>
        <w:t>.</w:t>
      </w:r>
    </w:p>
    <w:p w14:paraId="76F03701" w14:textId="77777777" w:rsidR="00D72FC3" w:rsidRPr="000E50F1" w:rsidRDefault="00D72FC3" w:rsidP="00A36808">
      <w:pPr>
        <w:jc w:val="center"/>
        <w:rPr>
          <w:rFonts w:ascii="Times" w:eastAsia="Calibri" w:hAnsi="Times"/>
          <w:bCs/>
          <w:lang w:val="en-US"/>
        </w:rPr>
      </w:pPr>
    </w:p>
    <w:p w14:paraId="7697157C" w14:textId="02A41237" w:rsidR="00351DC6" w:rsidRPr="000E50F1" w:rsidRDefault="00543331" w:rsidP="00351DC6">
      <w:pPr>
        <w:rPr>
          <w:rFonts w:ascii="Times" w:eastAsia="Calibri" w:hAnsi="Times"/>
          <w:b/>
          <w:i/>
          <w:iCs/>
          <w:lang w:val="en-US"/>
        </w:rPr>
      </w:pPr>
      <w:r w:rsidRPr="000E50F1">
        <w:rPr>
          <w:rFonts w:ascii="Times" w:eastAsia="Calibri" w:hAnsi="Times"/>
          <w:b/>
          <w:i/>
          <w:iCs/>
          <w:lang w:val="en-US"/>
        </w:rPr>
        <w:t>Looking Back</w:t>
      </w:r>
      <w:r w:rsidR="006161FD">
        <w:rPr>
          <w:rFonts w:ascii="Times" w:eastAsia="Calibri" w:hAnsi="Times"/>
          <w:b/>
          <w:i/>
          <w:iCs/>
          <w:lang w:val="en-US"/>
        </w:rPr>
        <w:t xml:space="preserve"> &amp; </w:t>
      </w:r>
      <w:r w:rsidRPr="000E50F1">
        <w:rPr>
          <w:rFonts w:ascii="Times" w:eastAsia="Calibri" w:hAnsi="Times"/>
          <w:b/>
          <w:i/>
          <w:iCs/>
          <w:lang w:val="en-US"/>
        </w:rPr>
        <w:t>Looking Within</w:t>
      </w:r>
    </w:p>
    <w:p w14:paraId="21B18F9E" w14:textId="0294EE5B" w:rsidR="00D1338A" w:rsidRPr="000E50F1" w:rsidRDefault="008742A8" w:rsidP="00D87AD8">
      <w:pPr>
        <w:rPr>
          <w:rFonts w:ascii="Times" w:eastAsia="Calibri" w:hAnsi="Times"/>
          <w:bCs/>
        </w:rPr>
      </w:pPr>
      <w:r w:rsidRPr="000E50F1">
        <w:rPr>
          <w:rFonts w:ascii="Times" w:eastAsia="Calibri" w:hAnsi="Times"/>
          <w:bCs/>
          <w:lang w:val="en-US"/>
        </w:rPr>
        <w:t xml:space="preserve">As stated in the preface of this thesis, my doctoral pursuit was motivated by the desire to gain access into the community in order to make meaningful contributions, one of which is centered on adding evidence and knowledge </w:t>
      </w:r>
      <w:r w:rsidR="00351DC6" w:rsidRPr="000E50F1">
        <w:rPr>
          <w:rFonts w:ascii="Times" w:eastAsia="Calibri" w:hAnsi="Times"/>
          <w:bCs/>
          <w:lang w:val="en-US"/>
        </w:rPr>
        <w:t>via</w:t>
      </w:r>
      <w:r w:rsidRPr="000E50F1">
        <w:rPr>
          <w:rFonts w:ascii="Times" w:eastAsia="Calibri" w:hAnsi="Times"/>
          <w:bCs/>
          <w:lang w:val="en-US"/>
        </w:rPr>
        <w:t xml:space="preserve"> the field of social and health geography. </w:t>
      </w:r>
      <w:r w:rsidR="00351DC6" w:rsidRPr="000E50F1">
        <w:rPr>
          <w:rFonts w:ascii="Times" w:eastAsia="Calibri" w:hAnsi="Times"/>
          <w:bCs/>
          <w:lang w:val="en-US"/>
        </w:rPr>
        <w:t xml:space="preserve">Other forms of </w:t>
      </w:r>
      <w:r w:rsidR="00E1396E" w:rsidRPr="000E50F1">
        <w:rPr>
          <w:rFonts w:ascii="Times" w:eastAsia="Calibri" w:hAnsi="Times"/>
          <w:bCs/>
          <w:lang w:val="en-US"/>
        </w:rPr>
        <w:t xml:space="preserve">engagement </w:t>
      </w:r>
      <w:r w:rsidR="00234963" w:rsidRPr="000E50F1">
        <w:rPr>
          <w:rFonts w:ascii="Times" w:eastAsia="Calibri" w:hAnsi="Times"/>
          <w:bCs/>
          <w:lang w:val="en-US"/>
        </w:rPr>
        <w:t>and meaningful contribution entail</w:t>
      </w:r>
      <w:r w:rsidR="00E172D0" w:rsidRPr="000E50F1">
        <w:rPr>
          <w:rFonts w:ascii="Times" w:eastAsia="Calibri" w:hAnsi="Times"/>
          <w:bCs/>
          <w:lang w:val="en-US"/>
        </w:rPr>
        <w:t>ed</w:t>
      </w:r>
      <w:r w:rsidR="00234963" w:rsidRPr="000E50F1">
        <w:rPr>
          <w:rFonts w:ascii="Times" w:eastAsia="Calibri" w:hAnsi="Times"/>
          <w:bCs/>
          <w:lang w:val="en-US"/>
        </w:rPr>
        <w:t xml:space="preserve"> </w:t>
      </w:r>
      <w:r w:rsidR="00E1396E" w:rsidRPr="000E50F1">
        <w:rPr>
          <w:rFonts w:ascii="Times" w:eastAsia="Calibri" w:hAnsi="Times"/>
          <w:bCs/>
          <w:lang w:val="en-US"/>
        </w:rPr>
        <w:t>my volunteer work, leadership roles, and professional experience, all of which expanded my skills and confidence as a researcher</w:t>
      </w:r>
      <w:r w:rsidR="00D72FC3" w:rsidRPr="000E50F1">
        <w:rPr>
          <w:rFonts w:ascii="Times" w:eastAsia="Calibri" w:hAnsi="Times"/>
          <w:bCs/>
          <w:lang w:val="en-US"/>
        </w:rPr>
        <w:t xml:space="preserve"> along this journey</w:t>
      </w:r>
      <w:r w:rsidR="00E1396E" w:rsidRPr="000E50F1">
        <w:rPr>
          <w:rFonts w:ascii="Times" w:eastAsia="Calibri" w:hAnsi="Times"/>
          <w:bCs/>
          <w:lang w:val="en-US"/>
        </w:rPr>
        <w:t xml:space="preserve">. </w:t>
      </w:r>
      <w:r w:rsidR="00D1338A" w:rsidRPr="000E50F1">
        <w:rPr>
          <w:rFonts w:ascii="Times" w:eastAsia="Calibri" w:hAnsi="Times"/>
          <w:bCs/>
          <w:lang w:val="en-US"/>
        </w:rPr>
        <w:t>S</w:t>
      </w:r>
      <w:r w:rsidR="00E1396E" w:rsidRPr="000E50F1">
        <w:rPr>
          <w:rFonts w:ascii="Times" w:eastAsia="Calibri" w:hAnsi="Times"/>
          <w:bCs/>
          <w:lang w:val="en-US"/>
        </w:rPr>
        <w:t xml:space="preserve">ince the start of </w:t>
      </w:r>
      <w:r w:rsidR="00A354AC" w:rsidRPr="000E50F1">
        <w:rPr>
          <w:rFonts w:ascii="Times" w:eastAsia="Calibri" w:hAnsi="Times"/>
          <w:bCs/>
          <w:lang w:val="en-US"/>
        </w:rPr>
        <w:t>my</w:t>
      </w:r>
      <w:r w:rsidR="00E1396E" w:rsidRPr="000E50F1">
        <w:rPr>
          <w:rFonts w:ascii="Times" w:eastAsia="Calibri" w:hAnsi="Times"/>
          <w:bCs/>
          <w:lang w:val="en-US"/>
        </w:rPr>
        <w:t xml:space="preserve"> doctoral </w:t>
      </w:r>
      <w:r w:rsidR="00D72FC3" w:rsidRPr="000E50F1">
        <w:rPr>
          <w:rFonts w:ascii="Times" w:eastAsia="Calibri" w:hAnsi="Times"/>
          <w:bCs/>
          <w:lang w:val="en-US"/>
        </w:rPr>
        <w:t>program</w:t>
      </w:r>
      <w:r w:rsidR="00E1396E" w:rsidRPr="000E50F1">
        <w:rPr>
          <w:rFonts w:ascii="Times" w:eastAsia="Calibri" w:hAnsi="Times"/>
          <w:bCs/>
          <w:lang w:val="en-US"/>
        </w:rPr>
        <w:t>, I have served on several</w:t>
      </w:r>
      <w:r w:rsidR="00234963" w:rsidRPr="000E50F1">
        <w:rPr>
          <w:rFonts w:ascii="Times" w:eastAsia="Calibri" w:hAnsi="Times"/>
          <w:bCs/>
          <w:lang w:val="en-US"/>
        </w:rPr>
        <w:t xml:space="preserve"> </w:t>
      </w:r>
      <w:r w:rsidR="00E1396E" w:rsidRPr="000E50F1">
        <w:rPr>
          <w:rFonts w:ascii="Times" w:eastAsia="Calibri" w:hAnsi="Times"/>
          <w:bCs/>
          <w:lang w:val="en-US"/>
        </w:rPr>
        <w:t xml:space="preserve">governance boards </w:t>
      </w:r>
      <w:r w:rsidR="00E172D0" w:rsidRPr="000E50F1">
        <w:rPr>
          <w:rFonts w:ascii="Times" w:eastAsia="Calibri" w:hAnsi="Times"/>
          <w:bCs/>
          <w:lang w:val="en-US"/>
        </w:rPr>
        <w:t xml:space="preserve">from </w:t>
      </w:r>
      <w:r w:rsidR="00E1396E" w:rsidRPr="000E50F1">
        <w:rPr>
          <w:rFonts w:ascii="Times" w:eastAsia="Calibri" w:hAnsi="Times"/>
          <w:bCs/>
          <w:lang w:val="en-US"/>
        </w:rPr>
        <w:t>2011</w:t>
      </w:r>
      <w:r w:rsidR="00E172D0" w:rsidRPr="000E50F1">
        <w:rPr>
          <w:rFonts w:ascii="Times" w:eastAsia="Calibri" w:hAnsi="Times"/>
          <w:bCs/>
          <w:lang w:val="en-US"/>
        </w:rPr>
        <w:t xml:space="preserve"> to </w:t>
      </w:r>
      <w:r w:rsidR="00E6304E">
        <w:rPr>
          <w:rFonts w:ascii="Times" w:eastAsia="Calibri" w:hAnsi="Times"/>
          <w:bCs/>
          <w:lang w:val="en-US"/>
        </w:rPr>
        <w:t>2021</w:t>
      </w:r>
      <w:r w:rsidR="00E1396E" w:rsidRPr="000E50F1">
        <w:rPr>
          <w:rFonts w:ascii="Times" w:eastAsia="Calibri" w:hAnsi="Times"/>
          <w:bCs/>
          <w:lang w:val="en-US"/>
        </w:rPr>
        <w:t>—i.e.</w:t>
      </w:r>
      <w:r w:rsidR="00A354AC" w:rsidRPr="000E50F1">
        <w:rPr>
          <w:rFonts w:ascii="Times" w:eastAsia="Calibri" w:hAnsi="Times"/>
          <w:bCs/>
          <w:lang w:val="en-US"/>
        </w:rPr>
        <w:t>,</w:t>
      </w:r>
      <w:r w:rsidR="00E1396E" w:rsidRPr="000E50F1">
        <w:rPr>
          <w:rFonts w:ascii="Times" w:eastAsia="Calibri" w:hAnsi="Times"/>
          <w:bCs/>
          <w:lang w:val="en-US"/>
        </w:rPr>
        <w:t xml:space="preserve"> </w:t>
      </w:r>
      <w:r w:rsidR="00E172D0" w:rsidRPr="000E50F1">
        <w:rPr>
          <w:rFonts w:ascii="Times" w:eastAsia="Calibri" w:hAnsi="Times"/>
          <w:bCs/>
          <w:lang w:val="en-US"/>
        </w:rPr>
        <w:t>the Hamilton Immigration Partnership Council (</w:t>
      </w:r>
      <w:r w:rsidR="00E1396E" w:rsidRPr="000E50F1">
        <w:rPr>
          <w:rFonts w:ascii="Times" w:eastAsia="Calibri" w:hAnsi="Times"/>
          <w:bCs/>
          <w:lang w:val="en-US"/>
        </w:rPr>
        <w:t>HIPC</w:t>
      </w:r>
      <w:r w:rsidR="00E172D0" w:rsidRPr="000E50F1">
        <w:rPr>
          <w:rFonts w:ascii="Times" w:eastAsia="Calibri" w:hAnsi="Times"/>
          <w:bCs/>
          <w:lang w:val="en-US"/>
        </w:rPr>
        <w:t>)</w:t>
      </w:r>
      <w:r w:rsidR="00E1396E" w:rsidRPr="000E50F1">
        <w:rPr>
          <w:rFonts w:ascii="Times" w:eastAsia="Calibri" w:hAnsi="Times"/>
          <w:bCs/>
          <w:lang w:val="en-US"/>
        </w:rPr>
        <w:t xml:space="preserve">, </w:t>
      </w:r>
      <w:r w:rsidR="00E1396E" w:rsidRPr="000E50F1">
        <w:rPr>
          <w:rFonts w:ascii="Times" w:eastAsia="Calibri" w:hAnsi="Times"/>
          <w:bCs/>
        </w:rPr>
        <w:t xml:space="preserve">HIPC’s Health Working Group, </w:t>
      </w:r>
      <w:r w:rsidR="00E1396E" w:rsidRPr="000E50F1">
        <w:rPr>
          <w:rFonts w:ascii="Times" w:eastAsia="Calibri" w:hAnsi="Times"/>
          <w:bCs/>
          <w:lang w:val="en-US"/>
        </w:rPr>
        <w:t xml:space="preserve">Global Hamilton Connect </w:t>
      </w:r>
      <w:r w:rsidR="00E172D0" w:rsidRPr="000E50F1">
        <w:rPr>
          <w:rFonts w:ascii="Times" w:eastAsia="Calibri" w:hAnsi="Times"/>
          <w:bCs/>
          <w:lang w:val="en-US"/>
        </w:rPr>
        <w:t>(</w:t>
      </w:r>
      <w:r w:rsidR="00E1396E" w:rsidRPr="000E50F1">
        <w:rPr>
          <w:rFonts w:ascii="Times" w:eastAsia="Calibri" w:hAnsi="Times"/>
          <w:bCs/>
          <w:lang w:val="en-US"/>
        </w:rPr>
        <w:t>GHC</w:t>
      </w:r>
      <w:r w:rsidR="00E172D0" w:rsidRPr="000E50F1">
        <w:rPr>
          <w:rFonts w:ascii="Times" w:eastAsia="Calibri" w:hAnsi="Times"/>
          <w:bCs/>
          <w:lang w:val="en-US"/>
        </w:rPr>
        <w:t>)</w:t>
      </w:r>
      <w:r w:rsidR="00E1396E" w:rsidRPr="000E50F1">
        <w:rPr>
          <w:rFonts w:ascii="Times" w:eastAsia="Calibri" w:hAnsi="Times"/>
          <w:bCs/>
          <w:lang w:val="en-US"/>
        </w:rPr>
        <w:t xml:space="preserve">, Mohawk </w:t>
      </w:r>
      <w:r w:rsidR="00E1396E" w:rsidRPr="000E50F1">
        <w:rPr>
          <w:rFonts w:ascii="Times" w:eastAsia="Calibri" w:hAnsi="Times"/>
          <w:bCs/>
        </w:rPr>
        <w:t xml:space="preserve">College’s Welcoming </w:t>
      </w:r>
      <w:r w:rsidR="00E1396E" w:rsidRPr="000E50F1">
        <w:rPr>
          <w:rFonts w:ascii="Times" w:eastAsia="Calibri" w:hAnsi="Times"/>
          <w:bCs/>
          <w:lang w:val="en-US"/>
        </w:rPr>
        <w:t xml:space="preserve">Community Taskforce, </w:t>
      </w:r>
      <w:r w:rsidR="00E1396E" w:rsidRPr="000E50F1">
        <w:rPr>
          <w:rFonts w:ascii="Times" w:eastAsia="Calibri" w:hAnsi="Times"/>
          <w:bCs/>
        </w:rPr>
        <w:t xml:space="preserve">the </w:t>
      </w:r>
      <w:r w:rsidR="00E1396E" w:rsidRPr="000E50F1">
        <w:rPr>
          <w:rFonts w:ascii="Times" w:eastAsia="Calibri" w:hAnsi="Times"/>
          <w:bCs/>
          <w:lang w:val="en-US"/>
        </w:rPr>
        <w:t xml:space="preserve">Health Working Group </w:t>
      </w:r>
      <w:r w:rsidR="00E1396E" w:rsidRPr="000E50F1">
        <w:rPr>
          <w:rFonts w:ascii="Times" w:eastAsia="Calibri" w:hAnsi="Times"/>
          <w:bCs/>
        </w:rPr>
        <w:t xml:space="preserve">under the Mayor’s </w:t>
      </w:r>
      <w:r w:rsidR="00E1396E" w:rsidRPr="000E50F1">
        <w:rPr>
          <w:rFonts w:ascii="Times" w:eastAsia="Calibri" w:hAnsi="Times"/>
          <w:bCs/>
          <w:lang w:val="en-US"/>
        </w:rPr>
        <w:t>Advisory</w:t>
      </w:r>
      <w:r w:rsidR="00E1396E" w:rsidRPr="000E50F1">
        <w:rPr>
          <w:rFonts w:ascii="Times" w:eastAsia="Calibri" w:hAnsi="Times"/>
          <w:bCs/>
        </w:rPr>
        <w:t xml:space="preserve"> </w:t>
      </w:r>
      <w:r w:rsidR="00E1396E" w:rsidRPr="000E50F1">
        <w:rPr>
          <w:rFonts w:ascii="Times" w:eastAsia="Calibri" w:hAnsi="Times"/>
          <w:bCs/>
          <w:lang w:val="en-US"/>
        </w:rPr>
        <w:t xml:space="preserve">Committee on Syrian Newcomers, and </w:t>
      </w:r>
      <w:r w:rsidR="00E1396E" w:rsidRPr="000E50F1">
        <w:rPr>
          <w:rFonts w:ascii="Times" w:eastAsia="Calibri" w:hAnsi="Times"/>
          <w:bCs/>
        </w:rPr>
        <w:t>HIPC’s Research and Evaluation Committee.</w:t>
      </w:r>
      <w:r w:rsidR="00234963" w:rsidRPr="000E50F1">
        <w:rPr>
          <w:rFonts w:ascii="Times" w:eastAsia="Calibri" w:hAnsi="Times"/>
          <w:bCs/>
        </w:rPr>
        <w:t xml:space="preserve"> In addition</w:t>
      </w:r>
      <w:r w:rsidR="00E1396E" w:rsidRPr="000E50F1">
        <w:rPr>
          <w:rFonts w:ascii="Times" w:eastAsia="Calibri" w:hAnsi="Times"/>
          <w:bCs/>
        </w:rPr>
        <w:t>, I have worked on a number of research projects as an independent consultant</w:t>
      </w:r>
      <w:r w:rsidR="00D72FC3" w:rsidRPr="000E50F1">
        <w:rPr>
          <w:rFonts w:ascii="Times" w:eastAsia="Calibri" w:hAnsi="Times"/>
          <w:bCs/>
          <w:lang w:val="en-US"/>
        </w:rPr>
        <w:t xml:space="preserve">, some of which focused on </w:t>
      </w:r>
      <w:r w:rsidR="00E172D0" w:rsidRPr="000E50F1">
        <w:rPr>
          <w:rFonts w:ascii="Times" w:eastAsia="Calibri" w:hAnsi="Times"/>
          <w:bCs/>
          <w:lang w:val="en-US"/>
        </w:rPr>
        <w:t xml:space="preserve">the </w:t>
      </w:r>
      <w:r w:rsidR="00D72FC3" w:rsidRPr="000E50F1">
        <w:rPr>
          <w:rFonts w:ascii="Times" w:eastAsia="Calibri" w:hAnsi="Times"/>
          <w:bCs/>
          <w:lang w:val="en-US"/>
        </w:rPr>
        <w:t>subject</w:t>
      </w:r>
      <w:r w:rsidR="00E172D0" w:rsidRPr="000E50F1">
        <w:rPr>
          <w:rFonts w:ascii="Times" w:eastAsia="Calibri" w:hAnsi="Times"/>
          <w:bCs/>
          <w:lang w:val="en-US"/>
        </w:rPr>
        <w:t xml:space="preserve">s </w:t>
      </w:r>
      <w:r w:rsidR="00D72FC3" w:rsidRPr="000E50F1">
        <w:rPr>
          <w:rFonts w:ascii="Times" w:eastAsia="Calibri" w:hAnsi="Times"/>
          <w:bCs/>
          <w:lang w:val="en-US"/>
        </w:rPr>
        <w:t xml:space="preserve">of economic immigration, the informal settlement network, </w:t>
      </w:r>
      <w:r w:rsidR="00E172D0" w:rsidRPr="000E50F1">
        <w:rPr>
          <w:rFonts w:ascii="Times" w:eastAsia="Calibri" w:hAnsi="Times"/>
          <w:bCs/>
          <w:lang w:val="en-US"/>
        </w:rPr>
        <w:t>and</w:t>
      </w:r>
      <w:r w:rsidR="00D72FC3" w:rsidRPr="000E50F1">
        <w:rPr>
          <w:rFonts w:ascii="Times" w:eastAsia="Calibri" w:hAnsi="Times"/>
          <w:bCs/>
          <w:lang w:val="en-US"/>
        </w:rPr>
        <w:t xml:space="preserve"> school-based mental health research and evaluation. All of these experiences </w:t>
      </w:r>
      <w:r w:rsidR="00234963" w:rsidRPr="000E50F1">
        <w:rPr>
          <w:rFonts w:ascii="Times" w:eastAsia="Calibri" w:hAnsi="Times"/>
          <w:bCs/>
          <w:lang w:val="en-US"/>
        </w:rPr>
        <w:t>have impacted this research in significant ways</w:t>
      </w:r>
      <w:r w:rsidR="00E1396E" w:rsidRPr="000E50F1">
        <w:rPr>
          <w:rFonts w:ascii="Times" w:eastAsia="Calibri" w:hAnsi="Times"/>
          <w:bCs/>
        </w:rPr>
        <w:t xml:space="preserve">. </w:t>
      </w:r>
    </w:p>
    <w:p w14:paraId="434363C7" w14:textId="5B6C8941" w:rsidR="00D87AD8" w:rsidRPr="000E50F1" w:rsidRDefault="00D87AD8" w:rsidP="00D87AD8">
      <w:pPr>
        <w:rPr>
          <w:rFonts w:ascii="Times" w:eastAsia="Calibri" w:hAnsi="Times"/>
          <w:bCs/>
          <w:i/>
          <w:iCs/>
          <w:lang w:val="en-US"/>
        </w:rPr>
      </w:pPr>
      <w:r w:rsidRPr="000E50F1">
        <w:rPr>
          <w:rFonts w:ascii="Times" w:eastAsia="Calibri" w:hAnsi="Times"/>
          <w:bCs/>
          <w:i/>
          <w:iCs/>
          <w:lang w:val="en-US"/>
        </w:rPr>
        <w:lastRenderedPageBreak/>
        <w:t>International Students’ Voice</w:t>
      </w:r>
      <w:r w:rsidR="00E6304E">
        <w:rPr>
          <w:rFonts w:ascii="Times" w:eastAsia="Calibri" w:hAnsi="Times"/>
          <w:bCs/>
          <w:i/>
          <w:iCs/>
          <w:lang w:val="en-US"/>
        </w:rPr>
        <w:t>s</w:t>
      </w:r>
      <w:r w:rsidRPr="000E50F1">
        <w:rPr>
          <w:rFonts w:ascii="Times" w:eastAsia="Calibri" w:hAnsi="Times"/>
          <w:bCs/>
          <w:i/>
          <w:iCs/>
          <w:lang w:val="en-US"/>
        </w:rPr>
        <w:t xml:space="preserve"> </w:t>
      </w:r>
    </w:p>
    <w:p w14:paraId="6031A4F7" w14:textId="4A689FB4" w:rsidR="00D87AD8" w:rsidRPr="000E50F1" w:rsidRDefault="00D87AD8" w:rsidP="00D87AD8">
      <w:pPr>
        <w:rPr>
          <w:rFonts w:ascii="Times" w:eastAsia="Calibri" w:hAnsi="Times"/>
          <w:bCs/>
          <w:lang w:val="en-US"/>
        </w:rPr>
      </w:pPr>
      <w:r w:rsidRPr="000E50F1">
        <w:rPr>
          <w:rFonts w:ascii="Times" w:eastAsia="Calibri" w:hAnsi="Times"/>
          <w:bCs/>
          <w:lang w:val="en-US"/>
        </w:rPr>
        <w:t xml:space="preserve">As co-founder of GHC in 2014, and serving as co-chair from 2014 to 2015, my work on </w:t>
      </w:r>
      <w:r w:rsidR="003E463F" w:rsidRPr="000E50F1">
        <w:rPr>
          <w:rFonts w:ascii="Times" w:eastAsia="Calibri" w:hAnsi="Times"/>
          <w:bCs/>
          <w:lang w:val="en-US"/>
        </w:rPr>
        <w:t xml:space="preserve">the </w:t>
      </w:r>
      <w:r w:rsidRPr="000E50F1">
        <w:rPr>
          <w:rFonts w:ascii="Times" w:eastAsia="Calibri" w:hAnsi="Times"/>
          <w:bCs/>
          <w:lang w:val="en-US"/>
        </w:rPr>
        <w:t>executive board of GHC was driven by a goal of professional development and community building, and not motivated by the potential to engage in academic research on international student</w:t>
      </w:r>
      <w:r w:rsidR="00A354AC" w:rsidRPr="000E50F1">
        <w:rPr>
          <w:rFonts w:ascii="Times" w:eastAsia="Calibri" w:hAnsi="Times"/>
          <w:bCs/>
          <w:lang w:val="en-US"/>
        </w:rPr>
        <w:t xml:space="preserve"> issues</w:t>
      </w:r>
      <w:r w:rsidRPr="000E50F1">
        <w:rPr>
          <w:rFonts w:ascii="Times" w:eastAsia="Calibri" w:hAnsi="Times"/>
          <w:bCs/>
          <w:lang w:val="en-US"/>
        </w:rPr>
        <w:t xml:space="preserve">. Nevertheless, my involvement at GHC enabled me to </w:t>
      </w:r>
      <w:r w:rsidR="00A47443" w:rsidRPr="000E50F1">
        <w:rPr>
          <w:rFonts w:ascii="Times" w:eastAsia="Calibri" w:hAnsi="Times"/>
          <w:bCs/>
          <w:lang w:val="en-US"/>
        </w:rPr>
        <w:t>talk</w:t>
      </w:r>
      <w:r w:rsidRPr="000E50F1">
        <w:rPr>
          <w:rFonts w:ascii="Times" w:eastAsia="Calibri" w:hAnsi="Times"/>
          <w:bCs/>
          <w:lang w:val="en-US"/>
        </w:rPr>
        <w:t xml:space="preserve"> with international students on a number of issues for some time before the implementation of Express Entry in 2015. </w:t>
      </w:r>
      <w:r w:rsidR="00E172D0" w:rsidRPr="000E50F1">
        <w:rPr>
          <w:rFonts w:ascii="Times" w:eastAsia="Calibri" w:hAnsi="Times"/>
          <w:bCs/>
          <w:lang w:val="en-US"/>
        </w:rPr>
        <w:t>When the co-founders first met as a group,</w:t>
      </w:r>
      <w:r w:rsidRPr="000E50F1">
        <w:rPr>
          <w:rFonts w:ascii="Times" w:eastAsia="Calibri" w:hAnsi="Times"/>
          <w:bCs/>
          <w:lang w:val="en-US"/>
        </w:rPr>
        <w:t xml:space="preserve"> </w:t>
      </w:r>
      <w:r w:rsidR="00E172D0" w:rsidRPr="000E50F1">
        <w:rPr>
          <w:rFonts w:ascii="Times" w:eastAsia="Calibri" w:hAnsi="Times"/>
          <w:bCs/>
          <w:lang w:val="en-US"/>
        </w:rPr>
        <w:t>we</w:t>
      </w:r>
      <w:r w:rsidRPr="000E50F1">
        <w:rPr>
          <w:rFonts w:ascii="Times" w:eastAsia="Calibri" w:hAnsi="Times"/>
          <w:bCs/>
          <w:lang w:val="en-US"/>
        </w:rPr>
        <w:t xml:space="preserve"> </w:t>
      </w:r>
      <w:r w:rsidR="00E172D0" w:rsidRPr="000E50F1">
        <w:rPr>
          <w:rFonts w:ascii="Times" w:eastAsia="Calibri" w:hAnsi="Times"/>
          <w:bCs/>
          <w:lang w:val="en-US"/>
        </w:rPr>
        <w:t xml:space="preserve">discussed the challenges </w:t>
      </w:r>
      <w:r w:rsidRPr="000E50F1">
        <w:rPr>
          <w:rFonts w:ascii="Times" w:eastAsia="Calibri" w:hAnsi="Times"/>
          <w:bCs/>
          <w:lang w:val="en-US"/>
        </w:rPr>
        <w:t>of international students in the community</w:t>
      </w:r>
      <w:r w:rsidR="00E172D0" w:rsidRPr="000E50F1">
        <w:rPr>
          <w:rFonts w:ascii="Times" w:eastAsia="Calibri" w:hAnsi="Times"/>
          <w:bCs/>
          <w:lang w:val="en-US"/>
        </w:rPr>
        <w:t xml:space="preserve"> and </w:t>
      </w:r>
      <w:r w:rsidRPr="000E50F1">
        <w:rPr>
          <w:rFonts w:ascii="Times" w:eastAsia="Calibri" w:hAnsi="Times"/>
          <w:bCs/>
          <w:lang w:val="en-US"/>
        </w:rPr>
        <w:t>identified a vision and mandate aimed “to enable international students and young newcomers to be fully aware of and have access to opportunities in order to live, work, and play in Hamilton”. Following this, the executive board planned several events in our first year to foster students’ transition into the community from college and university campuses. One of the</w:t>
      </w:r>
      <w:r w:rsidR="00E172D0" w:rsidRPr="000E50F1">
        <w:rPr>
          <w:rFonts w:ascii="Times" w:eastAsia="Calibri" w:hAnsi="Times"/>
          <w:bCs/>
          <w:lang w:val="en-US"/>
        </w:rPr>
        <w:t>se</w:t>
      </w:r>
      <w:r w:rsidRPr="000E50F1">
        <w:rPr>
          <w:rFonts w:ascii="Times" w:eastAsia="Calibri" w:hAnsi="Times"/>
          <w:bCs/>
          <w:lang w:val="en-US"/>
        </w:rPr>
        <w:t xml:space="preserve"> events focused on prepar</w:t>
      </w:r>
      <w:r w:rsidR="00E172D0" w:rsidRPr="000E50F1">
        <w:rPr>
          <w:rFonts w:ascii="Times" w:eastAsia="Calibri" w:hAnsi="Times"/>
          <w:bCs/>
          <w:lang w:val="en-US"/>
        </w:rPr>
        <w:t>ing</w:t>
      </w:r>
      <w:r w:rsidRPr="000E50F1">
        <w:rPr>
          <w:rFonts w:ascii="Times" w:eastAsia="Calibri" w:hAnsi="Times"/>
          <w:bCs/>
          <w:lang w:val="en-US"/>
        </w:rPr>
        <w:t xml:space="preserve"> international students for permanent immigration following graduation. By far, this event led by Immigration Lawyer Elizabeth Long from Toronto, Ontario </w:t>
      </w:r>
      <w:r w:rsidR="00D1338A" w:rsidRPr="000E50F1">
        <w:rPr>
          <w:rFonts w:ascii="Times" w:eastAsia="Calibri" w:hAnsi="Times"/>
          <w:bCs/>
          <w:lang w:val="en-US"/>
        </w:rPr>
        <w:t xml:space="preserve">in January 2015 </w:t>
      </w:r>
      <w:r w:rsidRPr="000E50F1">
        <w:rPr>
          <w:rFonts w:ascii="Times" w:eastAsia="Calibri" w:hAnsi="Times"/>
          <w:bCs/>
          <w:lang w:val="en-US"/>
        </w:rPr>
        <w:t>drew the most interest with over 140 attendees. Insights from Elizbeth</w:t>
      </w:r>
      <w:r w:rsidR="00D1338A" w:rsidRPr="000E50F1">
        <w:rPr>
          <w:rFonts w:ascii="Times" w:eastAsia="Calibri" w:hAnsi="Times"/>
          <w:bCs/>
          <w:lang w:val="en-US"/>
        </w:rPr>
        <w:t xml:space="preserve"> Long</w:t>
      </w:r>
      <w:r w:rsidRPr="000E50F1">
        <w:rPr>
          <w:rFonts w:ascii="Times" w:eastAsia="Calibri" w:hAnsi="Times"/>
          <w:bCs/>
          <w:lang w:val="en-US"/>
        </w:rPr>
        <w:t>, a certified Specialist in Citizenship and Immigration Law by the </w:t>
      </w:r>
      <w:hyperlink r:id="rId55" w:tgtFrame="_blank" w:history="1">
        <w:r w:rsidRPr="000E50F1">
          <w:rPr>
            <w:rFonts w:ascii="Times" w:eastAsia="Calibri" w:hAnsi="Times"/>
            <w:lang w:val="en-US"/>
          </w:rPr>
          <w:t>Law Society of Ontario</w:t>
        </w:r>
      </w:hyperlink>
      <w:r w:rsidRPr="000E50F1">
        <w:rPr>
          <w:rFonts w:ascii="Times" w:eastAsia="Calibri" w:hAnsi="Times"/>
          <w:bCs/>
          <w:lang w:val="en-US"/>
        </w:rPr>
        <w:t xml:space="preserve">, was timely and critical for GHC and our group members in breaking down the complexity (and vagueness) of the new system for a lay audience. Outside of GHC activities, other community engagement </w:t>
      </w:r>
      <w:r w:rsidR="00A354AC" w:rsidRPr="000E50F1">
        <w:rPr>
          <w:rFonts w:ascii="Times" w:eastAsia="Calibri" w:hAnsi="Times"/>
          <w:bCs/>
          <w:lang w:val="en-US"/>
        </w:rPr>
        <w:t>happenings</w:t>
      </w:r>
      <w:r w:rsidRPr="000E50F1">
        <w:rPr>
          <w:rFonts w:ascii="Times" w:eastAsia="Calibri" w:hAnsi="Times"/>
          <w:bCs/>
          <w:lang w:val="en-US"/>
        </w:rPr>
        <w:t xml:space="preserve"> such as my involvement on the Welcoming Communities Taskforce from 2015 to 2016—under the leadership of Ron McKerlie (Mohawk President)—</w:t>
      </w:r>
      <w:r w:rsidR="00A354AC" w:rsidRPr="000E50F1">
        <w:rPr>
          <w:rFonts w:ascii="Times" w:eastAsia="Calibri" w:hAnsi="Times"/>
          <w:bCs/>
          <w:lang w:val="en-US"/>
        </w:rPr>
        <w:t>helped me to gain different perspective</w:t>
      </w:r>
      <w:r w:rsidR="00D1338A" w:rsidRPr="000E50F1">
        <w:rPr>
          <w:rFonts w:ascii="Times" w:eastAsia="Calibri" w:hAnsi="Times"/>
          <w:bCs/>
          <w:lang w:val="en-US"/>
        </w:rPr>
        <w:t>s</w:t>
      </w:r>
      <w:r w:rsidR="00A354AC" w:rsidRPr="000E50F1">
        <w:rPr>
          <w:rFonts w:ascii="Times" w:eastAsia="Calibri" w:hAnsi="Times"/>
          <w:bCs/>
          <w:lang w:val="en-US"/>
        </w:rPr>
        <w:t xml:space="preserve"> (including institutional and community) on issues regarding student education, labour market</w:t>
      </w:r>
      <w:r w:rsidR="00D87D9F" w:rsidRPr="000E50F1">
        <w:rPr>
          <w:rFonts w:ascii="Times" w:eastAsia="Calibri" w:hAnsi="Times"/>
          <w:bCs/>
          <w:lang w:val="en-US"/>
        </w:rPr>
        <w:t>,</w:t>
      </w:r>
      <w:r w:rsidR="00A354AC" w:rsidRPr="000E50F1">
        <w:rPr>
          <w:rFonts w:ascii="Times" w:eastAsia="Calibri" w:hAnsi="Times"/>
          <w:bCs/>
          <w:lang w:val="en-US"/>
        </w:rPr>
        <w:t xml:space="preserve"> and community integration</w:t>
      </w:r>
      <w:r w:rsidRPr="000E50F1">
        <w:rPr>
          <w:rFonts w:ascii="Times" w:eastAsia="Calibri" w:hAnsi="Times"/>
          <w:bCs/>
          <w:lang w:val="en-US"/>
        </w:rPr>
        <w:t>. Additionally, I was invited to work with Dr. Sarah Wayland, who was commissioned by the Regional Municipality of Niagara Region</w:t>
      </w:r>
      <w:r w:rsidR="00A354AC" w:rsidRPr="000E50F1">
        <w:rPr>
          <w:rFonts w:ascii="Times" w:eastAsia="Calibri" w:hAnsi="Times"/>
          <w:bCs/>
          <w:lang w:val="en-US"/>
        </w:rPr>
        <w:t xml:space="preserve"> in 2016</w:t>
      </w:r>
      <w:r w:rsidRPr="000E50F1">
        <w:rPr>
          <w:rFonts w:ascii="Times" w:eastAsia="Calibri" w:hAnsi="Times"/>
          <w:bCs/>
          <w:lang w:val="en-US"/>
        </w:rPr>
        <w:t xml:space="preserve"> to develop a business plan focused on supporting the global attractiveness of the region that centered on identifying strategies that could attract and retain immigrants for the purpose of economic growth. Some of my work on the </w:t>
      </w:r>
      <w:r w:rsidR="00D87D9F" w:rsidRPr="000E50F1">
        <w:rPr>
          <w:rFonts w:ascii="Times" w:eastAsia="Calibri" w:hAnsi="Times"/>
          <w:bCs/>
          <w:lang w:val="en-US"/>
        </w:rPr>
        <w:t xml:space="preserve">global attractiveness </w:t>
      </w:r>
      <w:r w:rsidRPr="000E50F1">
        <w:rPr>
          <w:rFonts w:ascii="Times" w:eastAsia="Calibri" w:hAnsi="Times"/>
          <w:bCs/>
          <w:lang w:val="en-US"/>
        </w:rPr>
        <w:t xml:space="preserve">project included designing focus group interviews, collecting and analyzing data, and report writing. The findings from the focus group with international students highlighted various push and pull factors that propelled the flow of out-migration of international students following the completion of studies. </w:t>
      </w:r>
      <w:r w:rsidR="00D1338A" w:rsidRPr="000E50F1">
        <w:rPr>
          <w:rFonts w:ascii="Times" w:eastAsia="Calibri" w:hAnsi="Times"/>
          <w:bCs/>
          <w:lang w:val="en-US"/>
        </w:rPr>
        <w:t>A</w:t>
      </w:r>
      <w:r w:rsidRPr="000E50F1">
        <w:rPr>
          <w:rFonts w:ascii="Times" w:eastAsia="Calibri" w:hAnsi="Times"/>
          <w:bCs/>
          <w:lang w:val="en-US"/>
        </w:rPr>
        <w:t xml:space="preserve">ll of these experiences contributed to my </w:t>
      </w:r>
      <w:r w:rsidR="00A354AC" w:rsidRPr="000E50F1">
        <w:rPr>
          <w:rFonts w:ascii="Times" w:eastAsia="Calibri" w:hAnsi="Times"/>
          <w:bCs/>
          <w:lang w:val="en-US"/>
        </w:rPr>
        <w:t xml:space="preserve">broad </w:t>
      </w:r>
      <w:r w:rsidRPr="000E50F1">
        <w:rPr>
          <w:rFonts w:ascii="Times" w:eastAsia="Calibri" w:hAnsi="Times"/>
          <w:bCs/>
          <w:lang w:val="en-US"/>
        </w:rPr>
        <w:t xml:space="preserve">perspective and understanding of international students issues via anecdotal evidence and collected data </w:t>
      </w:r>
      <w:r w:rsidR="00A354AC" w:rsidRPr="000E50F1">
        <w:rPr>
          <w:rFonts w:ascii="Times" w:eastAsia="Calibri" w:hAnsi="Times"/>
          <w:bCs/>
          <w:lang w:val="en-US"/>
        </w:rPr>
        <w:t>within and o</w:t>
      </w:r>
      <w:r w:rsidRPr="000E50F1">
        <w:rPr>
          <w:rFonts w:ascii="Times" w:eastAsia="Calibri" w:hAnsi="Times"/>
          <w:bCs/>
          <w:lang w:val="en-US"/>
        </w:rPr>
        <w:t xml:space="preserve">utside of Hamilton. In addition to the </w:t>
      </w:r>
      <w:r w:rsidRPr="000E50F1">
        <w:t xml:space="preserve">data </w:t>
      </w:r>
      <w:r w:rsidR="00D87D9F" w:rsidRPr="000E50F1">
        <w:t>collated</w:t>
      </w:r>
      <w:r w:rsidRPr="000E50F1">
        <w:t xml:space="preserve"> and examined for the policy brief—i.e., documents, newspaper articles, and year-end data from IRCC—the knowledge I </w:t>
      </w:r>
      <w:r w:rsidRPr="000E50F1">
        <w:rPr>
          <w:rFonts w:ascii="Times" w:eastAsia="Calibri" w:hAnsi="Times"/>
          <w:bCs/>
          <w:lang w:val="en-US"/>
        </w:rPr>
        <w:t xml:space="preserve">gained from </w:t>
      </w:r>
      <w:r w:rsidR="00D87D9F" w:rsidRPr="000E50F1">
        <w:rPr>
          <w:rFonts w:ascii="Times" w:eastAsia="Calibri" w:hAnsi="Times"/>
          <w:bCs/>
          <w:lang w:val="en-US"/>
        </w:rPr>
        <w:t xml:space="preserve">various </w:t>
      </w:r>
      <w:r w:rsidRPr="000E50F1">
        <w:rPr>
          <w:rFonts w:ascii="Times" w:eastAsia="Calibri" w:hAnsi="Times"/>
          <w:bCs/>
          <w:lang w:val="en-US"/>
        </w:rPr>
        <w:t xml:space="preserve">active engagement in the community was used to formulate the policy issues and recommendations put forth in </w:t>
      </w:r>
      <w:r w:rsidR="00D1338A" w:rsidRPr="000E50F1">
        <w:rPr>
          <w:rFonts w:ascii="Times" w:eastAsia="Calibri" w:hAnsi="Times"/>
          <w:bCs/>
          <w:lang w:val="en-US"/>
        </w:rPr>
        <w:t>chapter two</w:t>
      </w:r>
      <w:r w:rsidRPr="000E50F1">
        <w:rPr>
          <w:rFonts w:ascii="Times" w:eastAsia="Calibri" w:hAnsi="Times"/>
          <w:bCs/>
          <w:lang w:val="en-US"/>
        </w:rPr>
        <w:t xml:space="preserve">. Given the format chosen </w:t>
      </w:r>
      <w:r w:rsidR="00A354AC" w:rsidRPr="000E50F1">
        <w:rPr>
          <w:rFonts w:ascii="Times" w:eastAsia="Calibri" w:hAnsi="Times"/>
          <w:bCs/>
          <w:lang w:val="en-US"/>
        </w:rPr>
        <w:t>(and rationale</w:t>
      </w:r>
      <w:r w:rsidR="00D3396E" w:rsidRPr="000E50F1">
        <w:rPr>
          <w:rFonts w:ascii="Times" w:eastAsia="Calibri" w:hAnsi="Times"/>
          <w:bCs/>
          <w:lang w:val="en-US"/>
        </w:rPr>
        <w:t>, indicated in the preface</w:t>
      </w:r>
      <w:r w:rsidR="00A354AC" w:rsidRPr="000E50F1">
        <w:rPr>
          <w:rFonts w:ascii="Times" w:eastAsia="Calibri" w:hAnsi="Times"/>
          <w:bCs/>
          <w:lang w:val="en-US"/>
        </w:rPr>
        <w:t xml:space="preserve">) </w:t>
      </w:r>
      <w:r w:rsidRPr="000E50F1">
        <w:rPr>
          <w:rFonts w:ascii="Times" w:eastAsia="Calibri" w:hAnsi="Times"/>
          <w:bCs/>
          <w:lang w:val="en-US"/>
        </w:rPr>
        <w:t>to engage the Hamilton public in issues facing international students locally, these insights were not explicitly reflected in the publication of the</w:t>
      </w:r>
      <w:r w:rsidR="00A354AC" w:rsidRPr="000E50F1">
        <w:rPr>
          <w:rFonts w:ascii="Times" w:eastAsia="Calibri" w:hAnsi="Times"/>
          <w:bCs/>
          <w:lang w:val="en-US"/>
        </w:rPr>
        <w:t xml:space="preserve"> policy</w:t>
      </w:r>
      <w:r w:rsidRPr="000E50F1">
        <w:rPr>
          <w:rFonts w:ascii="Times" w:eastAsia="Calibri" w:hAnsi="Times"/>
          <w:bCs/>
          <w:lang w:val="en-US"/>
        </w:rPr>
        <w:t xml:space="preserve"> brief. </w:t>
      </w:r>
    </w:p>
    <w:p w14:paraId="196AD1B3" w14:textId="77777777" w:rsidR="00D1338A" w:rsidRPr="000E50F1" w:rsidRDefault="00D1338A" w:rsidP="006F6B24">
      <w:pPr>
        <w:rPr>
          <w:rFonts w:ascii="Times" w:eastAsia="Calibri" w:hAnsi="Times"/>
          <w:bCs/>
          <w:i/>
          <w:iCs/>
        </w:rPr>
      </w:pPr>
    </w:p>
    <w:p w14:paraId="15C5CF62" w14:textId="42979747" w:rsidR="006F6B24" w:rsidRPr="000E50F1" w:rsidRDefault="006F6B24" w:rsidP="006F6B24">
      <w:pPr>
        <w:rPr>
          <w:rFonts w:ascii="Times" w:eastAsia="Calibri" w:hAnsi="Times"/>
          <w:bCs/>
          <w:i/>
          <w:iCs/>
        </w:rPr>
      </w:pPr>
      <w:r w:rsidRPr="000E50F1">
        <w:rPr>
          <w:rFonts w:ascii="Times" w:eastAsia="Calibri" w:hAnsi="Times"/>
          <w:bCs/>
          <w:i/>
          <w:iCs/>
        </w:rPr>
        <w:lastRenderedPageBreak/>
        <w:t>Grow</w:t>
      </w:r>
      <w:r w:rsidR="001D1FAD" w:rsidRPr="000E50F1">
        <w:rPr>
          <w:rFonts w:ascii="Times" w:eastAsia="Calibri" w:hAnsi="Times"/>
          <w:bCs/>
          <w:i/>
          <w:iCs/>
        </w:rPr>
        <w:t>ing</w:t>
      </w:r>
      <w:r w:rsidRPr="000E50F1">
        <w:rPr>
          <w:rFonts w:ascii="Times" w:eastAsia="Calibri" w:hAnsi="Times"/>
          <w:bCs/>
          <w:i/>
          <w:iCs/>
        </w:rPr>
        <w:t xml:space="preserve"> with HIPC</w:t>
      </w:r>
    </w:p>
    <w:p w14:paraId="4B792CE0" w14:textId="574F6EEA" w:rsidR="001D1FAD" w:rsidRPr="000E50F1" w:rsidRDefault="006F6B24" w:rsidP="006F6B24">
      <w:pPr>
        <w:rPr>
          <w:rFonts w:ascii="Times" w:eastAsia="Calibri" w:hAnsi="Times"/>
          <w:bCs/>
        </w:rPr>
      </w:pPr>
      <w:r w:rsidRPr="000E50F1">
        <w:rPr>
          <w:rFonts w:ascii="Times" w:eastAsia="Calibri" w:hAnsi="Times"/>
          <w:bCs/>
        </w:rPr>
        <w:t>While the community-based research approach can add depth and richness to any research project, i</w:t>
      </w:r>
      <w:r w:rsidR="0064015D" w:rsidRPr="000E50F1">
        <w:rPr>
          <w:rFonts w:ascii="Times" w:eastAsia="Calibri" w:hAnsi="Times"/>
          <w:bCs/>
        </w:rPr>
        <w:t>t</w:t>
      </w:r>
      <w:r w:rsidRPr="000E50F1">
        <w:rPr>
          <w:rFonts w:ascii="Times" w:eastAsia="Calibri" w:hAnsi="Times"/>
          <w:bCs/>
        </w:rPr>
        <w:t xml:space="preserve"> has not been without its encountered challenges. To me, maintaining membership on HIPC has meant ‘showing up even when it is difficult’. My relationship with HIPC (the entity) has</w:t>
      </w:r>
      <w:r w:rsidR="0064015D" w:rsidRPr="000E50F1">
        <w:rPr>
          <w:rFonts w:ascii="Times" w:eastAsia="Calibri" w:hAnsi="Times"/>
          <w:bCs/>
        </w:rPr>
        <w:t xml:space="preserve"> t</w:t>
      </w:r>
      <w:r w:rsidRPr="000E50F1">
        <w:rPr>
          <w:rFonts w:ascii="Times" w:eastAsia="Calibri" w:hAnsi="Times"/>
          <w:bCs/>
        </w:rPr>
        <w:t>ested</w:t>
      </w:r>
      <w:r w:rsidR="0064015D" w:rsidRPr="000E50F1">
        <w:rPr>
          <w:rFonts w:ascii="Times" w:eastAsia="Calibri" w:hAnsi="Times"/>
          <w:bCs/>
        </w:rPr>
        <w:t xml:space="preserve"> me</w:t>
      </w:r>
      <w:r w:rsidRPr="000E50F1">
        <w:rPr>
          <w:rFonts w:ascii="Times" w:eastAsia="Calibri" w:hAnsi="Times"/>
          <w:bCs/>
        </w:rPr>
        <w:t xml:space="preserve"> as a researcher, and this testing has been part of my </w:t>
      </w:r>
      <w:r w:rsidR="00D3396E" w:rsidRPr="000E50F1">
        <w:rPr>
          <w:rFonts w:ascii="Times" w:eastAsia="Calibri" w:hAnsi="Times"/>
          <w:bCs/>
        </w:rPr>
        <w:t>learning, growth,</w:t>
      </w:r>
      <w:r w:rsidRPr="000E50F1">
        <w:rPr>
          <w:rFonts w:ascii="Times" w:eastAsia="Calibri" w:hAnsi="Times"/>
          <w:bCs/>
        </w:rPr>
        <w:t xml:space="preserve"> and confidence</w:t>
      </w:r>
      <w:r w:rsidR="00F655BF" w:rsidRPr="000E50F1">
        <w:rPr>
          <w:rFonts w:ascii="Times" w:eastAsia="Calibri" w:hAnsi="Times"/>
          <w:bCs/>
        </w:rPr>
        <w:t xml:space="preserve"> building</w:t>
      </w:r>
      <w:r w:rsidRPr="000E50F1">
        <w:rPr>
          <w:rFonts w:ascii="Times" w:eastAsia="Calibri" w:hAnsi="Times"/>
          <w:bCs/>
        </w:rPr>
        <w:t>. In years past, there ha</w:t>
      </w:r>
      <w:r w:rsidR="00A766A6" w:rsidRPr="000E50F1">
        <w:rPr>
          <w:rFonts w:ascii="Times" w:eastAsia="Calibri" w:hAnsi="Times"/>
          <w:bCs/>
        </w:rPr>
        <w:t>ve</w:t>
      </w:r>
      <w:r w:rsidRPr="000E50F1">
        <w:rPr>
          <w:rFonts w:ascii="Times" w:eastAsia="Calibri" w:hAnsi="Times"/>
          <w:bCs/>
        </w:rPr>
        <w:t xml:space="preserve"> been times when I</w:t>
      </w:r>
      <w:r w:rsidR="00F655BF" w:rsidRPr="000E50F1">
        <w:rPr>
          <w:rFonts w:ascii="Times" w:eastAsia="Calibri" w:hAnsi="Times"/>
          <w:bCs/>
        </w:rPr>
        <w:t xml:space="preserve"> was</w:t>
      </w:r>
      <w:r w:rsidRPr="000E50F1">
        <w:rPr>
          <w:rFonts w:ascii="Times" w:eastAsia="Calibri" w:hAnsi="Times"/>
          <w:bCs/>
        </w:rPr>
        <w:t xml:space="preserve"> excluded (i.e., uninvited to participate in the Health Working group because I was not a service provider) and challenged as a researcher (i.e., relabelled from ‘McMaster University’ to ‘Community Leader’ under HIPC’s revised term</w:t>
      </w:r>
      <w:r w:rsidR="00593DE3" w:rsidRPr="000E50F1">
        <w:rPr>
          <w:rFonts w:ascii="Times" w:eastAsia="Calibri" w:hAnsi="Times"/>
          <w:bCs/>
        </w:rPr>
        <w:t>s</w:t>
      </w:r>
      <w:r w:rsidRPr="000E50F1">
        <w:rPr>
          <w:rFonts w:ascii="Times" w:eastAsia="Calibri" w:hAnsi="Times"/>
          <w:bCs/>
        </w:rPr>
        <w:t xml:space="preserve"> of reference)</w:t>
      </w:r>
      <w:r w:rsidR="00F655BF" w:rsidRPr="000E50F1">
        <w:rPr>
          <w:rFonts w:ascii="Times" w:eastAsia="Calibri" w:hAnsi="Times"/>
          <w:bCs/>
        </w:rPr>
        <w:t>, and in</w:t>
      </w:r>
      <w:r w:rsidRPr="000E50F1">
        <w:rPr>
          <w:rFonts w:ascii="Times" w:eastAsia="Calibri" w:hAnsi="Times"/>
          <w:bCs/>
        </w:rPr>
        <w:t xml:space="preserve"> these moments, it was difficult to </w:t>
      </w:r>
      <w:r w:rsidR="005C29E8" w:rsidRPr="000E50F1">
        <w:rPr>
          <w:rFonts w:ascii="Times" w:eastAsia="Calibri" w:hAnsi="Times"/>
          <w:bCs/>
        </w:rPr>
        <w:t>stay connected</w:t>
      </w:r>
      <w:r w:rsidRPr="000E50F1">
        <w:rPr>
          <w:rFonts w:ascii="Times" w:eastAsia="Calibri" w:hAnsi="Times"/>
          <w:bCs/>
        </w:rPr>
        <w:t xml:space="preserve">. Community-based research and active participation </w:t>
      </w:r>
      <w:r w:rsidR="00A74AD7" w:rsidRPr="000E50F1">
        <w:rPr>
          <w:rFonts w:ascii="Times" w:eastAsia="Calibri" w:hAnsi="Times"/>
          <w:bCs/>
        </w:rPr>
        <w:t xml:space="preserve">can be </w:t>
      </w:r>
      <w:r w:rsidRPr="000E50F1">
        <w:rPr>
          <w:rFonts w:ascii="Times" w:eastAsia="Calibri" w:hAnsi="Times"/>
          <w:bCs/>
        </w:rPr>
        <w:t>hard</w:t>
      </w:r>
      <w:r w:rsidR="00A47443" w:rsidRPr="000E50F1">
        <w:rPr>
          <w:rFonts w:ascii="Times" w:eastAsia="Calibri" w:hAnsi="Times"/>
          <w:bCs/>
        </w:rPr>
        <w:t>,</w:t>
      </w:r>
      <w:r w:rsidRPr="000E50F1">
        <w:rPr>
          <w:rFonts w:ascii="Times" w:eastAsia="Calibri" w:hAnsi="Times"/>
          <w:bCs/>
        </w:rPr>
        <w:t xml:space="preserve"> particularly under the structures that influence </w:t>
      </w:r>
      <w:r w:rsidR="00A74AD7" w:rsidRPr="000E50F1">
        <w:rPr>
          <w:rFonts w:ascii="Times" w:eastAsia="Calibri" w:hAnsi="Times"/>
          <w:bCs/>
        </w:rPr>
        <w:t xml:space="preserve">one’s </w:t>
      </w:r>
      <w:r w:rsidRPr="000E50F1">
        <w:rPr>
          <w:rFonts w:ascii="Times" w:eastAsia="Calibri" w:hAnsi="Times"/>
          <w:bCs/>
        </w:rPr>
        <w:t>action when people gather to meet and collaborate. Prior to the research on Syrian newcomers, I was living out the realities, complexit</w:t>
      </w:r>
      <w:r w:rsidR="006D17DC">
        <w:rPr>
          <w:rFonts w:ascii="Times" w:eastAsia="Calibri" w:hAnsi="Times"/>
          <w:bCs/>
        </w:rPr>
        <w:t>ies</w:t>
      </w:r>
      <w:r w:rsidRPr="000E50F1">
        <w:rPr>
          <w:rFonts w:ascii="Times" w:eastAsia="Calibri" w:hAnsi="Times"/>
          <w:bCs/>
        </w:rPr>
        <w:t xml:space="preserve">, and challenges of a place-based approach with HIPC on the ground. </w:t>
      </w:r>
      <w:r w:rsidR="00A74AD7" w:rsidRPr="000E50F1">
        <w:rPr>
          <w:rFonts w:ascii="Times" w:eastAsia="Calibri" w:hAnsi="Times"/>
          <w:bCs/>
        </w:rPr>
        <w:t>I believe that the</w:t>
      </w:r>
      <w:r w:rsidRPr="000E50F1">
        <w:rPr>
          <w:rFonts w:ascii="Times" w:eastAsia="Calibri" w:hAnsi="Times"/>
          <w:bCs/>
        </w:rPr>
        <w:t xml:space="preserve"> </w:t>
      </w:r>
      <w:r w:rsidR="006D17DC">
        <w:rPr>
          <w:rFonts w:ascii="Times" w:eastAsia="Calibri" w:hAnsi="Times"/>
          <w:bCs/>
        </w:rPr>
        <w:t xml:space="preserve">efforts and </w:t>
      </w:r>
      <w:r w:rsidRPr="000E50F1">
        <w:rPr>
          <w:rFonts w:ascii="Times" w:eastAsia="Calibri" w:hAnsi="Times"/>
          <w:bCs/>
        </w:rPr>
        <w:t>years</w:t>
      </w:r>
      <w:r w:rsidR="00E95C3D">
        <w:rPr>
          <w:rFonts w:ascii="Times" w:eastAsia="Calibri" w:hAnsi="Times"/>
          <w:bCs/>
        </w:rPr>
        <w:t xml:space="preserve"> </w:t>
      </w:r>
      <w:r w:rsidR="00A74AD7" w:rsidRPr="000E50F1">
        <w:rPr>
          <w:rFonts w:ascii="Times" w:eastAsia="Calibri" w:hAnsi="Times"/>
          <w:bCs/>
        </w:rPr>
        <w:t xml:space="preserve">spent </w:t>
      </w:r>
      <w:r w:rsidR="00E95C3D">
        <w:rPr>
          <w:rFonts w:ascii="Times" w:eastAsia="Calibri" w:hAnsi="Times"/>
          <w:bCs/>
        </w:rPr>
        <w:t xml:space="preserve">in the community and </w:t>
      </w:r>
      <w:r w:rsidR="00A74AD7" w:rsidRPr="000E50F1">
        <w:rPr>
          <w:rFonts w:ascii="Times" w:eastAsia="Calibri" w:hAnsi="Times"/>
          <w:bCs/>
        </w:rPr>
        <w:t xml:space="preserve">at </w:t>
      </w:r>
      <w:r w:rsidR="00A766A6" w:rsidRPr="000E50F1">
        <w:rPr>
          <w:rFonts w:ascii="Times" w:eastAsia="Calibri" w:hAnsi="Times"/>
          <w:bCs/>
        </w:rPr>
        <w:t>the</w:t>
      </w:r>
      <w:r w:rsidR="00E95C3D">
        <w:rPr>
          <w:rFonts w:ascii="Times" w:eastAsia="Calibri" w:hAnsi="Times"/>
          <w:bCs/>
        </w:rPr>
        <w:t xml:space="preserve"> HIPC</w:t>
      </w:r>
      <w:r w:rsidR="00A766A6" w:rsidRPr="000E50F1">
        <w:rPr>
          <w:rFonts w:ascii="Times" w:eastAsia="Calibri" w:hAnsi="Times"/>
          <w:bCs/>
        </w:rPr>
        <w:t xml:space="preserve"> </w:t>
      </w:r>
      <w:r w:rsidRPr="000E50F1">
        <w:rPr>
          <w:rFonts w:ascii="Times" w:eastAsia="Calibri" w:hAnsi="Times"/>
          <w:bCs/>
        </w:rPr>
        <w:t>table</w:t>
      </w:r>
      <w:r w:rsidR="00A74AD7" w:rsidRPr="000E50F1">
        <w:rPr>
          <w:rFonts w:ascii="Times" w:eastAsia="Calibri" w:hAnsi="Times"/>
          <w:bCs/>
        </w:rPr>
        <w:t xml:space="preserve"> helped to </w:t>
      </w:r>
      <w:r w:rsidR="00C71D9C">
        <w:rPr>
          <w:rFonts w:ascii="Times" w:eastAsia="Calibri" w:hAnsi="Times"/>
          <w:bCs/>
        </w:rPr>
        <w:t>build</w:t>
      </w:r>
      <w:r w:rsidR="00A74AD7" w:rsidRPr="000E50F1">
        <w:rPr>
          <w:rFonts w:ascii="Times" w:eastAsia="Calibri" w:hAnsi="Times"/>
          <w:bCs/>
        </w:rPr>
        <w:t xml:space="preserve"> my credibility</w:t>
      </w:r>
      <w:r w:rsidR="00F655BF" w:rsidRPr="000E50F1">
        <w:rPr>
          <w:rFonts w:ascii="Times" w:eastAsia="Calibri" w:hAnsi="Times"/>
          <w:bCs/>
        </w:rPr>
        <w:t xml:space="preserve"> </w:t>
      </w:r>
      <w:r w:rsidR="005C29E8" w:rsidRPr="000E50F1">
        <w:rPr>
          <w:rFonts w:ascii="Times" w:eastAsia="Calibri" w:hAnsi="Times"/>
          <w:bCs/>
        </w:rPr>
        <w:t>as a researcher</w:t>
      </w:r>
      <w:r w:rsidR="00C71D9C">
        <w:rPr>
          <w:rFonts w:ascii="Times" w:eastAsia="Calibri" w:hAnsi="Times"/>
          <w:bCs/>
        </w:rPr>
        <w:t xml:space="preserve">. However, it was </w:t>
      </w:r>
      <w:r w:rsidR="00E95C3D">
        <w:rPr>
          <w:rFonts w:ascii="Times" w:eastAsia="Calibri" w:hAnsi="Times"/>
          <w:bCs/>
        </w:rPr>
        <w:t>the invitation</w:t>
      </w:r>
      <w:r w:rsidR="00F655BF" w:rsidRPr="000E50F1">
        <w:rPr>
          <w:rFonts w:ascii="Times" w:eastAsia="Calibri" w:hAnsi="Times"/>
          <w:bCs/>
        </w:rPr>
        <w:t xml:space="preserve"> to the </w:t>
      </w:r>
      <w:r w:rsidR="00A766A6" w:rsidRPr="000E50F1">
        <w:rPr>
          <w:rFonts w:ascii="Times" w:eastAsia="Calibri" w:hAnsi="Times"/>
          <w:bCs/>
        </w:rPr>
        <w:t xml:space="preserve">SRRI research </w:t>
      </w:r>
      <w:r w:rsidR="00F655BF" w:rsidRPr="000E50F1">
        <w:rPr>
          <w:rFonts w:ascii="Times" w:eastAsia="Calibri" w:hAnsi="Times"/>
          <w:bCs/>
        </w:rPr>
        <w:t>by</w:t>
      </w:r>
      <w:r w:rsidR="00F20F65" w:rsidRPr="000E50F1">
        <w:rPr>
          <w:rFonts w:ascii="Times" w:eastAsia="Calibri" w:hAnsi="Times"/>
          <w:bCs/>
        </w:rPr>
        <w:t xml:space="preserve"> </w:t>
      </w:r>
      <w:r w:rsidR="00FF51A9" w:rsidRPr="000E50F1">
        <w:rPr>
          <w:rFonts w:ascii="Times" w:eastAsia="Calibri" w:hAnsi="Times"/>
          <w:bCs/>
        </w:rPr>
        <w:t>geographers</w:t>
      </w:r>
      <w:r w:rsidR="00F20F65" w:rsidRPr="000E50F1">
        <w:rPr>
          <w:rFonts w:ascii="Times" w:eastAsia="Calibri" w:hAnsi="Times"/>
          <w:bCs/>
        </w:rPr>
        <w:t xml:space="preserve"> </w:t>
      </w:r>
      <w:r w:rsidR="00A766A6" w:rsidRPr="000E50F1">
        <w:rPr>
          <w:rFonts w:ascii="Times" w:eastAsia="Calibri" w:hAnsi="Times"/>
          <w:bCs/>
        </w:rPr>
        <w:t xml:space="preserve">from </w:t>
      </w:r>
      <w:r w:rsidR="005C29E8" w:rsidRPr="000E50F1">
        <w:rPr>
          <w:rFonts w:ascii="Times" w:eastAsia="Calibri" w:hAnsi="Times"/>
          <w:bCs/>
        </w:rPr>
        <w:t>outside of Hamilton</w:t>
      </w:r>
      <w:r w:rsidR="00E95C3D">
        <w:rPr>
          <w:rFonts w:ascii="Times" w:eastAsia="Calibri" w:hAnsi="Times"/>
          <w:bCs/>
        </w:rPr>
        <w:t xml:space="preserve"> </w:t>
      </w:r>
      <w:r w:rsidR="00C71D9C">
        <w:rPr>
          <w:rFonts w:ascii="Times" w:eastAsia="Calibri" w:hAnsi="Times"/>
          <w:bCs/>
        </w:rPr>
        <w:t xml:space="preserve">that </w:t>
      </w:r>
      <w:r w:rsidR="005C29E8" w:rsidRPr="000E50F1">
        <w:rPr>
          <w:rFonts w:ascii="Times" w:eastAsia="Calibri" w:hAnsi="Times"/>
          <w:bCs/>
        </w:rPr>
        <w:t xml:space="preserve">gave me the opportunity to function and be regarded </w:t>
      </w:r>
      <w:r w:rsidR="00E95C3D">
        <w:rPr>
          <w:rFonts w:ascii="Times" w:eastAsia="Calibri" w:hAnsi="Times"/>
          <w:bCs/>
        </w:rPr>
        <w:t xml:space="preserve">as </w:t>
      </w:r>
      <w:r w:rsidR="00C71D9C">
        <w:rPr>
          <w:rFonts w:ascii="Times" w:eastAsia="Calibri" w:hAnsi="Times"/>
          <w:bCs/>
        </w:rPr>
        <w:t>a credible researcher to the community</w:t>
      </w:r>
      <w:r w:rsidR="005C29E8" w:rsidRPr="000E50F1">
        <w:rPr>
          <w:rFonts w:ascii="Times" w:eastAsia="Calibri" w:hAnsi="Times"/>
          <w:bCs/>
        </w:rPr>
        <w:t xml:space="preserve">. </w:t>
      </w:r>
      <w:r w:rsidRPr="000E50F1">
        <w:rPr>
          <w:rFonts w:ascii="Times" w:eastAsia="Calibri" w:hAnsi="Times"/>
          <w:bCs/>
        </w:rPr>
        <w:t xml:space="preserve">I cannot say with certainty </w:t>
      </w:r>
      <w:r w:rsidR="00A74AD7" w:rsidRPr="000E50F1">
        <w:rPr>
          <w:rFonts w:ascii="Times" w:eastAsia="Calibri" w:hAnsi="Times"/>
          <w:bCs/>
        </w:rPr>
        <w:t xml:space="preserve">that </w:t>
      </w:r>
      <w:r w:rsidR="00F20F65" w:rsidRPr="000E50F1">
        <w:rPr>
          <w:rFonts w:ascii="Times" w:eastAsia="Calibri" w:hAnsi="Times"/>
          <w:bCs/>
        </w:rPr>
        <w:t>the interviews</w:t>
      </w:r>
      <w:r w:rsidR="00A74AD7" w:rsidRPr="000E50F1">
        <w:rPr>
          <w:rFonts w:ascii="Times" w:eastAsia="Calibri" w:hAnsi="Times"/>
          <w:bCs/>
        </w:rPr>
        <w:t xml:space="preserve"> </w:t>
      </w:r>
      <w:r w:rsidR="00F20F65" w:rsidRPr="000E50F1">
        <w:rPr>
          <w:rFonts w:ascii="Times" w:eastAsia="Calibri" w:hAnsi="Times"/>
          <w:bCs/>
        </w:rPr>
        <w:t>resulted from</w:t>
      </w:r>
      <w:r w:rsidR="00A74AD7" w:rsidRPr="000E50F1">
        <w:rPr>
          <w:rFonts w:ascii="Times" w:eastAsia="Calibri" w:hAnsi="Times"/>
          <w:bCs/>
        </w:rPr>
        <w:t xml:space="preserve"> </w:t>
      </w:r>
      <w:r w:rsidRPr="000E50F1">
        <w:rPr>
          <w:rFonts w:ascii="Times" w:eastAsia="Calibri" w:hAnsi="Times"/>
          <w:bCs/>
        </w:rPr>
        <w:t xml:space="preserve">cultivated relationships </w:t>
      </w:r>
      <w:r w:rsidR="00A74AD7" w:rsidRPr="000E50F1">
        <w:rPr>
          <w:rFonts w:ascii="Times" w:eastAsia="Calibri" w:hAnsi="Times"/>
          <w:bCs/>
        </w:rPr>
        <w:t xml:space="preserve">between myself and </w:t>
      </w:r>
      <w:r w:rsidRPr="000E50F1">
        <w:rPr>
          <w:rFonts w:ascii="Times" w:eastAsia="Calibri" w:hAnsi="Times"/>
          <w:bCs/>
        </w:rPr>
        <w:t xml:space="preserve">members of HIPC </w:t>
      </w:r>
      <w:r w:rsidR="00A74AD7" w:rsidRPr="000E50F1">
        <w:rPr>
          <w:rFonts w:ascii="Times" w:eastAsia="Calibri" w:hAnsi="Times"/>
          <w:bCs/>
        </w:rPr>
        <w:t xml:space="preserve">(because </w:t>
      </w:r>
      <w:r w:rsidRPr="000E50F1">
        <w:rPr>
          <w:rFonts w:ascii="Times" w:eastAsia="Calibri" w:hAnsi="Times"/>
          <w:bCs/>
        </w:rPr>
        <w:t xml:space="preserve">I </w:t>
      </w:r>
      <w:r w:rsidR="00A74AD7" w:rsidRPr="000E50F1">
        <w:rPr>
          <w:rFonts w:ascii="Times" w:eastAsia="Calibri" w:hAnsi="Times"/>
          <w:bCs/>
        </w:rPr>
        <w:t>rarely had</w:t>
      </w:r>
      <w:r w:rsidRPr="000E50F1">
        <w:rPr>
          <w:rFonts w:ascii="Times" w:eastAsia="Calibri" w:hAnsi="Times"/>
          <w:bCs/>
        </w:rPr>
        <w:t xml:space="preserve"> </w:t>
      </w:r>
      <w:r w:rsidR="00A47443" w:rsidRPr="000E50F1">
        <w:rPr>
          <w:rFonts w:ascii="Times" w:eastAsia="Calibri" w:hAnsi="Times"/>
          <w:bCs/>
        </w:rPr>
        <w:t>one-on-one</w:t>
      </w:r>
      <w:r w:rsidRPr="000E50F1">
        <w:rPr>
          <w:rFonts w:ascii="Times" w:eastAsia="Calibri" w:hAnsi="Times"/>
          <w:bCs/>
        </w:rPr>
        <w:t xml:space="preserve"> conversation</w:t>
      </w:r>
      <w:r w:rsidR="00F20F65" w:rsidRPr="000E50F1">
        <w:rPr>
          <w:rFonts w:ascii="Times" w:eastAsia="Calibri" w:hAnsi="Times"/>
          <w:bCs/>
        </w:rPr>
        <w:t>s</w:t>
      </w:r>
      <w:r w:rsidRPr="000E50F1">
        <w:rPr>
          <w:rFonts w:ascii="Times" w:eastAsia="Calibri" w:hAnsi="Times"/>
          <w:bCs/>
        </w:rPr>
        <w:t xml:space="preserve"> with</w:t>
      </w:r>
      <w:r w:rsidR="00A74AD7" w:rsidRPr="000E50F1">
        <w:rPr>
          <w:rFonts w:ascii="Times" w:eastAsia="Calibri" w:hAnsi="Times"/>
          <w:bCs/>
        </w:rPr>
        <w:t xml:space="preserve"> many of them) </w:t>
      </w:r>
      <w:r w:rsidRPr="000E50F1">
        <w:rPr>
          <w:rFonts w:ascii="Times" w:eastAsia="Calibri" w:hAnsi="Times"/>
          <w:bCs/>
        </w:rPr>
        <w:t xml:space="preserve">but I am </w:t>
      </w:r>
      <w:r w:rsidR="00593DE3" w:rsidRPr="000E50F1">
        <w:rPr>
          <w:rFonts w:ascii="Times" w:eastAsia="Calibri" w:hAnsi="Times"/>
          <w:bCs/>
        </w:rPr>
        <w:t xml:space="preserve">more </w:t>
      </w:r>
      <w:r w:rsidRPr="000E50F1">
        <w:rPr>
          <w:rFonts w:ascii="Times" w:eastAsia="Calibri" w:hAnsi="Times"/>
          <w:bCs/>
        </w:rPr>
        <w:t xml:space="preserve">confident that </w:t>
      </w:r>
      <w:r w:rsidR="00A74AD7" w:rsidRPr="000E50F1">
        <w:rPr>
          <w:rFonts w:ascii="Times" w:eastAsia="Calibri" w:hAnsi="Times"/>
          <w:bCs/>
        </w:rPr>
        <w:t>HIPC members and non</w:t>
      </w:r>
      <w:r w:rsidR="00A47443" w:rsidRPr="000E50F1">
        <w:rPr>
          <w:rFonts w:ascii="Times" w:eastAsia="Calibri" w:hAnsi="Times"/>
          <w:bCs/>
        </w:rPr>
        <w:t>-</w:t>
      </w:r>
      <w:r w:rsidR="00A74AD7" w:rsidRPr="000E50F1">
        <w:rPr>
          <w:rFonts w:ascii="Times" w:eastAsia="Calibri" w:hAnsi="Times"/>
          <w:bCs/>
        </w:rPr>
        <w:t xml:space="preserve">HIPC members </w:t>
      </w:r>
      <w:r w:rsidR="00F20F65" w:rsidRPr="000E50F1">
        <w:rPr>
          <w:rFonts w:ascii="Times" w:eastAsia="Calibri" w:hAnsi="Times"/>
          <w:bCs/>
        </w:rPr>
        <w:t>alike</w:t>
      </w:r>
      <w:r w:rsidR="00A74AD7" w:rsidRPr="000E50F1">
        <w:rPr>
          <w:rFonts w:ascii="Times" w:eastAsia="Calibri" w:hAnsi="Times"/>
          <w:bCs/>
        </w:rPr>
        <w:t xml:space="preserve"> </w:t>
      </w:r>
      <w:r w:rsidRPr="000E50F1">
        <w:rPr>
          <w:rFonts w:ascii="Times" w:eastAsia="Calibri" w:hAnsi="Times"/>
          <w:bCs/>
        </w:rPr>
        <w:t>recognized</w:t>
      </w:r>
      <w:r w:rsidR="0064015D" w:rsidRPr="000E50F1">
        <w:rPr>
          <w:rFonts w:ascii="Times" w:eastAsia="Calibri" w:hAnsi="Times"/>
          <w:bCs/>
        </w:rPr>
        <w:t xml:space="preserve"> me</w:t>
      </w:r>
      <w:r w:rsidRPr="000E50F1">
        <w:rPr>
          <w:rFonts w:ascii="Times" w:eastAsia="Calibri" w:hAnsi="Times"/>
          <w:bCs/>
        </w:rPr>
        <w:t xml:space="preserve"> as someone who continue</w:t>
      </w:r>
      <w:r w:rsidR="00A47443" w:rsidRPr="000E50F1">
        <w:rPr>
          <w:rFonts w:ascii="Times" w:eastAsia="Calibri" w:hAnsi="Times"/>
          <w:bCs/>
        </w:rPr>
        <w:t>d</w:t>
      </w:r>
      <w:r w:rsidRPr="000E50F1">
        <w:rPr>
          <w:rFonts w:ascii="Times" w:eastAsia="Calibri" w:hAnsi="Times"/>
          <w:bCs/>
        </w:rPr>
        <w:t xml:space="preserve"> to show up. </w:t>
      </w:r>
      <w:r w:rsidR="00792BED" w:rsidRPr="000E50F1">
        <w:rPr>
          <w:rFonts w:ascii="Times" w:eastAsia="Calibri" w:hAnsi="Times"/>
          <w:bCs/>
        </w:rPr>
        <w:t>The LIP research project was the first opportunity</w:t>
      </w:r>
      <w:r w:rsidR="0064015D" w:rsidRPr="000E50F1">
        <w:rPr>
          <w:rFonts w:ascii="Times" w:eastAsia="Calibri" w:hAnsi="Times"/>
          <w:bCs/>
        </w:rPr>
        <w:t xml:space="preserve"> </w:t>
      </w:r>
      <w:r w:rsidR="00792BED" w:rsidRPr="000E50F1">
        <w:rPr>
          <w:rFonts w:ascii="Times" w:eastAsia="Calibri" w:hAnsi="Times"/>
          <w:bCs/>
        </w:rPr>
        <w:t xml:space="preserve">for me to engage key stakeholders in the </w:t>
      </w:r>
      <w:r w:rsidR="00F20F65" w:rsidRPr="000E50F1">
        <w:rPr>
          <w:rFonts w:ascii="Times" w:eastAsia="Calibri" w:hAnsi="Times"/>
          <w:bCs/>
        </w:rPr>
        <w:t xml:space="preserve">formal </w:t>
      </w:r>
      <w:r w:rsidR="00792BED" w:rsidRPr="000E50F1">
        <w:rPr>
          <w:rFonts w:ascii="Times" w:eastAsia="Calibri" w:hAnsi="Times"/>
          <w:bCs/>
        </w:rPr>
        <w:t>discussion of the LIP’s identity and role, a conversation that had been difficult to openly discuss given the history of settlement and its connection to SISO a decade ago. Towards the end of the project, Dr</w:t>
      </w:r>
      <w:r w:rsidR="00593DE3" w:rsidRPr="000E50F1">
        <w:rPr>
          <w:rFonts w:ascii="Times" w:eastAsia="Calibri" w:hAnsi="Times"/>
          <w:bCs/>
        </w:rPr>
        <w:t>.</w:t>
      </w:r>
      <w:r w:rsidR="00792BED" w:rsidRPr="000E50F1">
        <w:rPr>
          <w:rFonts w:ascii="Times" w:eastAsia="Calibri" w:hAnsi="Times"/>
          <w:bCs/>
        </w:rPr>
        <w:t xml:space="preserve"> Walton-Robert</w:t>
      </w:r>
      <w:r w:rsidR="00593DE3" w:rsidRPr="000E50F1">
        <w:rPr>
          <w:rFonts w:ascii="Times" w:eastAsia="Calibri" w:hAnsi="Times"/>
          <w:bCs/>
        </w:rPr>
        <w:t>s</w:t>
      </w:r>
      <w:r w:rsidR="00792BED" w:rsidRPr="000E50F1">
        <w:rPr>
          <w:rFonts w:ascii="Times" w:eastAsia="Calibri" w:hAnsi="Times"/>
          <w:bCs/>
        </w:rPr>
        <w:t xml:space="preserve"> came to Hamilton for a community feedback session with those who participated in the research</w:t>
      </w:r>
      <w:r w:rsidR="008F1477" w:rsidRPr="000E50F1">
        <w:rPr>
          <w:rFonts w:ascii="Times" w:eastAsia="Calibri" w:hAnsi="Times"/>
          <w:bCs/>
        </w:rPr>
        <w:t>, and one of</w:t>
      </w:r>
      <w:r w:rsidR="00792BED" w:rsidRPr="000E50F1">
        <w:rPr>
          <w:rFonts w:ascii="Times" w:eastAsia="Calibri" w:hAnsi="Times"/>
          <w:bCs/>
        </w:rPr>
        <w:t xml:space="preserve"> the </w:t>
      </w:r>
      <w:r w:rsidR="00F63314" w:rsidRPr="000E50F1">
        <w:rPr>
          <w:rFonts w:ascii="Times" w:eastAsia="Calibri" w:hAnsi="Times"/>
          <w:bCs/>
        </w:rPr>
        <w:t>participants</w:t>
      </w:r>
      <w:r w:rsidR="00792BED" w:rsidRPr="000E50F1">
        <w:rPr>
          <w:rFonts w:ascii="Times" w:eastAsia="Calibri" w:hAnsi="Times"/>
          <w:bCs/>
        </w:rPr>
        <w:t xml:space="preserve"> commented </w:t>
      </w:r>
      <w:r w:rsidR="00F63314" w:rsidRPr="000E50F1">
        <w:rPr>
          <w:rFonts w:ascii="Times" w:eastAsia="Calibri" w:hAnsi="Times"/>
          <w:bCs/>
        </w:rPr>
        <w:t xml:space="preserve">on the value of the research and </w:t>
      </w:r>
      <w:r w:rsidR="00792BED" w:rsidRPr="000E50F1">
        <w:rPr>
          <w:rFonts w:ascii="Times" w:eastAsia="Calibri" w:hAnsi="Times"/>
          <w:bCs/>
        </w:rPr>
        <w:t>how it felt good to openly discuss the</w:t>
      </w:r>
      <w:r w:rsidR="00F20F65" w:rsidRPr="000E50F1">
        <w:rPr>
          <w:rFonts w:ascii="Times" w:eastAsia="Calibri" w:hAnsi="Times"/>
          <w:bCs/>
        </w:rPr>
        <w:t>se</w:t>
      </w:r>
      <w:r w:rsidR="00792BED" w:rsidRPr="000E50F1">
        <w:rPr>
          <w:rFonts w:ascii="Times" w:eastAsia="Calibri" w:hAnsi="Times"/>
          <w:bCs/>
        </w:rPr>
        <w:t xml:space="preserve"> challenges</w:t>
      </w:r>
      <w:r w:rsidR="008F1477" w:rsidRPr="000E50F1">
        <w:rPr>
          <w:rFonts w:ascii="Times" w:eastAsia="Calibri" w:hAnsi="Times"/>
          <w:bCs/>
        </w:rPr>
        <w:t xml:space="preserve"> under</w:t>
      </w:r>
      <w:r w:rsidR="00593DE3" w:rsidRPr="000E50F1">
        <w:rPr>
          <w:rFonts w:ascii="Times" w:eastAsia="Calibri" w:hAnsi="Times"/>
          <w:bCs/>
        </w:rPr>
        <w:t xml:space="preserve"> the</w:t>
      </w:r>
      <w:r w:rsidR="008F1477" w:rsidRPr="000E50F1">
        <w:rPr>
          <w:rFonts w:ascii="Times" w:eastAsia="Calibri" w:hAnsi="Times"/>
          <w:bCs/>
        </w:rPr>
        <w:t xml:space="preserve"> SRRI</w:t>
      </w:r>
      <w:r w:rsidR="00792BED" w:rsidRPr="000E50F1">
        <w:rPr>
          <w:rFonts w:ascii="Times" w:eastAsia="Calibri" w:hAnsi="Times"/>
          <w:bCs/>
        </w:rPr>
        <w:t>.</w:t>
      </w:r>
      <w:r w:rsidR="00F63314" w:rsidRPr="000E50F1">
        <w:rPr>
          <w:rFonts w:ascii="Times" w:eastAsia="Calibri" w:hAnsi="Times"/>
          <w:bCs/>
        </w:rPr>
        <w:t xml:space="preserve"> For me, this was a personal victory</w:t>
      </w:r>
      <w:r w:rsidR="008F1477" w:rsidRPr="000E50F1">
        <w:rPr>
          <w:rFonts w:ascii="Times" w:eastAsia="Calibri" w:hAnsi="Times"/>
          <w:bCs/>
        </w:rPr>
        <w:t xml:space="preserve"> </w:t>
      </w:r>
      <w:r w:rsidR="00F655BF" w:rsidRPr="000E50F1">
        <w:rPr>
          <w:rFonts w:ascii="Times" w:eastAsia="Calibri" w:hAnsi="Times"/>
          <w:bCs/>
        </w:rPr>
        <w:t>because</w:t>
      </w:r>
      <w:r w:rsidR="008F1477" w:rsidRPr="000E50F1">
        <w:rPr>
          <w:rFonts w:ascii="Times" w:eastAsia="Calibri" w:hAnsi="Times"/>
          <w:bCs/>
        </w:rPr>
        <w:t xml:space="preserve"> </w:t>
      </w:r>
      <w:r w:rsidR="00593DE3" w:rsidRPr="000E50F1">
        <w:rPr>
          <w:rFonts w:ascii="Times" w:eastAsia="Calibri" w:hAnsi="Times"/>
          <w:bCs/>
        </w:rPr>
        <w:t xml:space="preserve">it </w:t>
      </w:r>
      <w:r w:rsidR="00C71D9C">
        <w:rPr>
          <w:rFonts w:ascii="Times" w:eastAsia="Calibri" w:hAnsi="Times"/>
          <w:bCs/>
        </w:rPr>
        <w:t>illustrated</w:t>
      </w:r>
      <w:r w:rsidR="00593DE3" w:rsidRPr="000E50F1">
        <w:rPr>
          <w:rFonts w:ascii="Times" w:eastAsia="Calibri" w:hAnsi="Times"/>
          <w:bCs/>
        </w:rPr>
        <w:t xml:space="preserve"> the </w:t>
      </w:r>
      <w:r w:rsidR="006D17DC">
        <w:rPr>
          <w:rFonts w:ascii="Times" w:eastAsia="Calibri" w:hAnsi="Times"/>
          <w:bCs/>
        </w:rPr>
        <w:t>value</w:t>
      </w:r>
      <w:r w:rsidR="00593DE3" w:rsidRPr="000E50F1">
        <w:rPr>
          <w:rFonts w:ascii="Times" w:eastAsia="Calibri" w:hAnsi="Times"/>
          <w:bCs/>
        </w:rPr>
        <w:t xml:space="preserve"> of research to </w:t>
      </w:r>
      <w:r w:rsidR="00F63314" w:rsidRPr="000E50F1">
        <w:rPr>
          <w:rFonts w:ascii="Times" w:eastAsia="Calibri" w:hAnsi="Times"/>
          <w:bCs/>
        </w:rPr>
        <w:t xml:space="preserve">voice </w:t>
      </w:r>
      <w:r w:rsidR="008F1477" w:rsidRPr="000E50F1">
        <w:rPr>
          <w:rFonts w:ascii="Times" w:eastAsia="Calibri" w:hAnsi="Times"/>
          <w:bCs/>
        </w:rPr>
        <w:t>th</w:t>
      </w:r>
      <w:r w:rsidR="00593DE3" w:rsidRPr="000E50F1">
        <w:rPr>
          <w:rFonts w:ascii="Times" w:eastAsia="Calibri" w:hAnsi="Times"/>
          <w:bCs/>
        </w:rPr>
        <w:t>e impact of n</w:t>
      </w:r>
      <w:r w:rsidR="00593DE3" w:rsidRPr="000E50F1">
        <w:rPr>
          <w:rFonts w:ascii="Times" w:hAnsi="Times"/>
        </w:rPr>
        <w:t xml:space="preserve">eoliberalizing </w:t>
      </w:r>
      <w:r w:rsidR="00593DE3" w:rsidRPr="000E50F1">
        <w:rPr>
          <w:rFonts w:ascii="Times" w:eastAsia="Calibri" w:hAnsi="Times"/>
          <w:bCs/>
        </w:rPr>
        <w:t xml:space="preserve">pressures </w:t>
      </w:r>
      <w:r w:rsidR="00F20F65" w:rsidRPr="000E50F1">
        <w:rPr>
          <w:rFonts w:ascii="Times" w:eastAsia="Calibri" w:hAnsi="Times"/>
          <w:bCs/>
        </w:rPr>
        <w:t>experienced by the LIPs in years leading to and</w:t>
      </w:r>
      <w:r w:rsidR="00F63314" w:rsidRPr="000E50F1">
        <w:rPr>
          <w:rFonts w:ascii="Times" w:eastAsia="Calibri" w:hAnsi="Times"/>
          <w:bCs/>
        </w:rPr>
        <w:t xml:space="preserve"> during the SRRI. </w:t>
      </w:r>
      <w:r w:rsidRPr="000E50F1">
        <w:rPr>
          <w:rFonts w:ascii="Times" w:eastAsia="Calibri" w:hAnsi="Times"/>
          <w:bCs/>
        </w:rPr>
        <w:t>HIPC since SRRI ha</w:t>
      </w:r>
      <w:r w:rsidR="008F1477" w:rsidRPr="000E50F1">
        <w:rPr>
          <w:rFonts w:ascii="Times" w:eastAsia="Calibri" w:hAnsi="Times"/>
          <w:bCs/>
        </w:rPr>
        <w:t>ve</w:t>
      </w:r>
      <w:r w:rsidRPr="000E50F1">
        <w:rPr>
          <w:rFonts w:ascii="Times" w:eastAsia="Calibri" w:hAnsi="Times"/>
          <w:bCs/>
        </w:rPr>
        <w:t xml:space="preserve"> </w:t>
      </w:r>
      <w:r w:rsidR="008F1477" w:rsidRPr="000E50F1">
        <w:rPr>
          <w:rFonts w:ascii="Times" w:eastAsia="Calibri" w:hAnsi="Times"/>
          <w:bCs/>
        </w:rPr>
        <w:t xml:space="preserve">shifted, </w:t>
      </w:r>
      <w:r w:rsidR="001D1FAD" w:rsidRPr="000E50F1">
        <w:rPr>
          <w:rFonts w:ascii="Times" w:eastAsia="Calibri" w:hAnsi="Times"/>
          <w:bCs/>
        </w:rPr>
        <w:t xml:space="preserve">and </w:t>
      </w:r>
      <w:r w:rsidRPr="000E50F1">
        <w:rPr>
          <w:rFonts w:ascii="Times" w:eastAsia="Calibri" w:hAnsi="Times"/>
          <w:bCs/>
        </w:rPr>
        <w:t>so too ha</w:t>
      </w:r>
      <w:r w:rsidR="008F1477" w:rsidRPr="000E50F1">
        <w:rPr>
          <w:rFonts w:ascii="Times" w:eastAsia="Calibri" w:hAnsi="Times"/>
          <w:bCs/>
        </w:rPr>
        <w:t>ve</w:t>
      </w:r>
      <w:r w:rsidRPr="000E50F1">
        <w:rPr>
          <w:rFonts w:ascii="Times" w:eastAsia="Calibri" w:hAnsi="Times"/>
          <w:bCs/>
        </w:rPr>
        <w:t xml:space="preserve"> IRCC polices, which </w:t>
      </w:r>
      <w:r w:rsidR="008F1477" w:rsidRPr="000E50F1">
        <w:rPr>
          <w:rFonts w:ascii="Times" w:eastAsia="Calibri" w:hAnsi="Times"/>
          <w:bCs/>
        </w:rPr>
        <w:t xml:space="preserve">now </w:t>
      </w:r>
      <w:r w:rsidRPr="000E50F1">
        <w:rPr>
          <w:rFonts w:ascii="Times" w:eastAsia="Calibri" w:hAnsi="Times"/>
          <w:bCs/>
        </w:rPr>
        <w:t>allow</w:t>
      </w:r>
      <w:r w:rsidR="008F1477" w:rsidRPr="000E50F1">
        <w:rPr>
          <w:rFonts w:ascii="Times" w:eastAsia="Calibri" w:hAnsi="Times"/>
          <w:bCs/>
        </w:rPr>
        <w:t>s the</w:t>
      </w:r>
      <w:r w:rsidRPr="000E50F1">
        <w:rPr>
          <w:rFonts w:ascii="Times" w:eastAsia="Calibri" w:hAnsi="Times"/>
          <w:bCs/>
        </w:rPr>
        <w:t xml:space="preserve"> LIPs to formally respond to local needs</w:t>
      </w:r>
      <w:r w:rsidR="008F1477" w:rsidRPr="000E50F1">
        <w:rPr>
          <w:rFonts w:ascii="Times" w:eastAsia="Calibri" w:hAnsi="Times"/>
          <w:bCs/>
        </w:rPr>
        <w:t>.</w:t>
      </w:r>
      <w:r w:rsidR="001D1FAD" w:rsidRPr="000E50F1">
        <w:rPr>
          <w:rFonts w:ascii="Times" w:eastAsia="Calibri" w:hAnsi="Times"/>
          <w:bCs/>
        </w:rPr>
        <w:t xml:space="preserve"> Following the completion of </w:t>
      </w:r>
      <w:r w:rsidR="008F1477" w:rsidRPr="000E50F1">
        <w:rPr>
          <w:rFonts w:ascii="Times" w:eastAsia="Calibri" w:hAnsi="Times"/>
          <w:bCs/>
        </w:rPr>
        <w:t>the LIP</w:t>
      </w:r>
      <w:r w:rsidR="001D1FAD" w:rsidRPr="000E50F1">
        <w:rPr>
          <w:rFonts w:ascii="Times" w:eastAsia="Calibri" w:hAnsi="Times"/>
          <w:bCs/>
        </w:rPr>
        <w:t xml:space="preserve"> research, I </w:t>
      </w:r>
      <w:r w:rsidR="00593DE3" w:rsidRPr="000E50F1">
        <w:rPr>
          <w:rFonts w:ascii="Times" w:eastAsia="Calibri" w:hAnsi="Times"/>
          <w:bCs/>
        </w:rPr>
        <w:t xml:space="preserve">have </w:t>
      </w:r>
      <w:r w:rsidR="001D1FAD" w:rsidRPr="000E50F1">
        <w:rPr>
          <w:rFonts w:ascii="Times" w:eastAsia="Calibri" w:hAnsi="Times"/>
          <w:bCs/>
        </w:rPr>
        <w:t>continued to maintain membership on HIPC and have worked on several research projects, including my most recent contract to support HIPC</w:t>
      </w:r>
      <w:r w:rsidR="008F1477" w:rsidRPr="000E50F1">
        <w:rPr>
          <w:rFonts w:ascii="Times" w:eastAsia="Calibri" w:hAnsi="Times"/>
          <w:bCs/>
        </w:rPr>
        <w:t xml:space="preserve"> in</w:t>
      </w:r>
      <w:r w:rsidR="001D1FAD" w:rsidRPr="000E50F1">
        <w:rPr>
          <w:rFonts w:ascii="Times" w:eastAsia="Calibri" w:hAnsi="Times"/>
          <w:bCs/>
        </w:rPr>
        <w:t xml:space="preserve"> the development and implementation o</w:t>
      </w:r>
      <w:r w:rsidR="00F655BF" w:rsidRPr="000E50F1">
        <w:rPr>
          <w:rFonts w:ascii="Times" w:eastAsia="Calibri" w:hAnsi="Times"/>
          <w:bCs/>
        </w:rPr>
        <w:t>f</w:t>
      </w:r>
      <w:r w:rsidR="001D1FAD" w:rsidRPr="000E50F1">
        <w:rPr>
          <w:rFonts w:ascii="Times" w:eastAsia="Calibri" w:hAnsi="Times"/>
          <w:bCs/>
        </w:rPr>
        <w:t xml:space="preserve"> a collective impact on </w:t>
      </w:r>
      <w:r w:rsidR="008F1477" w:rsidRPr="000E50F1">
        <w:rPr>
          <w:rFonts w:ascii="Times" w:eastAsia="Calibri" w:hAnsi="Times"/>
          <w:bCs/>
        </w:rPr>
        <w:t>newcomer</w:t>
      </w:r>
      <w:r w:rsidR="001D1FAD" w:rsidRPr="000E50F1">
        <w:rPr>
          <w:rFonts w:ascii="Times" w:eastAsia="Calibri" w:hAnsi="Times"/>
          <w:bCs/>
        </w:rPr>
        <w:t xml:space="preserve"> resettlement and belonging</w:t>
      </w:r>
      <w:r w:rsidR="008F1477" w:rsidRPr="000E50F1">
        <w:rPr>
          <w:rFonts w:ascii="Times" w:eastAsia="Calibri" w:hAnsi="Times"/>
          <w:bCs/>
        </w:rPr>
        <w:t xml:space="preserve">. This </w:t>
      </w:r>
      <w:r w:rsidR="001D1FAD" w:rsidRPr="000E50F1">
        <w:rPr>
          <w:rFonts w:ascii="Times" w:eastAsia="Calibri" w:hAnsi="Times"/>
          <w:bCs/>
        </w:rPr>
        <w:t xml:space="preserve">demonstrates the living </w:t>
      </w:r>
      <w:r w:rsidR="001D1FAD" w:rsidRPr="000E50F1">
        <w:rPr>
          <w:rFonts w:ascii="Times" w:hAnsi="Times"/>
        </w:rPr>
        <w:t>embodiment of place-based approaches</w:t>
      </w:r>
      <w:r w:rsidR="00593DE3" w:rsidRPr="000E50F1">
        <w:rPr>
          <w:rFonts w:ascii="Times" w:hAnsi="Times"/>
        </w:rPr>
        <w:t xml:space="preserve"> and </w:t>
      </w:r>
      <w:r w:rsidR="008F1477" w:rsidRPr="000E50F1">
        <w:rPr>
          <w:rFonts w:ascii="Times" w:hAnsi="Times"/>
        </w:rPr>
        <w:t xml:space="preserve">its </w:t>
      </w:r>
      <w:r w:rsidR="00F20F65" w:rsidRPr="000E50F1">
        <w:rPr>
          <w:rFonts w:ascii="Times" w:hAnsi="Times"/>
        </w:rPr>
        <w:t>potential</w:t>
      </w:r>
      <w:r w:rsidR="008F1477" w:rsidRPr="000E50F1">
        <w:rPr>
          <w:rFonts w:ascii="Times" w:hAnsi="Times"/>
        </w:rPr>
        <w:t xml:space="preserve"> to</w:t>
      </w:r>
      <w:r w:rsidR="001D1FAD" w:rsidRPr="000E50F1">
        <w:rPr>
          <w:rFonts w:ascii="Times" w:hAnsi="Times"/>
        </w:rPr>
        <w:t xml:space="preserve"> grow and evolve</w:t>
      </w:r>
      <w:r w:rsidR="00593DE3" w:rsidRPr="000E50F1">
        <w:rPr>
          <w:rFonts w:ascii="Times" w:eastAsia="Calibri" w:hAnsi="Times"/>
          <w:bCs/>
        </w:rPr>
        <w:t xml:space="preserve">, </w:t>
      </w:r>
      <w:r w:rsidR="00593DE3" w:rsidRPr="000E50F1">
        <w:rPr>
          <w:rFonts w:ascii="Times" w:hAnsi="Times"/>
        </w:rPr>
        <w:t>including agents and structures alike.</w:t>
      </w:r>
    </w:p>
    <w:p w14:paraId="0D044A78" w14:textId="77777777" w:rsidR="00E65D54" w:rsidRPr="000E50F1" w:rsidRDefault="00E65D54" w:rsidP="00D87AD8">
      <w:pPr>
        <w:rPr>
          <w:rFonts w:ascii="Times" w:eastAsia="Calibri" w:hAnsi="Times"/>
          <w:bCs/>
          <w:lang w:val="en-US"/>
        </w:rPr>
      </w:pPr>
    </w:p>
    <w:p w14:paraId="47B34769" w14:textId="12A10C48" w:rsidR="00D87AD8" w:rsidRPr="000E50F1" w:rsidRDefault="00294BC2" w:rsidP="00D87AD8">
      <w:pPr>
        <w:rPr>
          <w:rFonts w:ascii="Times" w:eastAsia="Calibri" w:hAnsi="Times"/>
          <w:bCs/>
          <w:i/>
          <w:iCs/>
          <w:lang w:val="en-US"/>
        </w:rPr>
      </w:pPr>
      <w:r w:rsidRPr="000E50F1">
        <w:rPr>
          <w:rFonts w:ascii="Times" w:eastAsia="Calibri" w:hAnsi="Times"/>
          <w:bCs/>
          <w:i/>
          <w:iCs/>
          <w:lang w:val="en-US"/>
        </w:rPr>
        <w:t>Inaccess to School Mental Health Research</w:t>
      </w:r>
    </w:p>
    <w:p w14:paraId="349DA754" w14:textId="0F7E23C2" w:rsidR="001220A8" w:rsidRPr="000E50F1" w:rsidRDefault="004A5B53" w:rsidP="00D87AD8">
      <w:pPr>
        <w:rPr>
          <w:rFonts w:ascii="Times" w:eastAsia="Calibri" w:hAnsi="Times"/>
          <w:bCs/>
          <w:lang w:val="en-US"/>
        </w:rPr>
      </w:pPr>
      <w:r w:rsidRPr="000E50F1">
        <w:rPr>
          <w:rFonts w:ascii="Times" w:eastAsia="Calibri" w:hAnsi="Times"/>
          <w:bCs/>
          <w:lang w:val="en-US"/>
        </w:rPr>
        <w:t xml:space="preserve">The research on newcomer youth mental health has taken many twists and turns. Originally framed as a project on cultural brokers with ethnocultural communities </w:t>
      </w:r>
      <w:r w:rsidRPr="000E50F1">
        <w:rPr>
          <w:rFonts w:ascii="Times" w:eastAsia="Calibri" w:hAnsi="Times"/>
          <w:bCs/>
          <w:lang w:val="en-US"/>
        </w:rPr>
        <w:lastRenderedPageBreak/>
        <w:t xml:space="preserve">across Hamilton, the project needed </w:t>
      </w:r>
      <w:r w:rsidR="00F655BF" w:rsidRPr="000E50F1">
        <w:rPr>
          <w:rFonts w:ascii="Times" w:eastAsia="Calibri" w:hAnsi="Times"/>
          <w:bCs/>
          <w:lang w:val="en-US"/>
        </w:rPr>
        <w:t xml:space="preserve">to </w:t>
      </w:r>
      <w:r w:rsidR="00C71D9C">
        <w:rPr>
          <w:rFonts w:ascii="Times" w:eastAsia="Calibri" w:hAnsi="Times"/>
          <w:bCs/>
          <w:lang w:val="en-US"/>
        </w:rPr>
        <w:t>pivot</w:t>
      </w:r>
      <w:r w:rsidRPr="000E50F1">
        <w:rPr>
          <w:rFonts w:ascii="Times" w:eastAsia="Calibri" w:hAnsi="Times"/>
          <w:bCs/>
          <w:lang w:val="en-US"/>
        </w:rPr>
        <w:t xml:space="preserve"> due to </w:t>
      </w:r>
      <w:r w:rsidR="00B62E00" w:rsidRPr="000E50F1">
        <w:rPr>
          <w:rFonts w:ascii="Times" w:eastAsia="Calibri" w:hAnsi="Times"/>
          <w:bCs/>
          <w:lang w:val="en-US"/>
        </w:rPr>
        <w:t xml:space="preserve">its own </w:t>
      </w:r>
      <w:r w:rsidRPr="000E50F1">
        <w:rPr>
          <w:rFonts w:ascii="Times" w:eastAsia="Calibri" w:hAnsi="Times"/>
          <w:bCs/>
          <w:lang w:val="en-US"/>
        </w:rPr>
        <w:t xml:space="preserve">issues of inaccess. The Executive Director of the leading organization </w:t>
      </w:r>
      <w:r w:rsidR="00816BCB" w:rsidRPr="000E50F1">
        <w:rPr>
          <w:rFonts w:ascii="Times" w:eastAsia="Calibri" w:hAnsi="Times"/>
          <w:bCs/>
          <w:lang w:val="en-US"/>
        </w:rPr>
        <w:t>conducting</w:t>
      </w:r>
      <w:r w:rsidRPr="000E50F1">
        <w:rPr>
          <w:rFonts w:ascii="Times" w:eastAsia="Calibri" w:hAnsi="Times"/>
          <w:bCs/>
          <w:lang w:val="en-US"/>
        </w:rPr>
        <w:t xml:space="preserve"> the work had</w:t>
      </w:r>
      <w:r w:rsidR="00816BCB" w:rsidRPr="000E50F1">
        <w:rPr>
          <w:rFonts w:ascii="Times" w:eastAsia="Calibri" w:hAnsi="Times"/>
          <w:bCs/>
          <w:lang w:val="en-US"/>
        </w:rPr>
        <w:t xml:space="preserve"> hired a consultant to </w:t>
      </w:r>
      <w:r w:rsidRPr="000E50F1">
        <w:rPr>
          <w:rFonts w:ascii="Times" w:eastAsia="Calibri" w:hAnsi="Times"/>
          <w:bCs/>
          <w:lang w:val="en-US"/>
        </w:rPr>
        <w:t xml:space="preserve">execute a similar project on a </w:t>
      </w:r>
      <w:r w:rsidR="00816BCB" w:rsidRPr="000E50F1">
        <w:rPr>
          <w:rFonts w:ascii="Times" w:eastAsia="Calibri" w:hAnsi="Times"/>
          <w:bCs/>
          <w:lang w:val="en-US"/>
        </w:rPr>
        <w:t>shorter</w:t>
      </w:r>
      <w:r w:rsidRPr="000E50F1">
        <w:rPr>
          <w:rFonts w:ascii="Times" w:eastAsia="Calibri" w:hAnsi="Times"/>
          <w:bCs/>
          <w:lang w:val="en-US"/>
        </w:rPr>
        <w:t xml:space="preserve"> timeline</w:t>
      </w:r>
      <w:r w:rsidR="00816BCB" w:rsidRPr="000E50F1">
        <w:rPr>
          <w:rFonts w:ascii="Times" w:eastAsia="Calibri" w:hAnsi="Times"/>
          <w:bCs/>
          <w:lang w:val="en-US"/>
        </w:rPr>
        <w:t xml:space="preserve">. </w:t>
      </w:r>
      <w:r w:rsidRPr="000E50F1">
        <w:rPr>
          <w:rFonts w:ascii="Times" w:eastAsia="Calibri" w:hAnsi="Times"/>
          <w:bCs/>
          <w:lang w:val="en-US"/>
        </w:rPr>
        <w:t xml:space="preserve">As a result, </w:t>
      </w:r>
      <w:r w:rsidR="00F20F65" w:rsidRPr="000E50F1">
        <w:rPr>
          <w:rFonts w:ascii="Times" w:eastAsia="Calibri" w:hAnsi="Times"/>
          <w:bCs/>
          <w:lang w:val="en-US"/>
        </w:rPr>
        <w:t>I was no longer allowed to conduct this</w:t>
      </w:r>
      <w:r w:rsidRPr="000E50F1">
        <w:rPr>
          <w:rFonts w:ascii="Times" w:eastAsia="Calibri" w:hAnsi="Times"/>
          <w:bCs/>
          <w:lang w:val="en-US"/>
        </w:rPr>
        <w:t xml:space="preserve"> </w:t>
      </w:r>
      <w:r w:rsidR="00816BCB" w:rsidRPr="000E50F1">
        <w:rPr>
          <w:rFonts w:ascii="Times" w:eastAsia="Calibri" w:hAnsi="Times"/>
          <w:bCs/>
          <w:lang w:val="en-US"/>
        </w:rPr>
        <w:t>pro</w:t>
      </w:r>
      <w:r w:rsidR="00F20F65" w:rsidRPr="000E50F1">
        <w:rPr>
          <w:rFonts w:ascii="Times" w:eastAsia="Calibri" w:hAnsi="Times"/>
          <w:bCs/>
          <w:lang w:val="en-US"/>
        </w:rPr>
        <w:t>ject</w:t>
      </w:r>
      <w:r w:rsidRPr="000E50F1">
        <w:rPr>
          <w:rFonts w:ascii="Times" w:eastAsia="Calibri" w:hAnsi="Times"/>
          <w:bCs/>
          <w:lang w:val="en-US"/>
        </w:rPr>
        <w:t xml:space="preserve">. </w:t>
      </w:r>
      <w:r w:rsidR="00816BCB" w:rsidRPr="000E50F1">
        <w:rPr>
          <w:rFonts w:ascii="Times" w:eastAsia="Calibri" w:hAnsi="Times"/>
          <w:bCs/>
          <w:lang w:val="en-US"/>
        </w:rPr>
        <w:t xml:space="preserve">From there, I </w:t>
      </w:r>
      <w:r w:rsidRPr="000E50F1">
        <w:rPr>
          <w:rFonts w:ascii="Times" w:eastAsia="Calibri" w:hAnsi="Times"/>
          <w:bCs/>
          <w:lang w:val="en-US"/>
        </w:rPr>
        <w:t>reache</w:t>
      </w:r>
      <w:r w:rsidR="00816BCB" w:rsidRPr="000E50F1">
        <w:rPr>
          <w:rFonts w:ascii="Times" w:eastAsia="Calibri" w:hAnsi="Times"/>
          <w:bCs/>
          <w:lang w:val="en-US"/>
        </w:rPr>
        <w:t>d</w:t>
      </w:r>
      <w:r w:rsidRPr="000E50F1">
        <w:rPr>
          <w:rFonts w:ascii="Times" w:eastAsia="Calibri" w:hAnsi="Times"/>
          <w:bCs/>
          <w:lang w:val="en-US"/>
        </w:rPr>
        <w:t xml:space="preserve"> out </w:t>
      </w:r>
      <w:r w:rsidR="00A47443" w:rsidRPr="000E50F1">
        <w:rPr>
          <w:rFonts w:ascii="Times" w:eastAsia="Calibri" w:hAnsi="Times"/>
          <w:bCs/>
          <w:lang w:val="en-US"/>
        </w:rPr>
        <w:t xml:space="preserve">to </w:t>
      </w:r>
      <w:r w:rsidRPr="000E50F1">
        <w:rPr>
          <w:rFonts w:ascii="Times" w:eastAsia="Calibri" w:hAnsi="Times"/>
          <w:bCs/>
          <w:lang w:val="en-US"/>
        </w:rPr>
        <w:t xml:space="preserve">the YMCA </w:t>
      </w:r>
      <w:r w:rsidR="00816BCB" w:rsidRPr="000E50F1">
        <w:rPr>
          <w:rFonts w:ascii="Times" w:eastAsia="Calibri" w:hAnsi="Times"/>
          <w:bCs/>
          <w:lang w:val="en-US"/>
        </w:rPr>
        <w:t>through</w:t>
      </w:r>
      <w:r w:rsidRPr="000E50F1">
        <w:rPr>
          <w:rFonts w:ascii="Times" w:eastAsia="Calibri" w:hAnsi="Times"/>
          <w:bCs/>
          <w:lang w:val="en-US"/>
        </w:rPr>
        <w:t xml:space="preserve"> my connection at HIPC, and the </w:t>
      </w:r>
      <w:r w:rsidR="00816BCB" w:rsidRPr="000E50F1">
        <w:rPr>
          <w:rFonts w:ascii="Times" w:eastAsia="Calibri" w:hAnsi="Times"/>
          <w:bCs/>
          <w:lang w:val="en-US"/>
        </w:rPr>
        <w:t>project</w:t>
      </w:r>
      <w:r w:rsidRPr="000E50F1">
        <w:rPr>
          <w:rFonts w:ascii="Times" w:eastAsia="Calibri" w:hAnsi="Times"/>
          <w:bCs/>
          <w:lang w:val="en-US"/>
        </w:rPr>
        <w:t xml:space="preserve"> was </w:t>
      </w:r>
      <w:r w:rsidR="00816BCB" w:rsidRPr="000E50F1">
        <w:rPr>
          <w:rFonts w:ascii="Times" w:eastAsia="Calibri" w:hAnsi="Times"/>
          <w:bCs/>
          <w:lang w:val="en-US"/>
        </w:rPr>
        <w:t>reframed</w:t>
      </w:r>
      <w:r w:rsidRPr="000E50F1">
        <w:rPr>
          <w:rFonts w:ascii="Times" w:eastAsia="Calibri" w:hAnsi="Times"/>
          <w:bCs/>
          <w:lang w:val="en-US"/>
        </w:rPr>
        <w:t xml:space="preserve"> to explore the role of SWIS </w:t>
      </w:r>
      <w:r w:rsidR="00C71D9C">
        <w:rPr>
          <w:rFonts w:ascii="Times" w:eastAsia="Calibri" w:hAnsi="Times"/>
          <w:bCs/>
          <w:lang w:val="en-US"/>
        </w:rPr>
        <w:t xml:space="preserve">workers </w:t>
      </w:r>
      <w:r w:rsidRPr="000E50F1">
        <w:rPr>
          <w:rFonts w:ascii="Times" w:eastAsia="Calibri" w:hAnsi="Times"/>
          <w:bCs/>
          <w:lang w:val="en-US"/>
        </w:rPr>
        <w:t xml:space="preserve">in schools. Ethics </w:t>
      </w:r>
      <w:r w:rsidR="00816BCB" w:rsidRPr="000E50F1">
        <w:rPr>
          <w:rFonts w:ascii="Times" w:eastAsia="Calibri" w:hAnsi="Times"/>
          <w:bCs/>
          <w:lang w:val="en-US"/>
        </w:rPr>
        <w:t>addendum</w:t>
      </w:r>
      <w:r w:rsidR="00A47443" w:rsidRPr="000E50F1">
        <w:rPr>
          <w:rFonts w:ascii="Times" w:eastAsia="Calibri" w:hAnsi="Times"/>
          <w:bCs/>
          <w:lang w:val="en-US"/>
        </w:rPr>
        <w:t>s</w:t>
      </w:r>
      <w:r w:rsidR="00816BCB" w:rsidRPr="000E50F1">
        <w:rPr>
          <w:rFonts w:ascii="Times" w:eastAsia="Calibri" w:hAnsi="Times"/>
          <w:bCs/>
          <w:lang w:val="en-US"/>
        </w:rPr>
        <w:t xml:space="preserve"> </w:t>
      </w:r>
      <w:r w:rsidRPr="000E50F1">
        <w:rPr>
          <w:rFonts w:ascii="Times" w:eastAsia="Calibri" w:hAnsi="Times"/>
          <w:bCs/>
          <w:lang w:val="en-US"/>
        </w:rPr>
        <w:t xml:space="preserve">were submitted </w:t>
      </w:r>
      <w:r w:rsidR="000C6B1D" w:rsidRPr="000E50F1">
        <w:rPr>
          <w:rFonts w:ascii="Times" w:eastAsia="Calibri" w:hAnsi="Times"/>
          <w:bCs/>
          <w:lang w:val="en-US"/>
        </w:rPr>
        <w:t xml:space="preserve">in 2014 </w:t>
      </w:r>
      <w:r w:rsidR="009D1E25" w:rsidRPr="000E50F1">
        <w:rPr>
          <w:rFonts w:ascii="Times" w:eastAsia="Calibri" w:hAnsi="Times"/>
          <w:bCs/>
          <w:lang w:val="en-US"/>
        </w:rPr>
        <w:t xml:space="preserve">(see Appendix F) </w:t>
      </w:r>
      <w:r w:rsidRPr="000E50F1">
        <w:rPr>
          <w:rFonts w:ascii="Times" w:eastAsia="Calibri" w:hAnsi="Times"/>
          <w:bCs/>
          <w:lang w:val="en-US"/>
        </w:rPr>
        <w:t xml:space="preserve">and the revised project </w:t>
      </w:r>
      <w:r w:rsidR="00816BCB" w:rsidRPr="000E50F1">
        <w:rPr>
          <w:rFonts w:ascii="Times" w:eastAsia="Calibri" w:hAnsi="Times"/>
          <w:bCs/>
          <w:lang w:val="en-US"/>
        </w:rPr>
        <w:t xml:space="preserve">took a slightly different angle. The cultural broker piece was undoubtedly infused into the design </w:t>
      </w:r>
      <w:r w:rsidR="00F20F65" w:rsidRPr="000E50F1">
        <w:rPr>
          <w:rFonts w:ascii="Times" w:eastAsia="Calibri" w:hAnsi="Times"/>
          <w:bCs/>
          <w:lang w:val="en-US"/>
        </w:rPr>
        <w:t>as a result of the original</w:t>
      </w:r>
      <w:r w:rsidR="00816BCB" w:rsidRPr="000E50F1">
        <w:rPr>
          <w:rFonts w:ascii="Times" w:eastAsia="Calibri" w:hAnsi="Times"/>
          <w:bCs/>
          <w:lang w:val="en-US"/>
        </w:rPr>
        <w:t xml:space="preserve"> research proposal, and by default, </w:t>
      </w:r>
      <w:r w:rsidR="00F20F65" w:rsidRPr="000E50F1">
        <w:rPr>
          <w:rFonts w:ascii="Times" w:eastAsia="Calibri" w:hAnsi="Times"/>
          <w:bCs/>
          <w:lang w:val="en-US"/>
        </w:rPr>
        <w:t xml:space="preserve">it </w:t>
      </w:r>
      <w:r w:rsidR="00816BCB" w:rsidRPr="000E50F1">
        <w:rPr>
          <w:rFonts w:ascii="Times" w:eastAsia="Calibri" w:hAnsi="Times"/>
          <w:bCs/>
          <w:lang w:val="en-US"/>
        </w:rPr>
        <w:t>influenced my outlook and analytical perspectives at the onset of SWIS data collection. Nonetheless, I believe that the integration of a grounded theory approach help</w:t>
      </w:r>
      <w:r w:rsidR="00F20F65" w:rsidRPr="000E50F1">
        <w:rPr>
          <w:rFonts w:ascii="Times" w:eastAsia="Calibri" w:hAnsi="Times"/>
          <w:bCs/>
          <w:lang w:val="en-US"/>
        </w:rPr>
        <w:t>ed</w:t>
      </w:r>
      <w:r w:rsidR="00816BCB" w:rsidRPr="000E50F1">
        <w:rPr>
          <w:rFonts w:ascii="Times" w:eastAsia="Calibri" w:hAnsi="Times"/>
          <w:bCs/>
          <w:lang w:val="en-US"/>
        </w:rPr>
        <w:t xml:space="preserve"> to support the emergent theme of cultural brokering through the systematic step</w:t>
      </w:r>
      <w:r w:rsidR="00F20F65" w:rsidRPr="000E50F1">
        <w:rPr>
          <w:rFonts w:ascii="Times" w:eastAsia="Calibri" w:hAnsi="Times"/>
          <w:bCs/>
          <w:lang w:val="en-US"/>
        </w:rPr>
        <w:t>s of</w:t>
      </w:r>
      <w:r w:rsidR="00816BCB" w:rsidRPr="000E50F1">
        <w:rPr>
          <w:rFonts w:ascii="Times" w:eastAsia="Calibri" w:hAnsi="Times"/>
          <w:bCs/>
          <w:lang w:val="en-US"/>
        </w:rPr>
        <w:t xml:space="preserve"> moving</w:t>
      </w:r>
      <w:r w:rsidR="00FD1BF8" w:rsidRPr="000E50F1">
        <w:rPr>
          <w:rFonts w:ascii="Times" w:eastAsia="Calibri" w:hAnsi="Times"/>
          <w:bCs/>
          <w:lang w:val="en-US"/>
        </w:rPr>
        <w:t xml:space="preserve"> initial</w:t>
      </w:r>
      <w:r w:rsidR="00816BCB" w:rsidRPr="000E50F1">
        <w:rPr>
          <w:rFonts w:ascii="Times" w:eastAsia="Calibri" w:hAnsi="Times"/>
          <w:bCs/>
          <w:lang w:val="en-US"/>
        </w:rPr>
        <w:t xml:space="preserve"> codes</w:t>
      </w:r>
      <w:r w:rsidR="00FD1BF8" w:rsidRPr="000E50F1">
        <w:rPr>
          <w:rFonts w:ascii="Times" w:eastAsia="Calibri" w:hAnsi="Times"/>
          <w:bCs/>
          <w:lang w:val="en-US"/>
        </w:rPr>
        <w:t xml:space="preserve"> through the process </w:t>
      </w:r>
      <w:r w:rsidR="000C6B1D" w:rsidRPr="000E50F1">
        <w:rPr>
          <w:rFonts w:ascii="Times" w:eastAsia="Calibri" w:hAnsi="Times"/>
          <w:bCs/>
          <w:lang w:val="en-US"/>
        </w:rPr>
        <w:t>of</w:t>
      </w:r>
      <w:r w:rsidR="00816BCB" w:rsidRPr="000E50F1">
        <w:rPr>
          <w:rFonts w:ascii="Times" w:eastAsia="Calibri" w:hAnsi="Times"/>
          <w:bCs/>
          <w:lang w:val="en-US"/>
        </w:rPr>
        <w:t xml:space="preserve"> making connections, and finally to </w:t>
      </w:r>
      <w:r w:rsidR="00FD1BF8" w:rsidRPr="000E50F1">
        <w:rPr>
          <w:rFonts w:ascii="Times" w:eastAsia="Calibri" w:hAnsi="Times"/>
          <w:bCs/>
          <w:lang w:val="en-US"/>
        </w:rPr>
        <w:t>integrati</w:t>
      </w:r>
      <w:r w:rsidR="000C6B1D" w:rsidRPr="000E50F1">
        <w:rPr>
          <w:rFonts w:ascii="Times" w:eastAsia="Calibri" w:hAnsi="Times"/>
          <w:bCs/>
          <w:lang w:val="en-US"/>
        </w:rPr>
        <w:t>ng</w:t>
      </w:r>
      <w:r w:rsidR="00FD1BF8" w:rsidRPr="000E50F1">
        <w:rPr>
          <w:rFonts w:ascii="Times" w:eastAsia="Calibri" w:hAnsi="Times"/>
          <w:bCs/>
          <w:lang w:val="en-US"/>
        </w:rPr>
        <w:t xml:space="preserve"> with </w:t>
      </w:r>
      <w:r w:rsidR="000C6B1D" w:rsidRPr="000E50F1">
        <w:rPr>
          <w:rFonts w:ascii="Times" w:eastAsia="Calibri" w:hAnsi="Times"/>
          <w:bCs/>
          <w:lang w:val="en-US"/>
        </w:rPr>
        <w:t xml:space="preserve">a </w:t>
      </w:r>
      <w:r w:rsidR="00FD1BF8" w:rsidRPr="000E50F1">
        <w:rPr>
          <w:rFonts w:ascii="Times" w:eastAsia="Calibri" w:hAnsi="Times"/>
          <w:bCs/>
          <w:lang w:val="en-US"/>
        </w:rPr>
        <w:t xml:space="preserve">storyline. </w:t>
      </w:r>
      <w:r w:rsidR="00F20F65" w:rsidRPr="000E50F1">
        <w:rPr>
          <w:rFonts w:ascii="Times" w:eastAsia="Calibri" w:hAnsi="Times"/>
          <w:bCs/>
          <w:lang w:val="en-US"/>
        </w:rPr>
        <w:t>The</w:t>
      </w:r>
      <w:r w:rsidR="00FD1BF8" w:rsidRPr="000E50F1">
        <w:rPr>
          <w:rFonts w:ascii="Times" w:eastAsia="Calibri" w:hAnsi="Times"/>
          <w:bCs/>
          <w:lang w:val="en-US"/>
        </w:rPr>
        <w:t xml:space="preserve"> shift to examine SWIS had also included a subsequent data collection </w:t>
      </w:r>
      <w:r w:rsidR="00F20F65" w:rsidRPr="000E50F1">
        <w:rPr>
          <w:rFonts w:ascii="Times" w:eastAsia="Calibri" w:hAnsi="Times"/>
          <w:bCs/>
          <w:lang w:val="en-US"/>
        </w:rPr>
        <w:t xml:space="preserve">plan to conduct </w:t>
      </w:r>
      <w:r w:rsidR="00A47443" w:rsidRPr="000E50F1">
        <w:rPr>
          <w:rFonts w:ascii="Times" w:eastAsia="Calibri" w:hAnsi="Times"/>
          <w:bCs/>
          <w:lang w:val="en-US"/>
        </w:rPr>
        <w:t>one-on-one</w:t>
      </w:r>
      <w:r w:rsidR="00F20F65" w:rsidRPr="000E50F1">
        <w:rPr>
          <w:rFonts w:ascii="Times" w:eastAsia="Calibri" w:hAnsi="Times"/>
          <w:bCs/>
          <w:lang w:val="en-US"/>
        </w:rPr>
        <w:t xml:space="preserve"> interviews with newcomer students</w:t>
      </w:r>
      <w:r w:rsidR="00FD1BF8" w:rsidRPr="000E50F1">
        <w:rPr>
          <w:rFonts w:ascii="Times" w:eastAsia="Calibri" w:hAnsi="Times"/>
          <w:bCs/>
          <w:lang w:val="en-US"/>
        </w:rPr>
        <w:t xml:space="preserve"> </w:t>
      </w:r>
      <w:r w:rsidR="00F20F65" w:rsidRPr="000E50F1">
        <w:rPr>
          <w:rFonts w:ascii="Times" w:eastAsia="Calibri" w:hAnsi="Times"/>
          <w:bCs/>
          <w:lang w:val="en-US"/>
        </w:rPr>
        <w:t>in</w:t>
      </w:r>
      <w:r w:rsidR="00FD1BF8" w:rsidRPr="000E50F1">
        <w:rPr>
          <w:rFonts w:ascii="Times" w:eastAsia="Calibri" w:hAnsi="Times"/>
          <w:bCs/>
          <w:lang w:val="en-US"/>
        </w:rPr>
        <w:t xml:space="preserve"> high school</w:t>
      </w:r>
      <w:r w:rsidR="00F20F65" w:rsidRPr="000E50F1">
        <w:rPr>
          <w:rFonts w:ascii="Times" w:eastAsia="Calibri" w:hAnsi="Times"/>
          <w:bCs/>
          <w:lang w:val="en-US"/>
        </w:rPr>
        <w:t xml:space="preserve">s </w:t>
      </w:r>
      <w:r w:rsidR="00FD1BF8" w:rsidRPr="000E50F1">
        <w:rPr>
          <w:rFonts w:ascii="Times" w:eastAsia="Calibri" w:hAnsi="Times"/>
          <w:bCs/>
          <w:lang w:val="en-US"/>
        </w:rPr>
        <w:t>in Hamilton. Ethics clearance from McMaster University and the Hamilton Wentworth District School Board</w:t>
      </w:r>
      <w:r w:rsidR="001220A8" w:rsidRPr="000E50F1">
        <w:rPr>
          <w:rFonts w:ascii="Times" w:eastAsia="Calibri" w:hAnsi="Times"/>
          <w:bCs/>
          <w:lang w:val="en-US"/>
        </w:rPr>
        <w:t xml:space="preserve"> (HWDSB)</w:t>
      </w:r>
      <w:r w:rsidR="00FD1BF8" w:rsidRPr="000E50F1">
        <w:rPr>
          <w:rFonts w:ascii="Times" w:eastAsia="Calibri" w:hAnsi="Times"/>
          <w:bCs/>
          <w:lang w:val="en-US"/>
        </w:rPr>
        <w:t xml:space="preserve"> was also </w:t>
      </w:r>
      <w:r w:rsidR="00F20F65" w:rsidRPr="000E50F1">
        <w:rPr>
          <w:rFonts w:ascii="Times" w:eastAsia="Calibri" w:hAnsi="Times"/>
          <w:bCs/>
          <w:lang w:val="en-US"/>
        </w:rPr>
        <w:t>obtained</w:t>
      </w:r>
      <w:r w:rsidR="001220A8" w:rsidRPr="000E50F1">
        <w:rPr>
          <w:rFonts w:ascii="Times" w:eastAsia="Calibri" w:hAnsi="Times"/>
          <w:bCs/>
          <w:lang w:val="en-US"/>
        </w:rPr>
        <w:t xml:space="preserve"> in 201</w:t>
      </w:r>
      <w:r w:rsidR="000C6B1D" w:rsidRPr="000E50F1">
        <w:rPr>
          <w:rFonts w:ascii="Times" w:eastAsia="Calibri" w:hAnsi="Times"/>
          <w:bCs/>
          <w:lang w:val="en-US"/>
        </w:rPr>
        <w:t>5</w:t>
      </w:r>
      <w:r w:rsidR="001220A8" w:rsidRPr="000E50F1">
        <w:rPr>
          <w:rFonts w:ascii="Times" w:eastAsia="Calibri" w:hAnsi="Times"/>
          <w:bCs/>
          <w:lang w:val="en-US"/>
        </w:rPr>
        <w:t>.</w:t>
      </w:r>
      <w:r w:rsidR="00FD1BF8" w:rsidRPr="000E50F1">
        <w:rPr>
          <w:rFonts w:ascii="Times" w:eastAsia="Calibri" w:hAnsi="Times"/>
          <w:bCs/>
          <w:lang w:val="en-US"/>
        </w:rPr>
        <w:t xml:space="preserve"> The </w:t>
      </w:r>
      <w:r w:rsidR="00F20F65" w:rsidRPr="000E50F1">
        <w:rPr>
          <w:rFonts w:ascii="Times" w:eastAsia="Calibri" w:hAnsi="Times"/>
          <w:bCs/>
          <w:lang w:val="en-US"/>
        </w:rPr>
        <w:t xml:space="preserve">project </w:t>
      </w:r>
      <w:r w:rsidR="00FD1BF8" w:rsidRPr="000E50F1">
        <w:rPr>
          <w:rFonts w:ascii="Times" w:eastAsia="Calibri" w:hAnsi="Times"/>
          <w:bCs/>
          <w:lang w:val="en-US"/>
        </w:rPr>
        <w:t>submission to the Hamilton Wentworth Catholic District School Board had been declined due to the lack of capacity of staff to support this type of engagement.</w:t>
      </w:r>
      <w:r w:rsidR="001220A8" w:rsidRPr="000E50F1">
        <w:rPr>
          <w:rFonts w:ascii="Times" w:eastAsia="Calibri" w:hAnsi="Times"/>
          <w:bCs/>
          <w:lang w:val="en-US"/>
        </w:rPr>
        <w:t xml:space="preserve"> I believe that the approval and support </w:t>
      </w:r>
      <w:r w:rsidR="00F20F65" w:rsidRPr="000E50F1">
        <w:rPr>
          <w:rFonts w:ascii="Times" w:eastAsia="Calibri" w:hAnsi="Times"/>
          <w:bCs/>
          <w:lang w:val="en-US"/>
        </w:rPr>
        <w:t>from</w:t>
      </w:r>
      <w:r w:rsidR="001220A8" w:rsidRPr="000E50F1">
        <w:rPr>
          <w:rFonts w:ascii="Times" w:eastAsia="Calibri" w:hAnsi="Times"/>
          <w:bCs/>
          <w:lang w:val="en-US"/>
        </w:rPr>
        <w:t xml:space="preserve"> HWDSB </w:t>
      </w:r>
      <w:r w:rsidR="00F655BF" w:rsidRPr="000E50F1">
        <w:rPr>
          <w:rFonts w:ascii="Times" w:eastAsia="Calibri" w:hAnsi="Times"/>
          <w:bCs/>
          <w:lang w:val="en-US"/>
        </w:rPr>
        <w:t>had</w:t>
      </w:r>
      <w:r w:rsidR="00F20F65" w:rsidRPr="000E50F1">
        <w:rPr>
          <w:rFonts w:ascii="Times" w:eastAsia="Calibri" w:hAnsi="Times"/>
          <w:bCs/>
          <w:lang w:val="en-US"/>
        </w:rPr>
        <w:t xml:space="preserve"> </w:t>
      </w:r>
      <w:r w:rsidR="001220A8" w:rsidRPr="000E50F1">
        <w:rPr>
          <w:rFonts w:ascii="Times" w:eastAsia="Calibri" w:hAnsi="Times"/>
          <w:bCs/>
          <w:lang w:val="en-US"/>
        </w:rPr>
        <w:t xml:space="preserve">recognized the project’s alignment to policies guiding school mental health programing and research at a provincial and district level in Ontario. Unfortunately, the project encountered many perplexing delays </w:t>
      </w:r>
      <w:r w:rsidR="000C6B1D" w:rsidRPr="000E50F1">
        <w:rPr>
          <w:rFonts w:ascii="Times" w:eastAsia="Calibri" w:hAnsi="Times"/>
          <w:bCs/>
          <w:lang w:val="en-US"/>
        </w:rPr>
        <w:t>in</w:t>
      </w:r>
      <w:r w:rsidR="00244736" w:rsidRPr="000E50F1">
        <w:rPr>
          <w:rFonts w:ascii="Times" w:eastAsia="Calibri" w:hAnsi="Times"/>
          <w:bCs/>
          <w:lang w:val="en-US"/>
        </w:rPr>
        <w:t xml:space="preserve"> 201</w:t>
      </w:r>
      <w:r w:rsidR="000C6B1D" w:rsidRPr="000E50F1">
        <w:rPr>
          <w:rFonts w:ascii="Times" w:eastAsia="Calibri" w:hAnsi="Times"/>
          <w:bCs/>
          <w:lang w:val="en-US"/>
        </w:rPr>
        <w:t>5</w:t>
      </w:r>
      <w:r w:rsidR="00244736" w:rsidRPr="000E50F1">
        <w:rPr>
          <w:rFonts w:ascii="Times" w:eastAsia="Calibri" w:hAnsi="Times"/>
          <w:bCs/>
          <w:lang w:val="en-US"/>
        </w:rPr>
        <w:t xml:space="preserve">, </w:t>
      </w:r>
      <w:r w:rsidR="001220A8" w:rsidRPr="000E50F1">
        <w:rPr>
          <w:rFonts w:ascii="Times" w:eastAsia="Calibri" w:hAnsi="Times"/>
          <w:bCs/>
          <w:lang w:val="en-US"/>
        </w:rPr>
        <w:t xml:space="preserve">and </w:t>
      </w:r>
      <w:r w:rsidR="00477B49" w:rsidRPr="000E50F1">
        <w:rPr>
          <w:rFonts w:ascii="Times" w:eastAsia="Calibri" w:hAnsi="Times"/>
          <w:bCs/>
          <w:lang w:val="en-US"/>
        </w:rPr>
        <w:t xml:space="preserve">could not ‘get off the ground’ due to reasons attributed to job action </w:t>
      </w:r>
      <w:r w:rsidR="00F20F65" w:rsidRPr="000E50F1">
        <w:rPr>
          <w:rFonts w:ascii="Times" w:eastAsia="Calibri" w:hAnsi="Times"/>
          <w:bCs/>
          <w:lang w:val="en-US"/>
        </w:rPr>
        <w:t>that year</w:t>
      </w:r>
      <w:r w:rsidR="00477B49" w:rsidRPr="000E50F1">
        <w:rPr>
          <w:rFonts w:ascii="Times" w:eastAsia="Calibri" w:hAnsi="Times"/>
          <w:bCs/>
          <w:lang w:val="en-US"/>
        </w:rPr>
        <w:t>.</w:t>
      </w:r>
      <w:r w:rsidR="00244736" w:rsidRPr="000E50F1">
        <w:rPr>
          <w:rFonts w:ascii="Times" w:eastAsia="Calibri" w:hAnsi="Times"/>
          <w:bCs/>
          <w:lang w:val="en-US"/>
        </w:rPr>
        <w:t xml:space="preserve"> My confidence to write </w:t>
      </w:r>
      <w:r w:rsidR="000C6B1D" w:rsidRPr="000E50F1">
        <w:rPr>
          <w:rFonts w:ascii="Times" w:eastAsia="Calibri" w:hAnsi="Times"/>
          <w:bCs/>
          <w:lang w:val="en-US"/>
        </w:rPr>
        <w:t>the</w:t>
      </w:r>
      <w:r w:rsidR="00244736" w:rsidRPr="000E50F1">
        <w:rPr>
          <w:rFonts w:ascii="Times" w:eastAsia="Calibri" w:hAnsi="Times"/>
          <w:bCs/>
          <w:lang w:val="en-US"/>
        </w:rPr>
        <w:t xml:space="preserve"> </w:t>
      </w:r>
      <w:r w:rsidR="000C6B1D" w:rsidRPr="000E50F1">
        <w:rPr>
          <w:rFonts w:ascii="Times" w:eastAsia="Calibri" w:hAnsi="Times"/>
          <w:bCs/>
          <w:lang w:val="en-US"/>
        </w:rPr>
        <w:t xml:space="preserve">SWIS </w:t>
      </w:r>
      <w:r w:rsidR="00F20F65" w:rsidRPr="000E50F1">
        <w:rPr>
          <w:rFonts w:ascii="Times" w:eastAsia="Calibri" w:hAnsi="Times"/>
          <w:bCs/>
          <w:lang w:val="en-US"/>
        </w:rPr>
        <w:t xml:space="preserve">research </w:t>
      </w:r>
      <w:r w:rsidR="00244736" w:rsidRPr="000E50F1">
        <w:rPr>
          <w:rFonts w:ascii="Times" w:eastAsia="Calibri" w:hAnsi="Times"/>
          <w:bCs/>
          <w:lang w:val="en-US"/>
        </w:rPr>
        <w:t>paper waned without the perspectives of newcomer students who had engaged in mental health care. Long gap</w:t>
      </w:r>
      <w:r w:rsidR="00A47443" w:rsidRPr="000E50F1">
        <w:rPr>
          <w:rFonts w:ascii="Times" w:eastAsia="Calibri" w:hAnsi="Times"/>
          <w:bCs/>
          <w:lang w:val="en-US"/>
        </w:rPr>
        <w:t>s</w:t>
      </w:r>
      <w:r w:rsidR="00244736" w:rsidRPr="000E50F1">
        <w:rPr>
          <w:rFonts w:ascii="Times" w:eastAsia="Calibri" w:hAnsi="Times"/>
          <w:bCs/>
          <w:lang w:val="en-US"/>
        </w:rPr>
        <w:t xml:space="preserve"> between data collection data </w:t>
      </w:r>
      <w:r w:rsidR="00A47443" w:rsidRPr="000E50F1">
        <w:rPr>
          <w:rFonts w:ascii="Times" w:eastAsia="Calibri" w:hAnsi="Times"/>
          <w:bCs/>
          <w:lang w:val="en-US"/>
        </w:rPr>
        <w:t xml:space="preserve">and </w:t>
      </w:r>
      <w:r w:rsidR="00244736" w:rsidRPr="000E50F1">
        <w:rPr>
          <w:rFonts w:ascii="Times" w:eastAsia="Calibri" w:hAnsi="Times"/>
          <w:bCs/>
          <w:lang w:val="en-US"/>
        </w:rPr>
        <w:t xml:space="preserve">analysis resulted in multiple </w:t>
      </w:r>
      <w:r w:rsidR="00F20F65" w:rsidRPr="000E50F1">
        <w:rPr>
          <w:rFonts w:ascii="Times" w:eastAsia="Calibri" w:hAnsi="Times"/>
          <w:bCs/>
          <w:lang w:val="en-US"/>
        </w:rPr>
        <w:t>re-entries</w:t>
      </w:r>
      <w:r w:rsidR="00244736" w:rsidRPr="000E50F1">
        <w:rPr>
          <w:rFonts w:ascii="Times" w:eastAsia="Calibri" w:hAnsi="Times"/>
          <w:bCs/>
          <w:lang w:val="en-US"/>
        </w:rPr>
        <w:t xml:space="preserve"> into the data. Ultimately, the application of grounded theory </w:t>
      </w:r>
      <w:r w:rsidR="00E42926" w:rsidRPr="000E50F1">
        <w:rPr>
          <w:rFonts w:ascii="Times" w:eastAsia="Calibri" w:hAnsi="Times"/>
          <w:bCs/>
          <w:lang w:val="en-US"/>
        </w:rPr>
        <w:t xml:space="preserve">taken to this research </w:t>
      </w:r>
      <w:r w:rsidR="00244736" w:rsidRPr="000E50F1">
        <w:rPr>
          <w:rFonts w:ascii="Times" w:eastAsia="Calibri" w:hAnsi="Times"/>
          <w:bCs/>
          <w:lang w:val="en-US"/>
        </w:rPr>
        <w:t xml:space="preserve">(as opposed to more generic qualitative coding) </w:t>
      </w:r>
      <w:r w:rsidR="00E42926" w:rsidRPr="000E50F1">
        <w:rPr>
          <w:rFonts w:ascii="Times" w:eastAsia="Calibri" w:hAnsi="Times"/>
          <w:bCs/>
          <w:lang w:val="en-US"/>
        </w:rPr>
        <w:t xml:space="preserve">in the spring of 2018 </w:t>
      </w:r>
      <w:r w:rsidR="00244736" w:rsidRPr="000E50F1">
        <w:rPr>
          <w:rFonts w:ascii="Times" w:eastAsia="Calibri" w:hAnsi="Times"/>
          <w:bCs/>
          <w:lang w:val="en-US"/>
        </w:rPr>
        <w:t xml:space="preserve">helped me to </w:t>
      </w:r>
      <w:r w:rsidR="00E42926" w:rsidRPr="000E50F1">
        <w:rPr>
          <w:rFonts w:ascii="Times" w:eastAsia="Calibri" w:hAnsi="Times"/>
          <w:bCs/>
          <w:lang w:val="en-US"/>
        </w:rPr>
        <w:t>interpret</w:t>
      </w:r>
      <w:r w:rsidR="00244736" w:rsidRPr="000E50F1">
        <w:rPr>
          <w:rFonts w:ascii="Times" w:eastAsia="Calibri" w:hAnsi="Times"/>
          <w:bCs/>
          <w:lang w:val="en-US"/>
        </w:rPr>
        <w:t xml:space="preserve"> these meanings in a fresh way. Support from Dr. </w:t>
      </w:r>
      <w:r w:rsidR="00A47443" w:rsidRPr="000E50F1">
        <w:rPr>
          <w:rFonts w:ascii="Times" w:eastAsia="Calibri" w:hAnsi="Times"/>
          <w:bCs/>
          <w:lang w:val="en-US"/>
        </w:rPr>
        <w:t xml:space="preserve">Bruce </w:t>
      </w:r>
      <w:r w:rsidR="00244736" w:rsidRPr="000E50F1">
        <w:rPr>
          <w:rFonts w:ascii="Times" w:eastAsia="Calibri" w:hAnsi="Times"/>
          <w:bCs/>
          <w:lang w:val="en-US"/>
        </w:rPr>
        <w:t xml:space="preserve">Newbold and Dr. </w:t>
      </w:r>
      <w:r w:rsidR="00A47443" w:rsidRPr="000E50F1">
        <w:rPr>
          <w:rFonts w:ascii="Times" w:eastAsia="Calibri" w:hAnsi="Times"/>
          <w:bCs/>
          <w:lang w:val="en-US"/>
        </w:rPr>
        <w:t xml:space="preserve">Charmaine </w:t>
      </w:r>
      <w:r w:rsidR="00244736" w:rsidRPr="000E50F1">
        <w:rPr>
          <w:rFonts w:ascii="Times" w:eastAsia="Calibri" w:hAnsi="Times"/>
          <w:bCs/>
          <w:lang w:val="en-US"/>
        </w:rPr>
        <w:t xml:space="preserve">Williams helped me to focus on the theme of barriers </w:t>
      </w:r>
      <w:r w:rsidR="000C6B1D" w:rsidRPr="000E50F1">
        <w:rPr>
          <w:rFonts w:ascii="Times" w:eastAsia="Calibri" w:hAnsi="Times"/>
          <w:bCs/>
          <w:lang w:val="en-US"/>
        </w:rPr>
        <w:t xml:space="preserve">and its associated ecological dimensions </w:t>
      </w:r>
      <w:r w:rsidR="00244736" w:rsidRPr="000E50F1">
        <w:rPr>
          <w:rFonts w:ascii="Times" w:eastAsia="Calibri" w:hAnsi="Times"/>
          <w:bCs/>
          <w:lang w:val="en-US"/>
        </w:rPr>
        <w:t>in the phase of selected coding</w:t>
      </w:r>
      <w:r w:rsidR="00E42926" w:rsidRPr="000E50F1">
        <w:rPr>
          <w:rFonts w:ascii="Times" w:eastAsia="Calibri" w:hAnsi="Times"/>
          <w:bCs/>
          <w:lang w:val="en-US"/>
        </w:rPr>
        <w:t>, which is reflected i</w:t>
      </w:r>
      <w:r w:rsidR="00244736" w:rsidRPr="000E50F1">
        <w:rPr>
          <w:rFonts w:ascii="Times" w:eastAsia="Calibri" w:hAnsi="Times"/>
          <w:bCs/>
          <w:lang w:val="en-US"/>
        </w:rPr>
        <w:t xml:space="preserve">n the </w:t>
      </w:r>
      <w:r w:rsidR="000C6B1D" w:rsidRPr="000E50F1">
        <w:rPr>
          <w:rFonts w:ascii="Times" w:eastAsia="Calibri" w:hAnsi="Times"/>
          <w:bCs/>
          <w:lang w:val="en-US"/>
        </w:rPr>
        <w:t>final</w:t>
      </w:r>
      <w:r w:rsidR="00244736" w:rsidRPr="000E50F1">
        <w:rPr>
          <w:rFonts w:ascii="Times" w:eastAsia="Calibri" w:hAnsi="Times"/>
          <w:bCs/>
          <w:lang w:val="en-US"/>
        </w:rPr>
        <w:t xml:space="preserve"> draft </w:t>
      </w:r>
      <w:r w:rsidR="00E42926" w:rsidRPr="000E50F1">
        <w:rPr>
          <w:rFonts w:ascii="Times" w:eastAsia="Calibri" w:hAnsi="Times"/>
          <w:bCs/>
          <w:lang w:val="en-US"/>
        </w:rPr>
        <w:t>of</w:t>
      </w:r>
      <w:r w:rsidR="00244736" w:rsidRPr="000E50F1">
        <w:rPr>
          <w:rFonts w:ascii="Times" w:eastAsia="Calibri" w:hAnsi="Times"/>
          <w:bCs/>
          <w:lang w:val="en-US"/>
        </w:rPr>
        <w:t xml:space="preserve"> the SWIS paper. </w:t>
      </w:r>
      <w:r w:rsidR="00E42926" w:rsidRPr="000E50F1">
        <w:rPr>
          <w:rFonts w:ascii="Times" w:eastAsia="Calibri" w:hAnsi="Times"/>
          <w:bCs/>
          <w:lang w:val="en-US"/>
        </w:rPr>
        <w:t>In the summer of 2018, I had successfully applied to</w:t>
      </w:r>
      <w:r w:rsidR="00A47443" w:rsidRPr="000E50F1">
        <w:rPr>
          <w:rFonts w:ascii="Times" w:eastAsia="Calibri" w:hAnsi="Times"/>
          <w:bCs/>
          <w:lang w:val="en-US"/>
        </w:rPr>
        <w:t xml:space="preserve"> a</w:t>
      </w:r>
      <w:r w:rsidR="00E42926" w:rsidRPr="000E50F1">
        <w:rPr>
          <w:rFonts w:ascii="Times" w:eastAsia="Calibri" w:hAnsi="Times"/>
          <w:bCs/>
          <w:lang w:val="en-US"/>
        </w:rPr>
        <w:t xml:space="preserve"> job at the Brant Haldimand Norfolk Catholic District School Board (BHNCDSB) </w:t>
      </w:r>
      <w:r w:rsidR="00F20F65" w:rsidRPr="000E50F1">
        <w:rPr>
          <w:rFonts w:ascii="Times" w:eastAsia="Calibri" w:hAnsi="Times"/>
          <w:bCs/>
          <w:lang w:val="en-US"/>
        </w:rPr>
        <w:t>to</w:t>
      </w:r>
      <w:r w:rsidR="00E42926" w:rsidRPr="000E50F1">
        <w:rPr>
          <w:rFonts w:ascii="Times" w:eastAsia="Calibri" w:hAnsi="Times"/>
          <w:bCs/>
          <w:lang w:val="en-US"/>
        </w:rPr>
        <w:t xml:space="preserve"> the position of Research Associate. Funding from the Ministry of Education enabled t</w:t>
      </w:r>
      <w:r w:rsidR="00A47443" w:rsidRPr="000E50F1">
        <w:rPr>
          <w:rFonts w:ascii="Times" w:eastAsia="Calibri" w:hAnsi="Times"/>
          <w:bCs/>
          <w:lang w:val="en-US"/>
        </w:rPr>
        <w:t>he</w:t>
      </w:r>
      <w:r w:rsidR="00E42926" w:rsidRPr="000E50F1">
        <w:rPr>
          <w:rFonts w:ascii="Times" w:eastAsia="Calibri" w:hAnsi="Times"/>
          <w:bCs/>
          <w:lang w:val="en-US"/>
        </w:rPr>
        <w:t xml:space="preserve"> district to carve out a role to support mental health research and evaluation. In the last two years of employment at BHNCDSB, I have gained insight into the function of school</w:t>
      </w:r>
      <w:r w:rsidR="000C6B1D" w:rsidRPr="000E50F1">
        <w:rPr>
          <w:rFonts w:ascii="Times" w:eastAsia="Calibri" w:hAnsi="Times"/>
          <w:bCs/>
          <w:lang w:val="en-US"/>
        </w:rPr>
        <w:t>s</w:t>
      </w:r>
      <w:r w:rsidR="00E42926" w:rsidRPr="000E50F1">
        <w:rPr>
          <w:rFonts w:ascii="Times" w:eastAsia="Calibri" w:hAnsi="Times"/>
          <w:bCs/>
          <w:lang w:val="en-US"/>
        </w:rPr>
        <w:t xml:space="preserve"> in ways that I could not have acquired outside of working from within it. During my first year of work, I had the </w:t>
      </w:r>
      <w:r w:rsidR="00F217AA" w:rsidRPr="000E50F1">
        <w:rPr>
          <w:rFonts w:ascii="Times" w:eastAsia="Calibri" w:hAnsi="Times"/>
          <w:bCs/>
          <w:lang w:val="en-US"/>
        </w:rPr>
        <w:t>opportunity</w:t>
      </w:r>
      <w:r w:rsidR="00E42926" w:rsidRPr="000E50F1">
        <w:rPr>
          <w:rFonts w:ascii="Times" w:eastAsia="Calibri" w:hAnsi="Times"/>
          <w:bCs/>
          <w:lang w:val="en-US"/>
        </w:rPr>
        <w:t xml:space="preserve"> to conduct student focus groups across the </w:t>
      </w:r>
      <w:r w:rsidR="00F217AA" w:rsidRPr="000E50F1">
        <w:rPr>
          <w:rFonts w:ascii="Times" w:eastAsia="Calibri" w:hAnsi="Times"/>
          <w:bCs/>
          <w:lang w:val="en-US"/>
        </w:rPr>
        <w:t>district</w:t>
      </w:r>
      <w:r w:rsidR="00E42926" w:rsidRPr="000E50F1">
        <w:rPr>
          <w:rFonts w:ascii="Times" w:eastAsia="Calibri" w:hAnsi="Times"/>
          <w:bCs/>
          <w:lang w:val="en-US"/>
        </w:rPr>
        <w:t xml:space="preserve"> with a number of equity-seeking groups (</w:t>
      </w:r>
      <w:r w:rsidR="00FF51A9" w:rsidRPr="000E50F1">
        <w:rPr>
          <w:rFonts w:ascii="Times" w:eastAsia="Calibri" w:hAnsi="Times"/>
          <w:bCs/>
          <w:lang w:val="en-US"/>
        </w:rPr>
        <w:t>i.e.,</w:t>
      </w:r>
      <w:r w:rsidR="00E42926" w:rsidRPr="000E50F1">
        <w:rPr>
          <w:rFonts w:ascii="Times" w:eastAsia="Calibri" w:hAnsi="Times"/>
          <w:bCs/>
          <w:lang w:val="en-US"/>
        </w:rPr>
        <w:t xml:space="preserve"> </w:t>
      </w:r>
      <w:r w:rsidR="00F217AA" w:rsidRPr="000E50F1">
        <w:rPr>
          <w:rFonts w:ascii="Times" w:eastAsia="Calibri" w:hAnsi="Times"/>
          <w:bCs/>
          <w:lang w:val="en-US"/>
        </w:rPr>
        <w:t>newcomers, Indigenous, 2SLGBTQ+, disengaged, and racialized)</w:t>
      </w:r>
      <w:r w:rsidR="00FD754D" w:rsidRPr="000E50F1">
        <w:rPr>
          <w:rFonts w:ascii="Times" w:eastAsia="Calibri" w:hAnsi="Times"/>
          <w:bCs/>
          <w:lang w:val="en-US"/>
        </w:rPr>
        <w:t xml:space="preserve">, which was informed by the student interview guide previously designed for my doctoral research. </w:t>
      </w:r>
      <w:r w:rsidR="00F217AA" w:rsidRPr="000E50F1">
        <w:rPr>
          <w:rFonts w:ascii="Times" w:eastAsia="Calibri" w:hAnsi="Times"/>
          <w:bCs/>
          <w:lang w:val="en-US"/>
        </w:rPr>
        <w:t xml:space="preserve">Although </w:t>
      </w:r>
      <w:r w:rsidR="00FD754D" w:rsidRPr="000E50F1">
        <w:rPr>
          <w:rFonts w:ascii="Times" w:eastAsia="Calibri" w:hAnsi="Times"/>
          <w:bCs/>
          <w:lang w:val="en-US"/>
        </w:rPr>
        <w:t>the</w:t>
      </w:r>
      <w:r w:rsidR="00F217AA" w:rsidRPr="000E50F1">
        <w:rPr>
          <w:rFonts w:ascii="Times" w:eastAsia="Calibri" w:hAnsi="Times"/>
          <w:bCs/>
          <w:lang w:val="en-US"/>
        </w:rPr>
        <w:t xml:space="preserve"> student-</w:t>
      </w:r>
      <w:r w:rsidR="00AD4A3E" w:rsidRPr="000E50F1">
        <w:rPr>
          <w:rFonts w:ascii="Times" w:eastAsia="Calibri" w:hAnsi="Times"/>
          <w:bCs/>
          <w:lang w:val="en-US"/>
        </w:rPr>
        <w:t>level</w:t>
      </w:r>
      <w:r w:rsidR="00F217AA" w:rsidRPr="000E50F1">
        <w:rPr>
          <w:rFonts w:ascii="Times" w:eastAsia="Calibri" w:hAnsi="Times"/>
          <w:bCs/>
          <w:lang w:val="en-US"/>
        </w:rPr>
        <w:t xml:space="preserve"> data </w:t>
      </w:r>
      <w:r w:rsidR="00FD754D" w:rsidRPr="000E50F1">
        <w:rPr>
          <w:rFonts w:ascii="Times" w:eastAsia="Calibri" w:hAnsi="Times"/>
          <w:bCs/>
          <w:lang w:val="en-US"/>
        </w:rPr>
        <w:t>wa</w:t>
      </w:r>
      <w:r w:rsidR="00F217AA" w:rsidRPr="000E50F1">
        <w:rPr>
          <w:rFonts w:ascii="Times" w:eastAsia="Calibri" w:hAnsi="Times"/>
          <w:bCs/>
          <w:lang w:val="en-US"/>
        </w:rPr>
        <w:t>s not integrat</w:t>
      </w:r>
      <w:r w:rsidR="00A47443" w:rsidRPr="000E50F1">
        <w:rPr>
          <w:rFonts w:ascii="Times" w:eastAsia="Calibri" w:hAnsi="Times"/>
          <w:bCs/>
          <w:lang w:val="en-US"/>
        </w:rPr>
        <w:t>ed</w:t>
      </w:r>
      <w:r w:rsidR="00F217AA" w:rsidRPr="000E50F1">
        <w:rPr>
          <w:rFonts w:ascii="Times" w:eastAsia="Calibri" w:hAnsi="Times"/>
          <w:bCs/>
          <w:lang w:val="en-US"/>
        </w:rPr>
        <w:t xml:space="preserve"> into </w:t>
      </w:r>
      <w:r w:rsidR="00FD754D" w:rsidRPr="000E50F1">
        <w:rPr>
          <w:rFonts w:ascii="Times" w:eastAsia="Calibri" w:hAnsi="Times"/>
          <w:bCs/>
          <w:lang w:val="en-US"/>
        </w:rPr>
        <w:t xml:space="preserve">the SWIS </w:t>
      </w:r>
      <w:r w:rsidR="005903D4" w:rsidRPr="000E50F1">
        <w:rPr>
          <w:rFonts w:ascii="Times" w:eastAsia="Calibri" w:hAnsi="Times"/>
          <w:bCs/>
          <w:lang w:val="en-US"/>
        </w:rPr>
        <w:t>manuscript</w:t>
      </w:r>
      <w:r w:rsidR="000F654E" w:rsidRPr="000E50F1">
        <w:rPr>
          <w:rFonts w:ascii="Times" w:eastAsia="Calibri" w:hAnsi="Times"/>
          <w:bCs/>
          <w:lang w:val="en-US"/>
        </w:rPr>
        <w:t xml:space="preserve"> given its scope</w:t>
      </w:r>
      <w:r w:rsidR="00F217AA" w:rsidRPr="000E50F1">
        <w:rPr>
          <w:rFonts w:ascii="Times" w:eastAsia="Calibri" w:hAnsi="Times"/>
          <w:bCs/>
          <w:lang w:val="en-US"/>
        </w:rPr>
        <w:t xml:space="preserve">, </w:t>
      </w:r>
      <w:r w:rsidR="00F217AA" w:rsidRPr="000E50F1">
        <w:rPr>
          <w:rFonts w:ascii="Times" w:eastAsia="Calibri" w:hAnsi="Times"/>
          <w:bCs/>
          <w:lang w:val="en-US"/>
        </w:rPr>
        <w:lastRenderedPageBreak/>
        <w:t xml:space="preserve">my knowledge of school systems, school mental health polices and programming, and equity in education policies </w:t>
      </w:r>
      <w:r w:rsidR="00AD4A3E" w:rsidRPr="000E50F1">
        <w:rPr>
          <w:rFonts w:ascii="Times" w:eastAsia="Calibri" w:hAnsi="Times"/>
          <w:bCs/>
          <w:lang w:val="en-US"/>
        </w:rPr>
        <w:t>helped to shape the</w:t>
      </w:r>
      <w:r w:rsidR="000F654E" w:rsidRPr="000E50F1">
        <w:rPr>
          <w:rFonts w:ascii="Times" w:eastAsia="Calibri" w:hAnsi="Times"/>
          <w:bCs/>
          <w:lang w:val="en-US"/>
        </w:rPr>
        <w:t xml:space="preserve"> formation of</w:t>
      </w:r>
      <w:r w:rsidR="00AD4A3E" w:rsidRPr="000E50F1">
        <w:rPr>
          <w:rFonts w:ascii="Times" w:eastAsia="Calibri" w:hAnsi="Times"/>
          <w:bCs/>
          <w:lang w:val="en-US"/>
        </w:rPr>
        <w:t xml:space="preserve"> </w:t>
      </w:r>
      <w:r w:rsidR="00F217AA" w:rsidRPr="000E50F1">
        <w:rPr>
          <w:rFonts w:ascii="Times" w:eastAsia="Calibri" w:hAnsi="Times"/>
          <w:bCs/>
          <w:lang w:val="en-US"/>
        </w:rPr>
        <w:t xml:space="preserve">chapter five. </w:t>
      </w:r>
      <w:r w:rsidR="00EC51D4" w:rsidRPr="000E50F1">
        <w:rPr>
          <w:rFonts w:ascii="Times" w:eastAsia="Calibri" w:hAnsi="Times"/>
          <w:bCs/>
          <w:lang w:val="en-US"/>
        </w:rPr>
        <w:t>T</w:t>
      </w:r>
      <w:r w:rsidR="00F217AA" w:rsidRPr="000E50F1">
        <w:rPr>
          <w:rFonts w:ascii="Times" w:eastAsia="Calibri" w:hAnsi="Times"/>
          <w:bCs/>
          <w:lang w:val="en-US"/>
        </w:rPr>
        <w:t xml:space="preserve">he findings from </w:t>
      </w:r>
      <w:r w:rsidR="00AD4A3E" w:rsidRPr="000E50F1">
        <w:rPr>
          <w:rFonts w:ascii="Times" w:eastAsia="Calibri" w:hAnsi="Times"/>
          <w:bCs/>
          <w:lang w:val="en-US"/>
        </w:rPr>
        <w:t xml:space="preserve">the SWIS research </w:t>
      </w:r>
      <w:r w:rsidR="00F217AA" w:rsidRPr="000E50F1">
        <w:rPr>
          <w:rFonts w:ascii="Times" w:eastAsia="Calibri" w:hAnsi="Times"/>
          <w:bCs/>
          <w:lang w:val="en-US"/>
        </w:rPr>
        <w:t xml:space="preserve">adds evidence, models engagement, and operationalizes equity, which are the pillars in the integrated model to mental health intervention as identified by </w:t>
      </w:r>
      <w:r w:rsidR="00976F54" w:rsidRPr="000E50F1">
        <w:rPr>
          <w:rFonts w:ascii="Times" w:eastAsia="Calibri" w:hAnsi="Times"/>
          <w:bCs/>
          <w:lang w:val="en-US"/>
        </w:rPr>
        <w:t>School</w:t>
      </w:r>
      <w:r w:rsidR="00F217AA" w:rsidRPr="000E50F1">
        <w:rPr>
          <w:rFonts w:ascii="Times" w:eastAsia="Calibri" w:hAnsi="Times"/>
          <w:bCs/>
          <w:lang w:val="en-US"/>
        </w:rPr>
        <w:t xml:space="preserve"> Mental </w:t>
      </w:r>
      <w:r w:rsidR="00976F54" w:rsidRPr="000E50F1">
        <w:rPr>
          <w:rFonts w:ascii="Times" w:eastAsia="Calibri" w:hAnsi="Times"/>
          <w:bCs/>
          <w:lang w:val="en-US"/>
        </w:rPr>
        <w:t>Health</w:t>
      </w:r>
      <w:r w:rsidR="00F217AA" w:rsidRPr="000E50F1">
        <w:rPr>
          <w:rFonts w:ascii="Times" w:eastAsia="Calibri" w:hAnsi="Times"/>
          <w:bCs/>
          <w:lang w:val="en-US"/>
        </w:rPr>
        <w:t xml:space="preserve"> </w:t>
      </w:r>
      <w:r w:rsidR="00976F54" w:rsidRPr="000E50F1">
        <w:rPr>
          <w:rFonts w:ascii="Times" w:eastAsia="Calibri" w:hAnsi="Times"/>
          <w:bCs/>
          <w:lang w:val="en-US"/>
        </w:rPr>
        <w:t>Ontario</w:t>
      </w:r>
      <w:r w:rsidR="00F217AA" w:rsidRPr="000E50F1">
        <w:rPr>
          <w:rStyle w:val="FootnoteReference"/>
          <w:rFonts w:ascii="Times" w:eastAsia="Calibri" w:hAnsi="Times"/>
          <w:bCs/>
          <w:lang w:val="en-US"/>
        </w:rPr>
        <w:footnoteReference w:id="9"/>
      </w:r>
      <w:r w:rsidR="00F217AA" w:rsidRPr="000E50F1">
        <w:rPr>
          <w:rFonts w:ascii="Times" w:eastAsia="Calibri" w:hAnsi="Times"/>
          <w:bCs/>
          <w:lang w:val="en-US"/>
        </w:rPr>
        <w:t xml:space="preserve">. </w:t>
      </w:r>
    </w:p>
    <w:p w14:paraId="1E54E381" w14:textId="3D288390" w:rsidR="004A34AB" w:rsidRPr="000E50F1" w:rsidRDefault="004A34AB" w:rsidP="00351DC6">
      <w:pPr>
        <w:rPr>
          <w:rFonts w:ascii="Times" w:eastAsia="Calibri" w:hAnsi="Times"/>
          <w:bCs/>
        </w:rPr>
      </w:pPr>
    </w:p>
    <w:p w14:paraId="564C0167" w14:textId="20E494CC" w:rsidR="004701A4" w:rsidRPr="000E50F1" w:rsidRDefault="00E0492B" w:rsidP="00351DC6">
      <w:pPr>
        <w:rPr>
          <w:rFonts w:ascii="Times" w:eastAsia="Calibri" w:hAnsi="Times"/>
          <w:bCs/>
          <w:i/>
          <w:iCs/>
        </w:rPr>
      </w:pPr>
      <w:r w:rsidRPr="000E50F1">
        <w:rPr>
          <w:rFonts w:ascii="Times" w:eastAsia="Calibri" w:hAnsi="Times"/>
          <w:bCs/>
          <w:i/>
          <w:iCs/>
        </w:rPr>
        <w:t xml:space="preserve">Identities </w:t>
      </w:r>
      <w:r w:rsidR="006161FD">
        <w:rPr>
          <w:rFonts w:ascii="Times" w:eastAsia="Calibri" w:hAnsi="Times"/>
          <w:bCs/>
          <w:i/>
          <w:iCs/>
        </w:rPr>
        <w:t>t</w:t>
      </w:r>
      <w:r w:rsidRPr="000E50F1">
        <w:rPr>
          <w:rFonts w:ascii="Times" w:eastAsia="Calibri" w:hAnsi="Times"/>
          <w:bCs/>
          <w:i/>
          <w:iCs/>
        </w:rPr>
        <w:t xml:space="preserve">hat </w:t>
      </w:r>
      <w:r w:rsidR="00CB1747" w:rsidRPr="000E50F1">
        <w:rPr>
          <w:rFonts w:ascii="Times" w:eastAsia="Calibri" w:hAnsi="Times"/>
          <w:bCs/>
          <w:i/>
          <w:iCs/>
        </w:rPr>
        <w:t xml:space="preserve">Resist &amp; Disrupt Power Structures </w:t>
      </w:r>
    </w:p>
    <w:p w14:paraId="3B8E54B4" w14:textId="115005B2" w:rsidR="00BD7F4B" w:rsidRPr="000E50F1" w:rsidRDefault="00294BC2" w:rsidP="00351DC6">
      <w:pPr>
        <w:rPr>
          <w:rFonts w:ascii="Times" w:eastAsia="Calibri" w:hAnsi="Times"/>
          <w:bCs/>
        </w:rPr>
      </w:pPr>
      <w:r w:rsidRPr="000E50F1">
        <w:rPr>
          <w:rFonts w:ascii="Times" w:eastAsia="Calibri" w:hAnsi="Times"/>
          <w:bCs/>
        </w:rPr>
        <w:t xml:space="preserve">By choosing a community-based research approach to my doctoral work, this placed me in the community where I could establish relationships </w:t>
      </w:r>
      <w:r w:rsidR="00397384" w:rsidRPr="000E50F1">
        <w:rPr>
          <w:rFonts w:ascii="Times" w:eastAsia="Calibri" w:hAnsi="Times"/>
          <w:bCs/>
        </w:rPr>
        <w:t>and connection</w:t>
      </w:r>
      <w:r w:rsidR="005903D4" w:rsidRPr="000E50F1">
        <w:rPr>
          <w:rFonts w:ascii="Times" w:eastAsia="Calibri" w:hAnsi="Times"/>
          <w:bCs/>
        </w:rPr>
        <w:t>s</w:t>
      </w:r>
      <w:r w:rsidR="00397384" w:rsidRPr="000E50F1">
        <w:rPr>
          <w:rFonts w:ascii="Times" w:eastAsia="Calibri" w:hAnsi="Times"/>
          <w:bCs/>
        </w:rPr>
        <w:t xml:space="preserve"> </w:t>
      </w:r>
      <w:r w:rsidRPr="000E50F1">
        <w:rPr>
          <w:rFonts w:ascii="Times" w:eastAsia="Calibri" w:hAnsi="Times"/>
          <w:bCs/>
        </w:rPr>
        <w:t xml:space="preserve">over time, which opened up formal and informal entry points into various sites for the purpose of data collection. In some settings, </w:t>
      </w:r>
      <w:r w:rsidR="004A34AB" w:rsidRPr="000E50F1">
        <w:rPr>
          <w:rFonts w:ascii="Times" w:eastAsia="Calibri" w:hAnsi="Times"/>
          <w:bCs/>
        </w:rPr>
        <w:t xml:space="preserve">I believe that my identity as a young, racialized women helped me </w:t>
      </w:r>
      <w:r w:rsidR="00397384" w:rsidRPr="000E50F1">
        <w:rPr>
          <w:rFonts w:ascii="Times" w:eastAsia="Calibri" w:hAnsi="Times"/>
          <w:bCs/>
        </w:rPr>
        <w:t xml:space="preserve">to gain access, particularly when </w:t>
      </w:r>
      <w:r w:rsidR="004A34AB" w:rsidRPr="000E50F1">
        <w:rPr>
          <w:rFonts w:ascii="Times" w:eastAsia="Calibri" w:hAnsi="Times"/>
          <w:bCs/>
        </w:rPr>
        <w:t xml:space="preserve">I needed to access newcomer groups. On the other hand, I believe that it was the amount of time spent in the community that gave newcomers and their gate keepers </w:t>
      </w:r>
      <w:r w:rsidR="00397384" w:rsidRPr="000E50F1">
        <w:rPr>
          <w:rFonts w:ascii="Times" w:eastAsia="Calibri" w:hAnsi="Times"/>
          <w:bCs/>
        </w:rPr>
        <w:t>that</w:t>
      </w:r>
      <w:r w:rsidR="00AD4A3E" w:rsidRPr="000E50F1">
        <w:rPr>
          <w:rFonts w:ascii="Times" w:eastAsia="Calibri" w:hAnsi="Times"/>
          <w:bCs/>
        </w:rPr>
        <w:t xml:space="preserve"> </w:t>
      </w:r>
      <w:r w:rsidR="004A34AB" w:rsidRPr="000E50F1">
        <w:rPr>
          <w:rFonts w:ascii="Times" w:eastAsia="Calibri" w:hAnsi="Times"/>
          <w:bCs/>
        </w:rPr>
        <w:t xml:space="preserve">sense of </w:t>
      </w:r>
      <w:r w:rsidR="00397384" w:rsidRPr="000E50F1">
        <w:rPr>
          <w:rFonts w:ascii="Times" w:eastAsia="Calibri" w:hAnsi="Times"/>
          <w:bCs/>
        </w:rPr>
        <w:t>trust or confidence</w:t>
      </w:r>
      <w:r w:rsidR="004A34AB" w:rsidRPr="000E50F1">
        <w:rPr>
          <w:rFonts w:ascii="Times" w:eastAsia="Calibri" w:hAnsi="Times"/>
          <w:bCs/>
        </w:rPr>
        <w:t xml:space="preserve"> </w:t>
      </w:r>
      <w:r w:rsidR="00397384" w:rsidRPr="000E50F1">
        <w:rPr>
          <w:rFonts w:ascii="Times" w:eastAsia="Calibri" w:hAnsi="Times"/>
          <w:bCs/>
        </w:rPr>
        <w:t xml:space="preserve">when I approached </w:t>
      </w:r>
      <w:r w:rsidR="004A34AB" w:rsidRPr="000E50F1">
        <w:rPr>
          <w:rFonts w:ascii="Times" w:eastAsia="Calibri" w:hAnsi="Times"/>
          <w:bCs/>
        </w:rPr>
        <w:t>the</w:t>
      </w:r>
      <w:r w:rsidR="00CC66AB" w:rsidRPr="000E50F1">
        <w:rPr>
          <w:rFonts w:ascii="Times" w:eastAsia="Calibri" w:hAnsi="Times"/>
          <w:bCs/>
        </w:rPr>
        <w:t>ir</w:t>
      </w:r>
      <w:r w:rsidR="004A34AB" w:rsidRPr="000E50F1">
        <w:rPr>
          <w:rFonts w:ascii="Times" w:eastAsia="Calibri" w:hAnsi="Times"/>
          <w:bCs/>
        </w:rPr>
        <w:t xml:space="preserve"> space. My lived experience as a refugee and former newcomer </w:t>
      </w:r>
      <w:r w:rsidR="00EC51D4" w:rsidRPr="000E50F1">
        <w:rPr>
          <w:rFonts w:ascii="Times" w:eastAsia="Calibri" w:hAnsi="Times"/>
          <w:bCs/>
        </w:rPr>
        <w:t xml:space="preserve">to Hamilton </w:t>
      </w:r>
      <w:r w:rsidR="004A34AB" w:rsidRPr="000E50F1">
        <w:rPr>
          <w:rFonts w:ascii="Times" w:eastAsia="Calibri" w:hAnsi="Times"/>
          <w:bCs/>
        </w:rPr>
        <w:t xml:space="preserve">also helped </w:t>
      </w:r>
      <w:r w:rsidR="00AB7BFA" w:rsidRPr="000E50F1">
        <w:rPr>
          <w:rFonts w:ascii="Times" w:eastAsia="Calibri" w:hAnsi="Times"/>
          <w:bCs/>
        </w:rPr>
        <w:t>newcomers</w:t>
      </w:r>
      <w:r w:rsidR="004A34AB" w:rsidRPr="000E50F1">
        <w:rPr>
          <w:rFonts w:ascii="Times" w:eastAsia="Calibri" w:hAnsi="Times"/>
          <w:bCs/>
        </w:rPr>
        <w:t xml:space="preserve"> </w:t>
      </w:r>
      <w:r w:rsidR="00AB7BFA" w:rsidRPr="000E50F1">
        <w:rPr>
          <w:rFonts w:ascii="Times" w:eastAsia="Calibri" w:hAnsi="Times"/>
          <w:bCs/>
        </w:rPr>
        <w:t>to</w:t>
      </w:r>
      <w:r w:rsidR="004A34AB" w:rsidRPr="000E50F1">
        <w:rPr>
          <w:rFonts w:ascii="Times" w:eastAsia="Calibri" w:hAnsi="Times"/>
          <w:bCs/>
        </w:rPr>
        <w:t xml:space="preserve"> feel that </w:t>
      </w:r>
      <w:r w:rsidR="00AB7BFA" w:rsidRPr="000E50F1">
        <w:rPr>
          <w:rFonts w:ascii="Times" w:eastAsia="Calibri" w:hAnsi="Times"/>
          <w:bCs/>
        </w:rPr>
        <w:t xml:space="preserve">‘she is one of us’ in settings where conversations were </w:t>
      </w:r>
      <w:r w:rsidR="00EC51D4" w:rsidRPr="000E50F1">
        <w:rPr>
          <w:rFonts w:ascii="Times" w:eastAsia="Calibri" w:hAnsi="Times"/>
          <w:bCs/>
        </w:rPr>
        <w:t xml:space="preserve">driven by </w:t>
      </w:r>
      <w:r w:rsidR="00AB7BFA" w:rsidRPr="000E50F1">
        <w:rPr>
          <w:rFonts w:ascii="Times" w:eastAsia="Calibri" w:hAnsi="Times"/>
          <w:bCs/>
        </w:rPr>
        <w:t xml:space="preserve">a research objective. </w:t>
      </w:r>
      <w:r w:rsidR="000D4DB7" w:rsidRPr="000E50F1">
        <w:rPr>
          <w:rFonts w:ascii="Times" w:eastAsia="Calibri" w:hAnsi="Times"/>
          <w:bCs/>
        </w:rPr>
        <w:t>It is always good for me to hear a participant say, ‘it was so easy talking to you’ or ‘I feel like you understand me’</w:t>
      </w:r>
      <w:r w:rsidR="00AD4A3E" w:rsidRPr="000E50F1">
        <w:rPr>
          <w:rFonts w:ascii="Times" w:eastAsia="Calibri" w:hAnsi="Times"/>
          <w:bCs/>
        </w:rPr>
        <w:t>.</w:t>
      </w:r>
      <w:r w:rsidR="004701A4" w:rsidRPr="000E50F1">
        <w:rPr>
          <w:rFonts w:ascii="Times" w:eastAsia="Calibri" w:hAnsi="Times"/>
          <w:bCs/>
        </w:rPr>
        <w:t xml:space="preserve"> The ‘othering’ </w:t>
      </w:r>
      <w:r w:rsidR="0007626E" w:rsidRPr="000E50F1">
        <w:rPr>
          <w:rFonts w:ascii="Times" w:eastAsia="Calibri" w:hAnsi="Times"/>
          <w:bCs/>
        </w:rPr>
        <w:t xml:space="preserve">that comes with this type of research along lines of </w:t>
      </w:r>
      <w:r w:rsidR="00397384" w:rsidRPr="000E50F1">
        <w:rPr>
          <w:rFonts w:ascii="Times" w:eastAsia="Calibri" w:hAnsi="Times"/>
          <w:bCs/>
        </w:rPr>
        <w:t xml:space="preserve">differences (i.e., </w:t>
      </w:r>
      <w:r w:rsidR="00DD5360" w:rsidRPr="000E50F1">
        <w:rPr>
          <w:rFonts w:ascii="Times" w:eastAsia="Calibri" w:hAnsi="Times"/>
          <w:bCs/>
        </w:rPr>
        <w:t>income,</w:t>
      </w:r>
      <w:r w:rsidR="004701A4" w:rsidRPr="000E50F1">
        <w:rPr>
          <w:rFonts w:ascii="Times" w:eastAsia="Calibri" w:hAnsi="Times"/>
          <w:bCs/>
        </w:rPr>
        <w:t xml:space="preserve"> class, </w:t>
      </w:r>
      <w:r w:rsidR="00DD5360" w:rsidRPr="000E50F1">
        <w:rPr>
          <w:rFonts w:ascii="Times" w:eastAsia="Calibri" w:hAnsi="Times"/>
          <w:bCs/>
        </w:rPr>
        <w:t>ethnicity</w:t>
      </w:r>
      <w:r w:rsidR="004701A4" w:rsidRPr="000E50F1">
        <w:rPr>
          <w:rFonts w:ascii="Times" w:eastAsia="Calibri" w:hAnsi="Times"/>
          <w:bCs/>
        </w:rPr>
        <w:t>, ci</w:t>
      </w:r>
      <w:r w:rsidR="00DD5360" w:rsidRPr="000E50F1">
        <w:rPr>
          <w:rFonts w:ascii="Times" w:eastAsia="Calibri" w:hAnsi="Times"/>
          <w:bCs/>
        </w:rPr>
        <w:t>tizenship</w:t>
      </w:r>
      <w:r w:rsidR="004701A4" w:rsidRPr="000E50F1">
        <w:rPr>
          <w:rFonts w:ascii="Times" w:eastAsia="Calibri" w:hAnsi="Times"/>
          <w:bCs/>
        </w:rPr>
        <w:t xml:space="preserve">, age, </w:t>
      </w:r>
      <w:r w:rsidR="00DD5360" w:rsidRPr="000E50F1">
        <w:rPr>
          <w:rFonts w:ascii="Times" w:eastAsia="Calibri" w:hAnsi="Times"/>
          <w:bCs/>
        </w:rPr>
        <w:t xml:space="preserve">gender, </w:t>
      </w:r>
      <w:r w:rsidR="004701A4" w:rsidRPr="000E50F1">
        <w:rPr>
          <w:rFonts w:ascii="Times" w:eastAsia="Calibri" w:hAnsi="Times"/>
          <w:bCs/>
        </w:rPr>
        <w:t>legality</w:t>
      </w:r>
      <w:r w:rsidR="00DD5360" w:rsidRPr="000E50F1">
        <w:rPr>
          <w:rFonts w:ascii="Times" w:eastAsia="Calibri" w:hAnsi="Times"/>
          <w:bCs/>
        </w:rPr>
        <w:t>, etc.</w:t>
      </w:r>
      <w:r w:rsidR="00397384" w:rsidRPr="000E50F1">
        <w:rPr>
          <w:rFonts w:ascii="Times" w:eastAsia="Calibri" w:hAnsi="Times"/>
          <w:bCs/>
        </w:rPr>
        <w:t xml:space="preserve">) </w:t>
      </w:r>
      <w:r w:rsidR="00AD4A3E" w:rsidRPr="000E50F1">
        <w:rPr>
          <w:rFonts w:ascii="Times" w:eastAsia="Calibri" w:hAnsi="Times"/>
          <w:bCs/>
        </w:rPr>
        <w:t xml:space="preserve">are less apparent because </w:t>
      </w:r>
      <w:r w:rsidR="00397384" w:rsidRPr="000E50F1">
        <w:rPr>
          <w:rFonts w:ascii="Times" w:eastAsia="Calibri" w:hAnsi="Times"/>
          <w:bCs/>
        </w:rPr>
        <w:t>these are</w:t>
      </w:r>
      <w:r w:rsidR="00AA1EED">
        <w:rPr>
          <w:rFonts w:ascii="Times" w:eastAsia="Calibri" w:hAnsi="Times"/>
          <w:bCs/>
        </w:rPr>
        <w:t xml:space="preserve"> the</w:t>
      </w:r>
      <w:r w:rsidR="00397384" w:rsidRPr="000E50F1">
        <w:rPr>
          <w:rFonts w:ascii="Times" w:eastAsia="Calibri" w:hAnsi="Times"/>
          <w:bCs/>
        </w:rPr>
        <w:t xml:space="preserve"> </w:t>
      </w:r>
      <w:r w:rsidR="00DD5360" w:rsidRPr="000E50F1">
        <w:rPr>
          <w:rFonts w:ascii="Times" w:eastAsia="Calibri" w:hAnsi="Times"/>
          <w:bCs/>
        </w:rPr>
        <w:t xml:space="preserve">labels and categories </w:t>
      </w:r>
      <w:r w:rsidR="00EC51D4" w:rsidRPr="000E50F1">
        <w:rPr>
          <w:rFonts w:ascii="Times" w:eastAsia="Calibri" w:hAnsi="Times"/>
          <w:bCs/>
        </w:rPr>
        <w:t xml:space="preserve">that </w:t>
      </w:r>
      <w:r w:rsidR="009D3191" w:rsidRPr="000E50F1">
        <w:rPr>
          <w:rFonts w:ascii="Times" w:eastAsia="Calibri" w:hAnsi="Times"/>
          <w:bCs/>
        </w:rPr>
        <w:t>I</w:t>
      </w:r>
      <w:r w:rsidR="00DD5360" w:rsidRPr="000E50F1">
        <w:rPr>
          <w:rFonts w:ascii="Times" w:eastAsia="Calibri" w:hAnsi="Times"/>
          <w:bCs/>
        </w:rPr>
        <w:t xml:space="preserve"> could </w:t>
      </w:r>
      <w:r w:rsidR="00EC51D4" w:rsidRPr="000E50F1">
        <w:rPr>
          <w:rFonts w:ascii="Times" w:eastAsia="Calibri" w:hAnsi="Times"/>
          <w:bCs/>
        </w:rPr>
        <w:t>identify with. As a result</w:t>
      </w:r>
      <w:r w:rsidR="00AD4A3E" w:rsidRPr="000E50F1">
        <w:rPr>
          <w:rFonts w:ascii="Times" w:eastAsia="Calibri" w:hAnsi="Times"/>
          <w:bCs/>
        </w:rPr>
        <w:t xml:space="preserve">, </w:t>
      </w:r>
      <w:r w:rsidR="00397384" w:rsidRPr="000E50F1">
        <w:rPr>
          <w:rFonts w:ascii="Times" w:eastAsia="Calibri" w:hAnsi="Times"/>
          <w:bCs/>
        </w:rPr>
        <w:t>the gap between myself and my participants are often smaller</w:t>
      </w:r>
      <w:r w:rsidR="0007626E" w:rsidRPr="000E50F1">
        <w:rPr>
          <w:rFonts w:ascii="Times" w:eastAsia="Calibri" w:hAnsi="Times"/>
          <w:bCs/>
        </w:rPr>
        <w:t xml:space="preserve">. </w:t>
      </w:r>
      <w:r w:rsidR="00CF0292" w:rsidRPr="000E50F1">
        <w:rPr>
          <w:rFonts w:ascii="Times" w:eastAsia="Calibri" w:hAnsi="Times"/>
          <w:bCs/>
        </w:rPr>
        <w:t xml:space="preserve">Overall, I believe that my position and power as a researcher in these settings </w:t>
      </w:r>
      <w:r w:rsidR="00AA1EED">
        <w:rPr>
          <w:rFonts w:ascii="Times" w:eastAsia="Calibri" w:hAnsi="Times"/>
          <w:bCs/>
        </w:rPr>
        <w:t>were</w:t>
      </w:r>
      <w:r w:rsidR="00CF0292" w:rsidRPr="000E50F1">
        <w:rPr>
          <w:rFonts w:ascii="Times" w:eastAsia="Calibri" w:hAnsi="Times"/>
          <w:bCs/>
        </w:rPr>
        <w:t xml:space="preserve"> resisted and disrupted by other aspects of my identities, which afforded me better access and gave me a different vantage point to this research. </w:t>
      </w:r>
    </w:p>
    <w:p w14:paraId="63DA0D28" w14:textId="7D79949C" w:rsidR="00BD7F4B" w:rsidRDefault="00BD7F4B" w:rsidP="00351DC6">
      <w:pPr>
        <w:rPr>
          <w:rFonts w:ascii="Times" w:eastAsia="Calibri" w:hAnsi="Times"/>
          <w:bCs/>
        </w:rPr>
      </w:pPr>
    </w:p>
    <w:p w14:paraId="3C473283" w14:textId="19D128DD" w:rsidR="006161FD" w:rsidRPr="006161FD" w:rsidRDefault="006161FD" w:rsidP="00351DC6">
      <w:pPr>
        <w:rPr>
          <w:rFonts w:ascii="Times" w:eastAsia="Calibri" w:hAnsi="Times"/>
          <w:bCs/>
          <w:i/>
          <w:iCs/>
        </w:rPr>
      </w:pPr>
      <w:r w:rsidRPr="006161FD">
        <w:rPr>
          <w:rFonts w:ascii="Times" w:eastAsia="Calibri" w:hAnsi="Times"/>
          <w:bCs/>
          <w:i/>
          <w:iCs/>
        </w:rPr>
        <w:t xml:space="preserve">Philosophical Assumptions </w:t>
      </w:r>
      <w:r>
        <w:rPr>
          <w:rFonts w:ascii="Times" w:eastAsia="Calibri" w:hAnsi="Times"/>
          <w:bCs/>
          <w:i/>
          <w:iCs/>
        </w:rPr>
        <w:t>w</w:t>
      </w:r>
      <w:r w:rsidRPr="006161FD">
        <w:rPr>
          <w:rFonts w:ascii="Times" w:eastAsia="Calibri" w:hAnsi="Times"/>
          <w:bCs/>
          <w:i/>
          <w:iCs/>
        </w:rPr>
        <w:t>ith Implications</w:t>
      </w:r>
      <w:r>
        <w:rPr>
          <w:rFonts w:ascii="Times" w:eastAsia="Calibri" w:hAnsi="Times"/>
          <w:bCs/>
          <w:i/>
          <w:iCs/>
        </w:rPr>
        <w:t xml:space="preserve"> for</w:t>
      </w:r>
      <w:r w:rsidRPr="006161FD">
        <w:rPr>
          <w:rFonts w:ascii="Times" w:eastAsia="Calibri" w:hAnsi="Times"/>
          <w:bCs/>
          <w:i/>
          <w:iCs/>
        </w:rPr>
        <w:t xml:space="preserve"> Practice</w:t>
      </w:r>
    </w:p>
    <w:p w14:paraId="568AA027" w14:textId="53E5323E" w:rsidR="008868BD" w:rsidRPr="000E50F1" w:rsidRDefault="00854E94" w:rsidP="00351DC6">
      <w:pPr>
        <w:rPr>
          <w:rFonts w:ascii="Times" w:eastAsia="Calibri" w:hAnsi="Times"/>
          <w:bCs/>
        </w:rPr>
      </w:pPr>
      <w:r w:rsidRPr="000E50F1">
        <w:rPr>
          <w:rFonts w:ascii="Times" w:eastAsia="Calibri" w:hAnsi="Times"/>
          <w:bCs/>
        </w:rPr>
        <w:t xml:space="preserve">Time spent in the community has also helped to shape my ontological and epistemological assumptions. </w:t>
      </w:r>
      <w:r w:rsidR="009205D8" w:rsidRPr="000E50F1">
        <w:rPr>
          <w:rFonts w:ascii="Times" w:eastAsia="Calibri" w:hAnsi="Times"/>
          <w:bCs/>
        </w:rPr>
        <w:t xml:space="preserve">In the summer of 2014, </w:t>
      </w:r>
      <w:r w:rsidR="000D692E" w:rsidRPr="000E50F1">
        <w:rPr>
          <w:rFonts w:ascii="Times" w:eastAsia="Calibri" w:hAnsi="Times"/>
          <w:bCs/>
        </w:rPr>
        <w:t xml:space="preserve">I </w:t>
      </w:r>
      <w:r w:rsidR="009205D8" w:rsidRPr="000E50F1">
        <w:rPr>
          <w:rFonts w:ascii="Times" w:eastAsia="Calibri" w:hAnsi="Times"/>
          <w:bCs/>
        </w:rPr>
        <w:t>worked at the Social Planning and Research Council as a Community Development Assistant in Rolston, one of 11 priority neighbo</w:t>
      </w:r>
      <w:r w:rsidR="008A40E3" w:rsidRPr="000E50F1">
        <w:rPr>
          <w:rFonts w:ascii="Times" w:eastAsia="Calibri" w:hAnsi="Times"/>
          <w:bCs/>
        </w:rPr>
        <w:t>u</w:t>
      </w:r>
      <w:r w:rsidR="009205D8" w:rsidRPr="000E50F1">
        <w:rPr>
          <w:rFonts w:ascii="Times" w:eastAsia="Calibri" w:hAnsi="Times"/>
          <w:bCs/>
        </w:rPr>
        <w:t xml:space="preserve">rhoods in Hamilton. As part of our training, </w:t>
      </w:r>
      <w:r w:rsidR="008A40E3" w:rsidRPr="000E50F1">
        <w:rPr>
          <w:rFonts w:ascii="Times" w:eastAsia="Calibri" w:hAnsi="Times"/>
          <w:bCs/>
        </w:rPr>
        <w:t>I</w:t>
      </w:r>
      <w:r w:rsidR="009205D8" w:rsidRPr="000E50F1">
        <w:rPr>
          <w:rFonts w:ascii="Times" w:eastAsia="Calibri" w:hAnsi="Times"/>
          <w:bCs/>
        </w:rPr>
        <w:t xml:space="preserve"> participate</w:t>
      </w:r>
      <w:r w:rsidR="008A40E3" w:rsidRPr="000E50F1">
        <w:rPr>
          <w:rFonts w:ascii="Times" w:eastAsia="Calibri" w:hAnsi="Times"/>
          <w:bCs/>
        </w:rPr>
        <w:t xml:space="preserve">d </w:t>
      </w:r>
      <w:r w:rsidR="009205D8" w:rsidRPr="000E50F1">
        <w:rPr>
          <w:rFonts w:ascii="Times" w:eastAsia="Calibri" w:hAnsi="Times"/>
          <w:bCs/>
        </w:rPr>
        <w:t xml:space="preserve">in a community development conference in Waterloo, Ontario, hosted by the Tamarack Institute for Community Engagement. As a proud geographer, I </w:t>
      </w:r>
      <w:r w:rsidR="008868BD" w:rsidRPr="000E50F1">
        <w:rPr>
          <w:rFonts w:ascii="Times" w:eastAsia="Calibri" w:hAnsi="Times"/>
          <w:bCs/>
        </w:rPr>
        <w:t xml:space="preserve">mentioned </w:t>
      </w:r>
      <w:r w:rsidR="00BD7F4B" w:rsidRPr="000E50F1">
        <w:rPr>
          <w:rFonts w:ascii="Times" w:eastAsia="Calibri" w:hAnsi="Times"/>
          <w:bCs/>
        </w:rPr>
        <w:t xml:space="preserve">in one of our discussions </w:t>
      </w:r>
      <w:r w:rsidR="009205D8" w:rsidRPr="000E50F1">
        <w:rPr>
          <w:rFonts w:ascii="Times" w:eastAsia="Calibri" w:hAnsi="Times"/>
          <w:bCs/>
        </w:rPr>
        <w:t xml:space="preserve">the </w:t>
      </w:r>
      <w:r>
        <w:rPr>
          <w:rFonts w:ascii="Times" w:eastAsia="Calibri" w:hAnsi="Times"/>
          <w:bCs/>
        </w:rPr>
        <w:t>‘</w:t>
      </w:r>
      <w:r w:rsidR="009205D8" w:rsidRPr="000E50F1">
        <w:rPr>
          <w:rFonts w:ascii="Times" w:eastAsia="Calibri" w:hAnsi="Times"/>
          <w:bCs/>
        </w:rPr>
        <w:t>Code Red</w:t>
      </w:r>
      <w:r>
        <w:rPr>
          <w:rFonts w:ascii="Times" w:eastAsia="Calibri" w:hAnsi="Times"/>
          <w:bCs/>
        </w:rPr>
        <w:t>’</w:t>
      </w:r>
      <w:r w:rsidR="009205D8" w:rsidRPr="000E50F1">
        <w:rPr>
          <w:rFonts w:ascii="Times" w:eastAsia="Calibri" w:hAnsi="Times"/>
          <w:bCs/>
        </w:rPr>
        <w:t xml:space="preserve"> series (data</w:t>
      </w:r>
      <w:r w:rsidR="000D692E" w:rsidRPr="000E50F1">
        <w:rPr>
          <w:rFonts w:ascii="Times" w:eastAsia="Calibri" w:hAnsi="Times"/>
          <w:bCs/>
        </w:rPr>
        <w:t xml:space="preserve"> </w:t>
      </w:r>
      <w:r w:rsidR="009205D8" w:rsidRPr="000E50F1">
        <w:rPr>
          <w:rFonts w:ascii="Times" w:eastAsia="Calibri" w:hAnsi="Times"/>
          <w:bCs/>
        </w:rPr>
        <w:t xml:space="preserve">showing the connection between </w:t>
      </w:r>
      <w:r w:rsidR="000D692E" w:rsidRPr="000E50F1">
        <w:rPr>
          <w:rFonts w:ascii="Times" w:eastAsia="Calibri" w:hAnsi="Times"/>
          <w:bCs/>
        </w:rPr>
        <w:t xml:space="preserve">neighbourhood </w:t>
      </w:r>
      <w:r w:rsidR="009205D8" w:rsidRPr="000E50F1">
        <w:rPr>
          <w:rFonts w:ascii="Times" w:eastAsia="Calibri" w:hAnsi="Times"/>
          <w:bCs/>
        </w:rPr>
        <w:t>socioeconomic status</w:t>
      </w:r>
      <w:r w:rsidR="000D692E" w:rsidRPr="000E50F1">
        <w:rPr>
          <w:rFonts w:ascii="Times" w:eastAsia="Calibri" w:hAnsi="Times"/>
          <w:bCs/>
        </w:rPr>
        <w:t>, health,</w:t>
      </w:r>
      <w:r w:rsidR="009205D8" w:rsidRPr="000E50F1">
        <w:rPr>
          <w:rFonts w:ascii="Times" w:eastAsia="Calibri" w:hAnsi="Times"/>
          <w:bCs/>
        </w:rPr>
        <w:t xml:space="preserve"> and </w:t>
      </w:r>
      <w:r w:rsidR="00FB7501" w:rsidRPr="000E50F1">
        <w:rPr>
          <w:rFonts w:ascii="Times" w:eastAsia="Calibri" w:hAnsi="Times"/>
          <w:bCs/>
        </w:rPr>
        <w:t>mortality rate</w:t>
      </w:r>
      <w:r w:rsidR="00653C2B">
        <w:rPr>
          <w:rFonts w:ascii="Times" w:eastAsia="Calibri" w:hAnsi="Times"/>
          <w:bCs/>
        </w:rPr>
        <w:t>s</w:t>
      </w:r>
      <w:r>
        <w:rPr>
          <w:rFonts w:ascii="Times" w:eastAsia="Calibri" w:hAnsi="Times"/>
          <w:bCs/>
        </w:rPr>
        <w:t xml:space="preserve"> in Hamilton</w:t>
      </w:r>
      <w:r w:rsidR="00FB7501" w:rsidRPr="000E50F1">
        <w:rPr>
          <w:rFonts w:ascii="Times" w:eastAsia="Calibri" w:hAnsi="Times"/>
          <w:bCs/>
        </w:rPr>
        <w:t xml:space="preserve">). </w:t>
      </w:r>
      <w:r w:rsidR="000D692E" w:rsidRPr="000E50F1">
        <w:rPr>
          <w:rFonts w:ascii="Times" w:eastAsia="Calibri" w:hAnsi="Times"/>
          <w:bCs/>
        </w:rPr>
        <w:t>The facilitator comment</w:t>
      </w:r>
      <w:r w:rsidR="008868BD" w:rsidRPr="000E50F1">
        <w:rPr>
          <w:rFonts w:ascii="Times" w:eastAsia="Calibri" w:hAnsi="Times"/>
          <w:bCs/>
        </w:rPr>
        <w:t>ed by saying</w:t>
      </w:r>
      <w:r w:rsidR="000D692E" w:rsidRPr="000E50F1">
        <w:rPr>
          <w:rFonts w:ascii="Times" w:eastAsia="Calibri" w:hAnsi="Times"/>
          <w:bCs/>
        </w:rPr>
        <w:t>, “that’s the institution’s way on quantifying peoples’ misery”</w:t>
      </w:r>
      <w:r w:rsidR="008A40E3" w:rsidRPr="000E50F1">
        <w:rPr>
          <w:rFonts w:ascii="Times" w:eastAsia="Calibri" w:hAnsi="Times"/>
          <w:bCs/>
        </w:rPr>
        <w:t>,</w:t>
      </w:r>
      <w:r w:rsidR="000D692E" w:rsidRPr="000E50F1">
        <w:rPr>
          <w:rFonts w:ascii="Times" w:eastAsia="Calibri" w:hAnsi="Times"/>
          <w:bCs/>
        </w:rPr>
        <w:t xml:space="preserve"> and challenged me by asking, “what are you going to do to tell </w:t>
      </w:r>
      <w:r w:rsidR="008868BD" w:rsidRPr="000E50F1">
        <w:rPr>
          <w:rFonts w:ascii="Times" w:eastAsia="Calibri" w:hAnsi="Times"/>
          <w:bCs/>
        </w:rPr>
        <w:t>the</w:t>
      </w:r>
      <w:r w:rsidR="000D692E" w:rsidRPr="000E50F1">
        <w:rPr>
          <w:rFonts w:ascii="Times" w:eastAsia="Calibri" w:hAnsi="Times"/>
          <w:bCs/>
        </w:rPr>
        <w:t xml:space="preserve"> stories of </w:t>
      </w:r>
      <w:r w:rsidR="008868BD" w:rsidRPr="000E50F1">
        <w:rPr>
          <w:rFonts w:ascii="Times" w:eastAsia="Calibri" w:hAnsi="Times"/>
          <w:bCs/>
        </w:rPr>
        <w:t xml:space="preserve">people’s </w:t>
      </w:r>
      <w:r w:rsidR="000D692E" w:rsidRPr="000E50F1">
        <w:rPr>
          <w:rFonts w:ascii="Times" w:eastAsia="Calibri" w:hAnsi="Times"/>
          <w:bCs/>
        </w:rPr>
        <w:t xml:space="preserve">resilience?”. </w:t>
      </w:r>
      <w:r w:rsidR="00CF0292" w:rsidRPr="000E50F1">
        <w:rPr>
          <w:rFonts w:ascii="Times" w:eastAsia="Calibri" w:hAnsi="Times"/>
          <w:bCs/>
        </w:rPr>
        <w:t>This</w:t>
      </w:r>
      <w:r w:rsidR="000D692E" w:rsidRPr="000E50F1">
        <w:rPr>
          <w:rFonts w:ascii="Times" w:eastAsia="Calibri" w:hAnsi="Times"/>
          <w:bCs/>
        </w:rPr>
        <w:t xml:space="preserve"> </w:t>
      </w:r>
      <w:r w:rsidR="00CF0292" w:rsidRPr="000E50F1">
        <w:rPr>
          <w:rFonts w:ascii="Times" w:eastAsia="Calibri" w:hAnsi="Times"/>
          <w:bCs/>
        </w:rPr>
        <w:t xml:space="preserve">incident </w:t>
      </w:r>
      <w:r w:rsidR="008868BD" w:rsidRPr="000E50F1">
        <w:rPr>
          <w:rFonts w:ascii="Times" w:eastAsia="Calibri" w:hAnsi="Times"/>
          <w:bCs/>
        </w:rPr>
        <w:t xml:space="preserve">helped to </w:t>
      </w:r>
      <w:r w:rsidR="008868BD" w:rsidRPr="000E50F1">
        <w:rPr>
          <w:rFonts w:ascii="Times" w:eastAsia="Calibri" w:hAnsi="Times"/>
          <w:bCs/>
        </w:rPr>
        <w:lastRenderedPageBreak/>
        <w:t xml:space="preserve">bring my </w:t>
      </w:r>
      <w:r w:rsidR="00CF0292" w:rsidRPr="000E50F1">
        <w:rPr>
          <w:rFonts w:ascii="Times" w:eastAsia="Calibri" w:hAnsi="Times"/>
          <w:bCs/>
        </w:rPr>
        <w:t xml:space="preserve">philosophical assumptions into </w:t>
      </w:r>
      <w:r w:rsidR="008A40E3" w:rsidRPr="000E50F1">
        <w:rPr>
          <w:rFonts w:ascii="Times" w:eastAsia="Calibri" w:hAnsi="Times"/>
          <w:bCs/>
        </w:rPr>
        <w:t xml:space="preserve">focus </w:t>
      </w:r>
      <w:r w:rsidR="00CF0292" w:rsidRPr="000E50F1">
        <w:rPr>
          <w:rFonts w:ascii="Times" w:eastAsia="Calibri" w:hAnsi="Times"/>
          <w:bCs/>
        </w:rPr>
        <w:t xml:space="preserve">and </w:t>
      </w:r>
      <w:r w:rsidR="008A40E3" w:rsidRPr="000E50F1">
        <w:rPr>
          <w:rFonts w:ascii="Times" w:eastAsia="Calibri" w:hAnsi="Times"/>
          <w:bCs/>
        </w:rPr>
        <w:t>highlighted</w:t>
      </w:r>
      <w:r>
        <w:rPr>
          <w:rFonts w:ascii="Times" w:eastAsia="Calibri" w:hAnsi="Times"/>
          <w:bCs/>
        </w:rPr>
        <w:t xml:space="preserve"> for me the </w:t>
      </w:r>
      <w:r w:rsidR="008868BD" w:rsidRPr="000E50F1">
        <w:rPr>
          <w:rFonts w:ascii="Times" w:eastAsia="Calibri" w:hAnsi="Times"/>
          <w:bCs/>
        </w:rPr>
        <w:t>implications for practice</w:t>
      </w:r>
      <w:r w:rsidR="008A40E3" w:rsidRPr="000E50F1">
        <w:rPr>
          <w:rFonts w:ascii="Times" w:eastAsia="Calibri" w:hAnsi="Times"/>
          <w:bCs/>
        </w:rPr>
        <w:t>.</w:t>
      </w:r>
      <w:r w:rsidR="00BD7F4B" w:rsidRPr="000E50F1">
        <w:rPr>
          <w:rFonts w:ascii="Times" w:eastAsia="Calibri" w:hAnsi="Times"/>
          <w:bCs/>
        </w:rPr>
        <w:t xml:space="preserve"> This</w:t>
      </w:r>
      <w:r w:rsidR="008A40E3" w:rsidRPr="000E50F1">
        <w:rPr>
          <w:rFonts w:ascii="Times" w:eastAsia="Calibri" w:hAnsi="Times"/>
          <w:bCs/>
        </w:rPr>
        <w:t xml:space="preserve"> </w:t>
      </w:r>
      <w:r>
        <w:rPr>
          <w:rFonts w:ascii="Times" w:eastAsia="Calibri" w:hAnsi="Times"/>
          <w:bCs/>
        </w:rPr>
        <w:t xml:space="preserve">has </w:t>
      </w:r>
      <w:r w:rsidR="008A40E3" w:rsidRPr="000E50F1">
        <w:rPr>
          <w:rFonts w:ascii="Times" w:eastAsia="Calibri" w:hAnsi="Times"/>
          <w:bCs/>
        </w:rPr>
        <w:t xml:space="preserve">made me more contentious of the </w:t>
      </w:r>
      <w:r w:rsidR="008868BD" w:rsidRPr="000E50F1">
        <w:rPr>
          <w:rFonts w:ascii="Times" w:eastAsia="Calibri" w:hAnsi="Times"/>
          <w:bCs/>
        </w:rPr>
        <w:t>power of qualitative research</w:t>
      </w:r>
      <w:r>
        <w:rPr>
          <w:rFonts w:ascii="Times" w:eastAsia="Calibri" w:hAnsi="Times"/>
          <w:bCs/>
        </w:rPr>
        <w:t xml:space="preserve"> and has helped me to live into </w:t>
      </w:r>
      <w:r w:rsidR="008A40E3" w:rsidRPr="000E50F1">
        <w:rPr>
          <w:rFonts w:ascii="Times" w:eastAsia="Calibri" w:hAnsi="Times"/>
          <w:bCs/>
        </w:rPr>
        <w:t>my</w:t>
      </w:r>
      <w:r w:rsidR="008868BD" w:rsidRPr="000E50F1">
        <w:rPr>
          <w:rFonts w:ascii="Times" w:eastAsia="Calibri" w:hAnsi="Times"/>
          <w:bCs/>
        </w:rPr>
        <w:t xml:space="preserve"> </w:t>
      </w:r>
      <w:r>
        <w:rPr>
          <w:rFonts w:ascii="Times" w:eastAsia="Calibri" w:hAnsi="Times"/>
          <w:bCs/>
        </w:rPr>
        <w:t xml:space="preserve">identity and </w:t>
      </w:r>
      <w:r w:rsidR="00653C2B">
        <w:rPr>
          <w:rFonts w:ascii="Times" w:eastAsia="Calibri" w:hAnsi="Times"/>
          <w:bCs/>
        </w:rPr>
        <w:t>contribution</w:t>
      </w:r>
      <w:r w:rsidR="008A40E3" w:rsidRPr="000E50F1">
        <w:rPr>
          <w:rFonts w:ascii="Times" w:eastAsia="Calibri" w:hAnsi="Times"/>
          <w:bCs/>
        </w:rPr>
        <w:t xml:space="preserve"> as</w:t>
      </w:r>
      <w:r w:rsidR="00653C2B">
        <w:rPr>
          <w:rFonts w:ascii="Times" w:eastAsia="Calibri" w:hAnsi="Times"/>
          <w:bCs/>
        </w:rPr>
        <w:t xml:space="preserve"> a</w:t>
      </w:r>
      <w:r w:rsidR="008A40E3" w:rsidRPr="000E50F1">
        <w:rPr>
          <w:rFonts w:ascii="Times" w:eastAsia="Calibri" w:hAnsi="Times"/>
          <w:bCs/>
        </w:rPr>
        <w:t xml:space="preserve"> </w:t>
      </w:r>
      <w:r w:rsidR="008868BD" w:rsidRPr="000E50F1">
        <w:rPr>
          <w:rFonts w:ascii="Times" w:eastAsia="Calibri" w:hAnsi="Times"/>
          <w:bCs/>
        </w:rPr>
        <w:t xml:space="preserve">social and health </w:t>
      </w:r>
      <w:r w:rsidR="008A40E3" w:rsidRPr="000E50F1">
        <w:rPr>
          <w:rFonts w:ascii="Times" w:eastAsia="Calibri" w:hAnsi="Times"/>
          <w:bCs/>
        </w:rPr>
        <w:t>geographer to the field</w:t>
      </w:r>
      <w:r>
        <w:rPr>
          <w:rFonts w:ascii="Times" w:eastAsia="Calibri" w:hAnsi="Times"/>
          <w:bCs/>
        </w:rPr>
        <w:t xml:space="preserve">, and to my </w:t>
      </w:r>
      <w:r w:rsidRPr="000E50F1">
        <w:rPr>
          <w:rFonts w:ascii="Times" w:eastAsia="Calibri" w:hAnsi="Times"/>
          <w:bCs/>
        </w:rPr>
        <w:t>participants</w:t>
      </w:r>
      <w:r w:rsidR="008868BD" w:rsidRPr="000E50F1">
        <w:rPr>
          <w:rFonts w:ascii="Times" w:eastAsia="Calibri" w:hAnsi="Times"/>
          <w:bCs/>
        </w:rPr>
        <w:t xml:space="preserve">. </w:t>
      </w:r>
    </w:p>
    <w:p w14:paraId="54BC198F" w14:textId="77777777" w:rsidR="00BD7F4B" w:rsidRPr="000E50F1" w:rsidRDefault="00BD7F4B" w:rsidP="00351DC6">
      <w:pPr>
        <w:rPr>
          <w:rFonts w:ascii="Times" w:eastAsia="Calibri" w:hAnsi="Times"/>
          <w:bCs/>
          <w:i/>
          <w:iCs/>
        </w:rPr>
      </w:pPr>
    </w:p>
    <w:p w14:paraId="5D0A91C8" w14:textId="107B4292" w:rsidR="00DD5360" w:rsidRPr="000E50F1" w:rsidRDefault="009D3191" w:rsidP="00351DC6">
      <w:pPr>
        <w:rPr>
          <w:rFonts w:ascii="Times" w:eastAsia="Calibri" w:hAnsi="Times"/>
          <w:bCs/>
          <w:i/>
          <w:iCs/>
        </w:rPr>
      </w:pPr>
      <w:r w:rsidRPr="000E50F1">
        <w:rPr>
          <w:rFonts w:ascii="Times" w:eastAsia="Calibri" w:hAnsi="Times"/>
          <w:bCs/>
          <w:i/>
          <w:iCs/>
        </w:rPr>
        <w:t>Authentic Engagement</w:t>
      </w:r>
      <w:r w:rsidR="00917809" w:rsidRPr="000E50F1">
        <w:rPr>
          <w:rFonts w:ascii="Times" w:eastAsia="Calibri" w:hAnsi="Times"/>
          <w:bCs/>
          <w:i/>
          <w:iCs/>
        </w:rPr>
        <w:t xml:space="preserve"> &amp; </w:t>
      </w:r>
      <w:r w:rsidR="006161FD">
        <w:rPr>
          <w:rFonts w:ascii="Times" w:eastAsia="Calibri" w:hAnsi="Times"/>
          <w:bCs/>
          <w:i/>
          <w:iCs/>
        </w:rPr>
        <w:t>i</w:t>
      </w:r>
      <w:r w:rsidR="00917809" w:rsidRPr="000E50F1">
        <w:rPr>
          <w:rFonts w:ascii="Times" w:eastAsia="Calibri" w:hAnsi="Times"/>
          <w:bCs/>
          <w:i/>
          <w:iCs/>
        </w:rPr>
        <w:t>ts Challenges</w:t>
      </w:r>
      <w:r w:rsidR="00BD7F4B" w:rsidRPr="000E50F1">
        <w:rPr>
          <w:rFonts w:ascii="Times" w:eastAsia="Calibri" w:hAnsi="Times"/>
          <w:bCs/>
          <w:i/>
          <w:iCs/>
        </w:rPr>
        <w:t xml:space="preserve"> in Graduate Studies</w:t>
      </w:r>
    </w:p>
    <w:p w14:paraId="56E87846" w14:textId="08998699" w:rsidR="00117521" w:rsidRPr="000E50F1" w:rsidRDefault="009D3191" w:rsidP="00E0492B">
      <w:pPr>
        <w:rPr>
          <w:rFonts w:ascii="Times" w:eastAsia="Calibri" w:hAnsi="Times"/>
          <w:bCs/>
        </w:rPr>
      </w:pPr>
      <w:r w:rsidRPr="000E50F1">
        <w:rPr>
          <w:rFonts w:ascii="Times" w:eastAsia="Calibri" w:hAnsi="Times"/>
          <w:bCs/>
        </w:rPr>
        <w:t xml:space="preserve">Authentic engagement is not always self-serving. In these moments, time spent in the community is purposed for supporting others </w:t>
      </w:r>
      <w:r w:rsidR="004B7B8D">
        <w:rPr>
          <w:rFonts w:ascii="Times" w:eastAsia="Calibri" w:hAnsi="Times"/>
          <w:bCs/>
        </w:rPr>
        <w:t>in</w:t>
      </w:r>
      <w:r w:rsidRPr="000E50F1">
        <w:rPr>
          <w:rFonts w:ascii="Times" w:eastAsia="Calibri" w:hAnsi="Times"/>
          <w:bCs/>
        </w:rPr>
        <w:t xml:space="preserve"> their endeavours. To me</w:t>
      </w:r>
      <w:r w:rsidR="005903D4" w:rsidRPr="000E50F1">
        <w:rPr>
          <w:rFonts w:ascii="Times" w:eastAsia="Calibri" w:hAnsi="Times"/>
          <w:bCs/>
        </w:rPr>
        <w:t xml:space="preserve">, </w:t>
      </w:r>
      <w:r w:rsidRPr="000E50F1">
        <w:rPr>
          <w:rFonts w:ascii="Times" w:eastAsia="Calibri" w:hAnsi="Times"/>
          <w:bCs/>
        </w:rPr>
        <w:t>community engagement as a researcher is ‘showing up when you are invited’</w:t>
      </w:r>
      <w:r w:rsidR="000D4DB7" w:rsidRPr="000E50F1">
        <w:rPr>
          <w:rFonts w:ascii="Times" w:eastAsia="Calibri" w:hAnsi="Times"/>
          <w:bCs/>
        </w:rPr>
        <w:t xml:space="preserve"> and this is not conducive </w:t>
      </w:r>
      <w:r w:rsidR="000237A9" w:rsidRPr="000E50F1">
        <w:rPr>
          <w:rFonts w:ascii="Times" w:eastAsia="Calibri" w:hAnsi="Times"/>
          <w:bCs/>
        </w:rPr>
        <w:t>to a</w:t>
      </w:r>
      <w:r w:rsidR="000D4DB7" w:rsidRPr="000E50F1">
        <w:rPr>
          <w:rFonts w:ascii="Times" w:eastAsia="Calibri" w:hAnsi="Times"/>
          <w:bCs/>
        </w:rPr>
        <w:t xml:space="preserve">n ivory tower mindset or a PhD timeline. I can recall </w:t>
      </w:r>
      <w:r w:rsidR="00C63F11" w:rsidRPr="000E50F1">
        <w:rPr>
          <w:rFonts w:ascii="Times" w:eastAsia="Calibri" w:hAnsi="Times"/>
          <w:bCs/>
        </w:rPr>
        <w:t xml:space="preserve">the </w:t>
      </w:r>
      <w:r w:rsidR="000D4DB7" w:rsidRPr="000E50F1">
        <w:rPr>
          <w:rFonts w:ascii="Times" w:eastAsia="Calibri" w:hAnsi="Times"/>
          <w:bCs/>
        </w:rPr>
        <w:t>time in 2016 whe</w:t>
      </w:r>
      <w:r w:rsidR="000237A9" w:rsidRPr="000E50F1">
        <w:rPr>
          <w:rFonts w:ascii="Times" w:eastAsia="Calibri" w:hAnsi="Times"/>
          <w:bCs/>
        </w:rPr>
        <w:t>n</w:t>
      </w:r>
      <w:r w:rsidR="000D4DB7" w:rsidRPr="000E50F1">
        <w:rPr>
          <w:rFonts w:ascii="Times" w:eastAsia="Calibri" w:hAnsi="Times"/>
          <w:bCs/>
        </w:rPr>
        <w:t xml:space="preserve"> I had taken a research contract to </w:t>
      </w:r>
      <w:r w:rsidR="00C63F11" w:rsidRPr="000E50F1">
        <w:rPr>
          <w:rFonts w:ascii="Times" w:eastAsia="Calibri" w:hAnsi="Times"/>
          <w:bCs/>
        </w:rPr>
        <w:t>train</w:t>
      </w:r>
      <w:r w:rsidR="000D4DB7" w:rsidRPr="000E50F1">
        <w:rPr>
          <w:rFonts w:ascii="Times" w:eastAsia="Calibri" w:hAnsi="Times"/>
          <w:bCs/>
        </w:rPr>
        <w:t xml:space="preserve"> a group </w:t>
      </w:r>
      <w:r w:rsidR="00C63F11" w:rsidRPr="000E50F1">
        <w:rPr>
          <w:rFonts w:ascii="Times" w:eastAsia="Calibri" w:hAnsi="Times"/>
          <w:bCs/>
        </w:rPr>
        <w:t xml:space="preserve">of </w:t>
      </w:r>
      <w:r w:rsidR="000D4DB7" w:rsidRPr="000E50F1">
        <w:rPr>
          <w:rFonts w:ascii="Times" w:eastAsia="Calibri" w:hAnsi="Times"/>
          <w:bCs/>
        </w:rPr>
        <w:t xml:space="preserve">youth on community-based research </w:t>
      </w:r>
      <w:r w:rsidR="00C63F11" w:rsidRPr="000E50F1">
        <w:rPr>
          <w:rFonts w:ascii="Times" w:eastAsia="Calibri" w:hAnsi="Times"/>
          <w:bCs/>
        </w:rPr>
        <w:t xml:space="preserve">methods on a </w:t>
      </w:r>
      <w:r w:rsidR="000D4DB7" w:rsidRPr="000E50F1">
        <w:rPr>
          <w:rFonts w:ascii="Times" w:eastAsia="Calibri" w:hAnsi="Times"/>
          <w:bCs/>
        </w:rPr>
        <w:t xml:space="preserve">project </w:t>
      </w:r>
      <w:r w:rsidR="000237A9" w:rsidRPr="000E50F1">
        <w:rPr>
          <w:rFonts w:ascii="Times" w:eastAsia="Calibri" w:hAnsi="Times"/>
          <w:bCs/>
        </w:rPr>
        <w:t>dealing with</w:t>
      </w:r>
      <w:r w:rsidR="000D4DB7" w:rsidRPr="000E50F1">
        <w:rPr>
          <w:rFonts w:ascii="Times" w:eastAsia="Calibri" w:hAnsi="Times"/>
          <w:bCs/>
        </w:rPr>
        <w:t xml:space="preserve"> race and racism in Hamilton </w:t>
      </w:r>
      <w:r w:rsidR="00C63F11" w:rsidRPr="000E50F1">
        <w:rPr>
          <w:rFonts w:ascii="Times" w:eastAsia="Calibri" w:hAnsi="Times"/>
          <w:bCs/>
        </w:rPr>
        <w:t xml:space="preserve">that </w:t>
      </w:r>
      <w:r w:rsidR="00397384" w:rsidRPr="000E50F1">
        <w:rPr>
          <w:rFonts w:ascii="Times" w:eastAsia="Calibri" w:hAnsi="Times"/>
          <w:bCs/>
        </w:rPr>
        <w:t>explore</w:t>
      </w:r>
      <w:r w:rsidR="00C63F11" w:rsidRPr="000E50F1">
        <w:rPr>
          <w:rFonts w:ascii="Times" w:eastAsia="Calibri" w:hAnsi="Times"/>
          <w:bCs/>
        </w:rPr>
        <w:t>d</w:t>
      </w:r>
      <w:r w:rsidR="00397384" w:rsidRPr="000E50F1">
        <w:rPr>
          <w:rFonts w:ascii="Times" w:eastAsia="Calibri" w:hAnsi="Times"/>
          <w:bCs/>
        </w:rPr>
        <w:t xml:space="preserve"> </w:t>
      </w:r>
      <w:r w:rsidR="000D4DB7" w:rsidRPr="000E50F1">
        <w:rPr>
          <w:rFonts w:ascii="Times" w:eastAsia="Calibri" w:hAnsi="Times"/>
          <w:bCs/>
        </w:rPr>
        <w:t xml:space="preserve">issues of socioeconomic exclusion and gentrification. While I </w:t>
      </w:r>
      <w:r w:rsidR="00397384" w:rsidRPr="000E50F1">
        <w:rPr>
          <w:rFonts w:ascii="Times" w:eastAsia="Calibri" w:hAnsi="Times"/>
          <w:bCs/>
        </w:rPr>
        <w:t>weigh</w:t>
      </w:r>
      <w:r w:rsidR="00117521" w:rsidRPr="000E50F1">
        <w:rPr>
          <w:rFonts w:ascii="Times" w:eastAsia="Calibri" w:hAnsi="Times"/>
          <w:bCs/>
        </w:rPr>
        <w:t>ed</w:t>
      </w:r>
      <w:r w:rsidR="00397384" w:rsidRPr="000E50F1">
        <w:rPr>
          <w:rFonts w:ascii="Times" w:eastAsia="Calibri" w:hAnsi="Times"/>
          <w:bCs/>
        </w:rPr>
        <w:t xml:space="preserve"> the cost </w:t>
      </w:r>
      <w:r w:rsidR="000D4DB7" w:rsidRPr="000E50F1">
        <w:rPr>
          <w:rFonts w:ascii="Times" w:eastAsia="Calibri" w:hAnsi="Times"/>
          <w:bCs/>
        </w:rPr>
        <w:t xml:space="preserve">of taking on this job </w:t>
      </w:r>
      <w:r w:rsidR="00117521" w:rsidRPr="000E50F1">
        <w:rPr>
          <w:rFonts w:ascii="Times" w:eastAsia="Calibri" w:hAnsi="Times"/>
          <w:bCs/>
        </w:rPr>
        <w:t xml:space="preserve">at the time </w:t>
      </w:r>
      <w:r w:rsidR="000D4DB7" w:rsidRPr="000E50F1">
        <w:rPr>
          <w:rFonts w:ascii="Times" w:eastAsia="Calibri" w:hAnsi="Times"/>
          <w:bCs/>
        </w:rPr>
        <w:t>(i.e., time and cost away from my PhD</w:t>
      </w:r>
      <w:r w:rsidR="00397384" w:rsidRPr="000E50F1">
        <w:rPr>
          <w:rFonts w:ascii="Times" w:eastAsia="Calibri" w:hAnsi="Times"/>
          <w:bCs/>
        </w:rPr>
        <w:t xml:space="preserve"> </w:t>
      </w:r>
      <w:r w:rsidR="00117521" w:rsidRPr="000E50F1">
        <w:rPr>
          <w:rFonts w:ascii="Times" w:eastAsia="Calibri" w:hAnsi="Times"/>
          <w:bCs/>
        </w:rPr>
        <w:t>that</w:t>
      </w:r>
      <w:r w:rsidR="00397384" w:rsidRPr="000E50F1">
        <w:rPr>
          <w:rFonts w:ascii="Times" w:eastAsia="Calibri" w:hAnsi="Times"/>
          <w:bCs/>
        </w:rPr>
        <w:t xml:space="preserve"> outweighed the </w:t>
      </w:r>
      <w:r w:rsidR="00BD7F4B" w:rsidRPr="000E50F1">
        <w:rPr>
          <w:rFonts w:ascii="Times" w:eastAsia="Calibri" w:hAnsi="Times"/>
          <w:bCs/>
        </w:rPr>
        <w:t xml:space="preserve">earned </w:t>
      </w:r>
      <w:r w:rsidR="00397384" w:rsidRPr="000E50F1">
        <w:rPr>
          <w:rFonts w:ascii="Times" w:eastAsia="Calibri" w:hAnsi="Times"/>
          <w:bCs/>
        </w:rPr>
        <w:t>income</w:t>
      </w:r>
      <w:r w:rsidR="000D4DB7" w:rsidRPr="000E50F1">
        <w:rPr>
          <w:rFonts w:ascii="Times" w:eastAsia="Calibri" w:hAnsi="Times"/>
          <w:bCs/>
        </w:rPr>
        <w:t>)</w:t>
      </w:r>
      <w:r w:rsidR="00117521" w:rsidRPr="000E50F1">
        <w:rPr>
          <w:rFonts w:ascii="Times" w:eastAsia="Calibri" w:hAnsi="Times"/>
          <w:bCs/>
        </w:rPr>
        <w:t xml:space="preserve">, </w:t>
      </w:r>
      <w:r w:rsidR="000D4DB7" w:rsidRPr="000E50F1">
        <w:rPr>
          <w:rFonts w:ascii="Times" w:eastAsia="Calibri" w:hAnsi="Times"/>
          <w:bCs/>
        </w:rPr>
        <w:t xml:space="preserve">what </w:t>
      </w:r>
      <w:r w:rsidR="000237A9" w:rsidRPr="000E50F1">
        <w:rPr>
          <w:rFonts w:ascii="Times" w:eastAsia="Calibri" w:hAnsi="Times"/>
          <w:bCs/>
        </w:rPr>
        <w:t>I could not</w:t>
      </w:r>
      <w:r w:rsidR="000D4DB7" w:rsidRPr="000E50F1">
        <w:rPr>
          <w:rFonts w:ascii="Times" w:eastAsia="Calibri" w:hAnsi="Times"/>
          <w:bCs/>
        </w:rPr>
        <w:t xml:space="preserve"> factor in </w:t>
      </w:r>
      <w:r w:rsidR="00C63F11" w:rsidRPr="000E50F1">
        <w:rPr>
          <w:rFonts w:ascii="Times" w:eastAsia="Calibri" w:hAnsi="Times"/>
          <w:bCs/>
        </w:rPr>
        <w:t xml:space="preserve">was </w:t>
      </w:r>
      <w:r w:rsidR="000D4DB7" w:rsidRPr="000E50F1">
        <w:rPr>
          <w:rFonts w:ascii="Times" w:eastAsia="Calibri" w:hAnsi="Times"/>
          <w:bCs/>
        </w:rPr>
        <w:t xml:space="preserve">the experience, skills, knowledge that I would acquire in working with </w:t>
      </w:r>
      <w:r w:rsidR="00C63F11" w:rsidRPr="000E50F1">
        <w:rPr>
          <w:rFonts w:ascii="Times" w:eastAsia="Calibri" w:hAnsi="Times"/>
          <w:bCs/>
        </w:rPr>
        <w:t>this group of</w:t>
      </w:r>
      <w:r w:rsidR="000D4DB7" w:rsidRPr="000E50F1">
        <w:rPr>
          <w:rFonts w:ascii="Times" w:eastAsia="Calibri" w:hAnsi="Times"/>
          <w:bCs/>
        </w:rPr>
        <w:t xml:space="preserve"> youth</w:t>
      </w:r>
      <w:r w:rsidR="00C63F11" w:rsidRPr="000E50F1">
        <w:rPr>
          <w:rFonts w:ascii="Times" w:eastAsia="Calibri" w:hAnsi="Times"/>
          <w:bCs/>
        </w:rPr>
        <w:t xml:space="preserve">, </w:t>
      </w:r>
      <w:r w:rsidR="000D4DB7" w:rsidRPr="000E50F1">
        <w:rPr>
          <w:rFonts w:ascii="Times" w:eastAsia="Calibri" w:hAnsi="Times"/>
          <w:bCs/>
        </w:rPr>
        <w:t>and</w:t>
      </w:r>
      <w:r w:rsidR="00C63F11" w:rsidRPr="000E50F1">
        <w:rPr>
          <w:rFonts w:ascii="Times" w:eastAsia="Calibri" w:hAnsi="Times"/>
          <w:bCs/>
        </w:rPr>
        <w:t xml:space="preserve"> in</w:t>
      </w:r>
      <w:r w:rsidR="000D4DB7" w:rsidRPr="000E50F1">
        <w:rPr>
          <w:rFonts w:ascii="Times" w:eastAsia="Calibri" w:hAnsi="Times"/>
          <w:bCs/>
        </w:rPr>
        <w:t xml:space="preserve"> partnering with the only youth-led organization in settlement in Hamilton. </w:t>
      </w:r>
      <w:r w:rsidR="0007626E" w:rsidRPr="000E50F1">
        <w:rPr>
          <w:rFonts w:ascii="Times" w:eastAsia="Calibri" w:hAnsi="Times"/>
          <w:bCs/>
        </w:rPr>
        <w:t>I was pulled towards them, that project</w:t>
      </w:r>
      <w:r w:rsidR="000237A9" w:rsidRPr="000E50F1">
        <w:rPr>
          <w:rFonts w:ascii="Times" w:eastAsia="Calibri" w:hAnsi="Times"/>
          <w:bCs/>
        </w:rPr>
        <w:t xml:space="preserve">, </w:t>
      </w:r>
      <w:r w:rsidR="0007626E" w:rsidRPr="000E50F1">
        <w:rPr>
          <w:rFonts w:ascii="Times" w:eastAsia="Calibri" w:hAnsi="Times"/>
          <w:bCs/>
        </w:rPr>
        <w:t>without any agenda for self-gain</w:t>
      </w:r>
      <w:r w:rsidR="000237A9" w:rsidRPr="000E50F1">
        <w:rPr>
          <w:rFonts w:ascii="Times" w:eastAsia="Calibri" w:hAnsi="Times"/>
          <w:bCs/>
        </w:rPr>
        <w:t xml:space="preserve">, </w:t>
      </w:r>
      <w:r w:rsidR="00397384" w:rsidRPr="000E50F1">
        <w:rPr>
          <w:rFonts w:ascii="Times" w:eastAsia="Calibri" w:hAnsi="Times"/>
          <w:bCs/>
        </w:rPr>
        <w:t xml:space="preserve">and </w:t>
      </w:r>
      <w:r w:rsidR="0007626E" w:rsidRPr="000E50F1">
        <w:rPr>
          <w:rFonts w:ascii="Times" w:eastAsia="Calibri" w:hAnsi="Times"/>
          <w:bCs/>
        </w:rPr>
        <w:t>yet</w:t>
      </w:r>
      <w:r w:rsidR="000237A9" w:rsidRPr="000E50F1">
        <w:rPr>
          <w:rFonts w:ascii="Times" w:eastAsia="Calibri" w:hAnsi="Times"/>
          <w:bCs/>
        </w:rPr>
        <w:t>,</w:t>
      </w:r>
      <w:r w:rsidR="0007626E" w:rsidRPr="000E50F1">
        <w:rPr>
          <w:rFonts w:ascii="Times" w:eastAsia="Calibri" w:hAnsi="Times"/>
          <w:bCs/>
        </w:rPr>
        <w:t xml:space="preserve"> </w:t>
      </w:r>
      <w:r w:rsidR="000237A9" w:rsidRPr="000E50F1">
        <w:rPr>
          <w:rFonts w:ascii="Times" w:eastAsia="Calibri" w:hAnsi="Times"/>
          <w:bCs/>
        </w:rPr>
        <w:t>the</w:t>
      </w:r>
      <w:r w:rsidR="0007626E" w:rsidRPr="000E50F1">
        <w:rPr>
          <w:rFonts w:ascii="Times" w:eastAsia="Calibri" w:hAnsi="Times"/>
          <w:bCs/>
        </w:rPr>
        <w:t xml:space="preserve"> lessons </w:t>
      </w:r>
      <w:r w:rsidR="000237A9" w:rsidRPr="000E50F1">
        <w:rPr>
          <w:rFonts w:ascii="Times" w:eastAsia="Calibri" w:hAnsi="Times"/>
          <w:bCs/>
        </w:rPr>
        <w:t xml:space="preserve">I </w:t>
      </w:r>
      <w:r w:rsidR="0007626E" w:rsidRPr="000E50F1">
        <w:rPr>
          <w:rFonts w:ascii="Times" w:eastAsia="Calibri" w:hAnsi="Times"/>
          <w:bCs/>
        </w:rPr>
        <w:t xml:space="preserve">learned in that context </w:t>
      </w:r>
      <w:r w:rsidR="000237A9" w:rsidRPr="000E50F1">
        <w:rPr>
          <w:rFonts w:ascii="Times" w:eastAsia="Calibri" w:hAnsi="Times"/>
          <w:bCs/>
        </w:rPr>
        <w:t xml:space="preserve">was invaluable and </w:t>
      </w:r>
      <w:r w:rsidR="0007626E" w:rsidRPr="000E50F1">
        <w:rPr>
          <w:rFonts w:ascii="Times" w:eastAsia="Calibri" w:hAnsi="Times"/>
          <w:bCs/>
        </w:rPr>
        <w:t>cannot be replicated elsewhere</w:t>
      </w:r>
      <w:r w:rsidR="000237A9" w:rsidRPr="000E50F1">
        <w:rPr>
          <w:rFonts w:ascii="Times" w:eastAsia="Calibri" w:hAnsi="Times"/>
          <w:bCs/>
        </w:rPr>
        <w:t xml:space="preserve">. </w:t>
      </w:r>
    </w:p>
    <w:p w14:paraId="1D9A83C6" w14:textId="77777777" w:rsidR="009205D8" w:rsidRPr="000E50F1" w:rsidRDefault="009205D8" w:rsidP="00E0492B">
      <w:pPr>
        <w:rPr>
          <w:rFonts w:ascii="Times" w:eastAsia="Calibri" w:hAnsi="Times"/>
          <w:bCs/>
          <w:lang w:val="en-US"/>
        </w:rPr>
      </w:pPr>
    </w:p>
    <w:p w14:paraId="06F4D6BB" w14:textId="13D54A8B" w:rsidR="00294BC2" w:rsidRPr="000E50F1" w:rsidRDefault="003819B5" w:rsidP="00E0492B">
      <w:pPr>
        <w:rPr>
          <w:rFonts w:ascii="Times" w:eastAsia="Calibri" w:hAnsi="Times"/>
          <w:bCs/>
        </w:rPr>
      </w:pPr>
      <w:r w:rsidRPr="000E50F1">
        <w:rPr>
          <w:rFonts w:ascii="Times" w:eastAsia="Calibri" w:hAnsi="Times"/>
          <w:bCs/>
          <w:lang w:val="en-US"/>
        </w:rPr>
        <w:t xml:space="preserve">The strength and insights of this research speaks to the </w:t>
      </w:r>
      <w:r w:rsidR="00A7176A" w:rsidRPr="000E50F1">
        <w:rPr>
          <w:rFonts w:ascii="Times" w:eastAsia="Calibri" w:hAnsi="Times"/>
          <w:bCs/>
          <w:lang w:val="en-US"/>
        </w:rPr>
        <w:t xml:space="preserve">value of the approach taken </w:t>
      </w:r>
      <w:r w:rsidR="00E0492B" w:rsidRPr="000E50F1">
        <w:rPr>
          <w:rFonts w:ascii="Times" w:eastAsia="Calibri" w:hAnsi="Times"/>
          <w:bCs/>
          <w:lang w:val="en-US"/>
        </w:rPr>
        <w:t>to all three projects</w:t>
      </w:r>
      <w:r w:rsidR="00A7176A" w:rsidRPr="000E50F1">
        <w:rPr>
          <w:rFonts w:ascii="Times" w:eastAsia="Calibri" w:hAnsi="Times"/>
          <w:bCs/>
          <w:lang w:val="en-US"/>
        </w:rPr>
        <w:t>. As a result, n</w:t>
      </w:r>
      <w:r w:rsidRPr="000E50F1">
        <w:rPr>
          <w:rFonts w:ascii="Times" w:eastAsia="Calibri" w:hAnsi="Times"/>
          <w:bCs/>
          <w:lang w:val="en-US"/>
        </w:rPr>
        <w:t xml:space="preserve">ot only </w:t>
      </w:r>
      <w:r w:rsidR="00A7176A" w:rsidRPr="000E50F1">
        <w:rPr>
          <w:rFonts w:ascii="Times" w:eastAsia="Calibri" w:hAnsi="Times"/>
          <w:bCs/>
          <w:lang w:val="en-US"/>
        </w:rPr>
        <w:t xml:space="preserve">were the </w:t>
      </w:r>
      <w:r w:rsidRPr="000E50F1">
        <w:rPr>
          <w:rFonts w:ascii="Times" w:eastAsia="Calibri" w:hAnsi="Times"/>
          <w:bCs/>
          <w:lang w:val="en-US"/>
        </w:rPr>
        <w:t>outcome</w:t>
      </w:r>
      <w:r w:rsidR="00A7176A" w:rsidRPr="000E50F1">
        <w:rPr>
          <w:rFonts w:ascii="Times" w:eastAsia="Calibri" w:hAnsi="Times"/>
          <w:bCs/>
          <w:lang w:val="en-US"/>
        </w:rPr>
        <w:t>s indicative of</w:t>
      </w:r>
      <w:r w:rsidRPr="000E50F1">
        <w:rPr>
          <w:rFonts w:ascii="Times" w:eastAsia="Calibri" w:hAnsi="Times"/>
          <w:bCs/>
          <w:lang w:val="en-US"/>
        </w:rPr>
        <w:t xml:space="preserve"> </w:t>
      </w:r>
      <w:r w:rsidR="00E0492B" w:rsidRPr="000E50F1">
        <w:rPr>
          <w:rFonts w:ascii="Times" w:eastAsia="Calibri" w:hAnsi="Times"/>
          <w:bCs/>
          <w:lang w:val="en-US"/>
        </w:rPr>
        <w:t xml:space="preserve">responsive </w:t>
      </w:r>
      <w:r w:rsidRPr="000E50F1">
        <w:rPr>
          <w:rFonts w:ascii="Times" w:eastAsia="Calibri" w:hAnsi="Times"/>
          <w:bCs/>
          <w:lang w:val="en-US"/>
        </w:rPr>
        <w:t xml:space="preserve">research </w:t>
      </w:r>
      <w:r w:rsidR="00E0492B" w:rsidRPr="000E50F1">
        <w:rPr>
          <w:rFonts w:ascii="Times" w:eastAsia="Calibri" w:hAnsi="Times"/>
          <w:bCs/>
          <w:lang w:val="en-US"/>
        </w:rPr>
        <w:t>to the changing context of structures that impact</w:t>
      </w:r>
      <w:r w:rsidR="00260311" w:rsidRPr="000E50F1">
        <w:rPr>
          <w:rFonts w:ascii="Times" w:eastAsia="Calibri" w:hAnsi="Times"/>
          <w:bCs/>
          <w:lang w:val="en-US"/>
        </w:rPr>
        <w:t>ed</w:t>
      </w:r>
      <w:r w:rsidR="00E0492B" w:rsidRPr="000E50F1">
        <w:rPr>
          <w:rFonts w:ascii="Times" w:eastAsia="Calibri" w:hAnsi="Times"/>
          <w:bCs/>
          <w:lang w:val="en-US"/>
        </w:rPr>
        <w:t xml:space="preserve"> newcomers in immigration, settlement and integration</w:t>
      </w:r>
      <w:r w:rsidRPr="000E50F1">
        <w:rPr>
          <w:rFonts w:ascii="Times" w:eastAsia="Calibri" w:hAnsi="Times"/>
          <w:bCs/>
          <w:lang w:val="en-US"/>
        </w:rPr>
        <w:t xml:space="preserve">, the insights gathered along the way </w:t>
      </w:r>
      <w:r w:rsidR="00A7176A" w:rsidRPr="000E50F1">
        <w:rPr>
          <w:rFonts w:ascii="Times" w:eastAsia="Calibri" w:hAnsi="Times"/>
          <w:bCs/>
          <w:lang w:val="en-US"/>
        </w:rPr>
        <w:t xml:space="preserve">helped to </w:t>
      </w:r>
      <w:r w:rsidRPr="000E50F1">
        <w:rPr>
          <w:rFonts w:ascii="Times" w:eastAsia="Calibri" w:hAnsi="Times"/>
          <w:bCs/>
          <w:lang w:val="en-US"/>
        </w:rPr>
        <w:t>deepen</w:t>
      </w:r>
      <w:r w:rsidR="00A7176A" w:rsidRPr="000E50F1">
        <w:rPr>
          <w:rFonts w:ascii="Times" w:eastAsia="Calibri" w:hAnsi="Times"/>
          <w:bCs/>
          <w:lang w:val="en-US"/>
        </w:rPr>
        <w:t xml:space="preserve"> understanding</w:t>
      </w:r>
      <w:r w:rsidR="00767304" w:rsidRPr="000E50F1">
        <w:rPr>
          <w:rFonts w:ascii="Times" w:eastAsia="Calibri" w:hAnsi="Times"/>
          <w:bCs/>
          <w:lang w:val="en-US"/>
        </w:rPr>
        <w:t xml:space="preserve">, </w:t>
      </w:r>
      <w:r w:rsidRPr="000E50F1">
        <w:rPr>
          <w:rFonts w:ascii="Times" w:eastAsia="Calibri" w:hAnsi="Times"/>
          <w:bCs/>
          <w:lang w:val="en-US"/>
        </w:rPr>
        <w:t>its nuances</w:t>
      </w:r>
      <w:r w:rsidR="00767304" w:rsidRPr="000E50F1">
        <w:rPr>
          <w:rFonts w:ascii="Times" w:eastAsia="Calibri" w:hAnsi="Times"/>
          <w:bCs/>
          <w:lang w:val="en-US"/>
        </w:rPr>
        <w:t xml:space="preserve">, </w:t>
      </w:r>
      <w:r w:rsidRPr="000E50F1">
        <w:rPr>
          <w:rFonts w:ascii="Times" w:eastAsia="Calibri" w:hAnsi="Times"/>
          <w:bCs/>
          <w:lang w:val="en-US"/>
        </w:rPr>
        <w:t xml:space="preserve">and complexities. </w:t>
      </w:r>
      <w:r w:rsidR="00A96AB1" w:rsidRPr="000E50F1">
        <w:rPr>
          <w:rFonts w:ascii="Times" w:eastAsia="Calibri" w:hAnsi="Times"/>
          <w:bCs/>
          <w:lang w:val="en-US"/>
        </w:rPr>
        <w:t>Stated early on, a</w:t>
      </w:r>
      <w:r w:rsidR="00E0492B" w:rsidRPr="000E50F1">
        <w:rPr>
          <w:rFonts w:ascii="Times" w:eastAsia="Calibri" w:hAnsi="Times"/>
          <w:bCs/>
          <w:lang w:val="en-US"/>
        </w:rPr>
        <w:t xml:space="preserve"> thread that underpinned </w:t>
      </w:r>
      <w:r w:rsidRPr="000E50F1">
        <w:rPr>
          <w:rFonts w:ascii="Times" w:eastAsia="Calibri" w:hAnsi="Times"/>
          <w:bCs/>
          <w:lang w:val="en-US"/>
        </w:rPr>
        <w:t>the three research project</w:t>
      </w:r>
      <w:r w:rsidR="00A7176A" w:rsidRPr="000E50F1">
        <w:rPr>
          <w:rFonts w:ascii="Times" w:eastAsia="Calibri" w:hAnsi="Times"/>
          <w:bCs/>
          <w:lang w:val="en-US"/>
        </w:rPr>
        <w:t>s highlight</w:t>
      </w:r>
      <w:r w:rsidRPr="000E50F1">
        <w:rPr>
          <w:rFonts w:ascii="Times" w:eastAsia="Calibri" w:hAnsi="Times"/>
          <w:bCs/>
          <w:lang w:val="en-US"/>
        </w:rPr>
        <w:t xml:space="preserve"> the </w:t>
      </w:r>
      <w:r w:rsidRPr="000E50F1">
        <w:rPr>
          <w:rFonts w:ascii="Times" w:hAnsi="Times"/>
        </w:rPr>
        <w:t xml:space="preserve">potential for policies and conditions to create group risks and vulnerabilities in immigration, </w:t>
      </w:r>
      <w:r w:rsidR="00A7176A" w:rsidRPr="000E50F1">
        <w:rPr>
          <w:rFonts w:ascii="Times" w:eastAsia="Calibri" w:hAnsi="Times"/>
          <w:bCs/>
          <w:lang w:val="en-US"/>
        </w:rPr>
        <w:t>settlement and integration</w:t>
      </w:r>
      <w:r w:rsidR="00A7176A" w:rsidRPr="000E50F1">
        <w:rPr>
          <w:rFonts w:ascii="Times" w:hAnsi="Times"/>
        </w:rPr>
        <w:t xml:space="preserve">. </w:t>
      </w:r>
      <w:r w:rsidR="00C63F11" w:rsidRPr="000E50F1">
        <w:rPr>
          <w:rFonts w:ascii="Times" w:hAnsi="Times"/>
        </w:rPr>
        <w:t xml:space="preserve">However, this observation (rather than </w:t>
      </w:r>
      <w:r w:rsidR="00C63F11" w:rsidRPr="000E50F1">
        <w:rPr>
          <w:rFonts w:ascii="Times" w:eastAsia="Calibri" w:hAnsi="Times"/>
          <w:bCs/>
          <w:i/>
          <w:iCs/>
          <w:lang w:val="en-US"/>
        </w:rPr>
        <w:t>a priori</w:t>
      </w:r>
      <w:r w:rsidR="00C63F11" w:rsidRPr="000E50F1">
        <w:rPr>
          <w:rFonts w:ascii="Times" w:eastAsia="Calibri" w:hAnsi="Times"/>
          <w:bCs/>
          <w:lang w:val="en-US"/>
        </w:rPr>
        <w:t>)</w:t>
      </w:r>
      <w:r w:rsidR="00C63F11" w:rsidRPr="000E50F1">
        <w:rPr>
          <w:rFonts w:ascii="Times" w:hAnsi="Times"/>
        </w:rPr>
        <w:t xml:space="preserve"> </w:t>
      </w:r>
      <w:r w:rsidRPr="000E50F1">
        <w:rPr>
          <w:rFonts w:ascii="Times" w:eastAsia="Calibri" w:hAnsi="Times"/>
          <w:bCs/>
          <w:lang w:val="en-US"/>
        </w:rPr>
        <w:t xml:space="preserve">emerged </w:t>
      </w:r>
      <w:r w:rsidR="00E0492B" w:rsidRPr="000E50F1">
        <w:rPr>
          <w:rFonts w:ascii="Times" w:eastAsia="Calibri" w:hAnsi="Times"/>
          <w:bCs/>
          <w:lang w:val="en-US"/>
        </w:rPr>
        <w:t xml:space="preserve">as a dominant theme as </w:t>
      </w:r>
      <w:r w:rsidR="00A7176A" w:rsidRPr="000E50F1">
        <w:rPr>
          <w:rFonts w:ascii="Times" w:eastAsia="Calibri" w:hAnsi="Times"/>
          <w:bCs/>
          <w:lang w:val="en-US"/>
        </w:rPr>
        <w:t>each</w:t>
      </w:r>
      <w:r w:rsidR="00E0492B" w:rsidRPr="000E50F1">
        <w:rPr>
          <w:rFonts w:ascii="Times" w:eastAsia="Calibri" w:hAnsi="Times"/>
          <w:bCs/>
          <w:lang w:val="en-US"/>
        </w:rPr>
        <w:t xml:space="preserve"> project unfolded</w:t>
      </w:r>
      <w:r w:rsidR="00C63F11" w:rsidRPr="000E50F1">
        <w:rPr>
          <w:rFonts w:ascii="Times" w:eastAsia="Calibri" w:hAnsi="Times"/>
          <w:bCs/>
          <w:lang w:val="en-US"/>
        </w:rPr>
        <w:t xml:space="preserve">. </w:t>
      </w:r>
      <w:r w:rsidR="00BD7F4B" w:rsidRPr="000E50F1">
        <w:rPr>
          <w:rFonts w:ascii="Times" w:eastAsia="Calibri" w:hAnsi="Times"/>
          <w:bCs/>
          <w:lang w:val="en-US"/>
        </w:rPr>
        <w:t>The</w:t>
      </w:r>
      <w:r w:rsidR="00260311" w:rsidRPr="000E50F1">
        <w:rPr>
          <w:rFonts w:ascii="Times" w:eastAsia="Calibri" w:hAnsi="Times"/>
          <w:bCs/>
          <w:lang w:val="en-US"/>
        </w:rPr>
        <w:t xml:space="preserve"> </w:t>
      </w:r>
      <w:r w:rsidR="00A96AB1" w:rsidRPr="000E50F1">
        <w:rPr>
          <w:rFonts w:ascii="Times" w:eastAsia="Calibri" w:hAnsi="Times"/>
          <w:bCs/>
          <w:lang w:val="en-US"/>
        </w:rPr>
        <w:t>community</w:t>
      </w:r>
      <w:r w:rsidR="00260311" w:rsidRPr="000E50F1">
        <w:rPr>
          <w:rFonts w:ascii="Times" w:eastAsia="Calibri" w:hAnsi="Times"/>
          <w:bCs/>
          <w:lang w:val="en-US"/>
        </w:rPr>
        <w:t>-</w:t>
      </w:r>
      <w:r w:rsidR="00A96AB1" w:rsidRPr="000E50F1">
        <w:rPr>
          <w:rFonts w:ascii="Times" w:eastAsia="Calibri" w:hAnsi="Times"/>
          <w:bCs/>
          <w:lang w:val="en-US"/>
        </w:rPr>
        <w:t xml:space="preserve">based approach </w:t>
      </w:r>
      <w:r w:rsidR="00BD7F4B" w:rsidRPr="000E50F1">
        <w:rPr>
          <w:rFonts w:ascii="Times" w:eastAsia="Calibri" w:hAnsi="Times"/>
          <w:bCs/>
          <w:lang w:val="en-US"/>
        </w:rPr>
        <w:t xml:space="preserve">of this </w:t>
      </w:r>
      <w:r w:rsidR="00A7176A" w:rsidRPr="000E50F1">
        <w:rPr>
          <w:rFonts w:ascii="Times" w:eastAsia="Calibri" w:hAnsi="Times"/>
          <w:bCs/>
          <w:lang w:val="en-US"/>
        </w:rPr>
        <w:t>research did</w:t>
      </w:r>
      <w:r w:rsidR="00E0492B" w:rsidRPr="000E50F1">
        <w:rPr>
          <w:rFonts w:ascii="Times" w:eastAsia="Calibri" w:hAnsi="Times"/>
          <w:bCs/>
          <w:lang w:val="en-US"/>
        </w:rPr>
        <w:t xml:space="preserve"> not </w:t>
      </w:r>
      <w:r w:rsidR="000E50F1" w:rsidRPr="000E50F1">
        <w:rPr>
          <w:rFonts w:ascii="Times" w:eastAsia="Calibri" w:hAnsi="Times"/>
          <w:bCs/>
          <w:lang w:val="en-US"/>
        </w:rPr>
        <w:t>prioritize</w:t>
      </w:r>
      <w:r w:rsidR="00E0492B" w:rsidRPr="000E50F1">
        <w:rPr>
          <w:rFonts w:ascii="Times" w:eastAsia="Calibri" w:hAnsi="Times"/>
          <w:bCs/>
          <w:lang w:val="en-US"/>
        </w:rPr>
        <w:t xml:space="preserve"> academic </w:t>
      </w:r>
      <w:r w:rsidR="00A7176A" w:rsidRPr="000E50F1">
        <w:rPr>
          <w:rFonts w:ascii="Times" w:eastAsia="Calibri" w:hAnsi="Times"/>
          <w:bCs/>
          <w:lang w:val="en-US"/>
        </w:rPr>
        <w:t xml:space="preserve">inquiry or </w:t>
      </w:r>
      <w:r w:rsidR="009D1E25" w:rsidRPr="000E50F1">
        <w:rPr>
          <w:rFonts w:ascii="Times" w:eastAsia="Calibri" w:hAnsi="Times"/>
          <w:bCs/>
          <w:lang w:val="en-US"/>
        </w:rPr>
        <w:t xml:space="preserve">design for </w:t>
      </w:r>
      <w:r w:rsidR="00A7176A" w:rsidRPr="000E50F1">
        <w:rPr>
          <w:rFonts w:ascii="Times" w:eastAsia="Calibri" w:hAnsi="Times"/>
          <w:bCs/>
          <w:lang w:val="en-US"/>
        </w:rPr>
        <w:t xml:space="preserve">publication </w:t>
      </w:r>
      <w:r w:rsidR="00BD7F4B" w:rsidRPr="000E50F1">
        <w:rPr>
          <w:rFonts w:ascii="Times" w:eastAsia="Calibri" w:hAnsi="Times"/>
          <w:bCs/>
          <w:lang w:val="en-US"/>
        </w:rPr>
        <w:t>when issues emerged on the ground</w:t>
      </w:r>
      <w:r w:rsidR="00260311" w:rsidRPr="000E50F1">
        <w:rPr>
          <w:rFonts w:ascii="Times" w:eastAsia="Calibri" w:hAnsi="Times"/>
          <w:bCs/>
          <w:lang w:val="en-US"/>
        </w:rPr>
        <w:t xml:space="preserve">, </w:t>
      </w:r>
      <w:r w:rsidR="00A96AB1" w:rsidRPr="000E50F1">
        <w:rPr>
          <w:rFonts w:ascii="Times" w:eastAsia="Calibri" w:hAnsi="Times"/>
          <w:bCs/>
          <w:lang w:val="en-US"/>
        </w:rPr>
        <w:t xml:space="preserve">and this </w:t>
      </w:r>
      <w:r w:rsidR="00A7176A" w:rsidRPr="000E50F1">
        <w:rPr>
          <w:rFonts w:ascii="Times" w:eastAsia="Calibri" w:hAnsi="Times"/>
          <w:bCs/>
          <w:lang w:val="en-US"/>
        </w:rPr>
        <w:t>result</w:t>
      </w:r>
      <w:r w:rsidR="00A96AB1" w:rsidRPr="000E50F1">
        <w:rPr>
          <w:rFonts w:ascii="Times" w:eastAsia="Calibri" w:hAnsi="Times"/>
          <w:bCs/>
          <w:lang w:val="en-US"/>
        </w:rPr>
        <w:t>ed in the arduous and challenging</w:t>
      </w:r>
      <w:r w:rsidR="00A7176A" w:rsidRPr="000E50F1">
        <w:rPr>
          <w:rFonts w:ascii="Times" w:eastAsia="Calibri" w:hAnsi="Times"/>
          <w:bCs/>
          <w:lang w:val="en-US"/>
        </w:rPr>
        <w:t xml:space="preserve"> task of</w:t>
      </w:r>
      <w:r w:rsidR="00E0492B" w:rsidRPr="000E50F1">
        <w:rPr>
          <w:rFonts w:ascii="Times" w:eastAsia="Calibri" w:hAnsi="Times"/>
          <w:bCs/>
          <w:lang w:val="en-US"/>
        </w:rPr>
        <w:t xml:space="preserve"> </w:t>
      </w:r>
      <w:r w:rsidR="00767304" w:rsidRPr="000E50F1">
        <w:rPr>
          <w:rFonts w:ascii="Times" w:eastAsia="Calibri" w:hAnsi="Times"/>
          <w:bCs/>
          <w:lang w:val="en-US"/>
        </w:rPr>
        <w:t xml:space="preserve">threading </w:t>
      </w:r>
      <w:r w:rsidR="00A7176A" w:rsidRPr="000E50F1">
        <w:rPr>
          <w:rFonts w:ascii="Times" w:eastAsia="Calibri" w:hAnsi="Times"/>
          <w:bCs/>
          <w:lang w:val="en-US"/>
        </w:rPr>
        <w:t xml:space="preserve">the papers together to form </w:t>
      </w:r>
      <w:r w:rsidR="00294BC2" w:rsidRPr="000E50F1">
        <w:rPr>
          <w:rFonts w:ascii="Times" w:eastAsia="Calibri" w:hAnsi="Times"/>
          <w:bCs/>
          <w:lang w:val="en-US"/>
        </w:rPr>
        <w:t>a comprehensive body</w:t>
      </w:r>
      <w:r w:rsidR="00A7176A" w:rsidRPr="000E50F1">
        <w:rPr>
          <w:rFonts w:ascii="Times" w:eastAsia="Calibri" w:hAnsi="Times"/>
          <w:bCs/>
          <w:lang w:val="en-US"/>
        </w:rPr>
        <w:t xml:space="preserve">. </w:t>
      </w:r>
      <w:r w:rsidR="00767304" w:rsidRPr="000E50F1">
        <w:rPr>
          <w:rFonts w:ascii="Times" w:eastAsia="Calibri" w:hAnsi="Times"/>
          <w:bCs/>
          <w:lang w:val="en-US"/>
        </w:rPr>
        <w:t xml:space="preserve">With that said, this has been a rewarding journey and one that I am proud of. </w:t>
      </w:r>
    </w:p>
    <w:p w14:paraId="098BCCDA" w14:textId="533E8C0E" w:rsidR="00294BC2" w:rsidRPr="000E50F1" w:rsidRDefault="00294BC2" w:rsidP="00294BC2">
      <w:pPr>
        <w:rPr>
          <w:rFonts w:ascii="Times" w:eastAsia="Calibri" w:hAnsi="Times"/>
          <w:bCs/>
          <w:i/>
          <w:iCs/>
          <w:lang w:val="en-US"/>
        </w:rPr>
      </w:pPr>
    </w:p>
    <w:p w14:paraId="218FCC28" w14:textId="00ED6934" w:rsidR="00294BC2" w:rsidRPr="000E50F1" w:rsidRDefault="00294BC2" w:rsidP="00294BC2">
      <w:pPr>
        <w:rPr>
          <w:rFonts w:ascii="Times" w:eastAsia="Calibri" w:hAnsi="Times"/>
          <w:bCs/>
          <w:lang w:val="en-US"/>
        </w:rPr>
      </w:pPr>
    </w:p>
    <w:p w14:paraId="47ACB2B5" w14:textId="77777777" w:rsidR="00294BC2" w:rsidRPr="000E50F1" w:rsidRDefault="00294BC2" w:rsidP="00351DC6">
      <w:pPr>
        <w:rPr>
          <w:rFonts w:ascii="Times" w:eastAsia="Calibri" w:hAnsi="Times"/>
          <w:bCs/>
          <w:lang w:val="en-US"/>
        </w:rPr>
      </w:pPr>
    </w:p>
    <w:p w14:paraId="3CE6F60D" w14:textId="77777777" w:rsidR="00DF561B" w:rsidRPr="000E50F1" w:rsidRDefault="00DF561B" w:rsidP="00DF561B">
      <w:pPr>
        <w:rPr>
          <w:rFonts w:ascii="Times" w:eastAsia="Calibri" w:hAnsi="Times"/>
          <w:bCs/>
          <w:lang w:val="en-US"/>
        </w:rPr>
      </w:pPr>
    </w:p>
    <w:p w14:paraId="37E79E69" w14:textId="77777777" w:rsidR="006E062E" w:rsidRPr="000E50F1" w:rsidRDefault="006E062E" w:rsidP="00126557">
      <w:pPr>
        <w:tabs>
          <w:tab w:val="left" w:pos="1560"/>
        </w:tabs>
        <w:rPr>
          <w:rFonts w:ascii="Arial" w:hAnsi="Arial" w:cs="Arial"/>
          <w:spacing w:val="-5"/>
          <w:lang w:val="en-US"/>
        </w:rPr>
      </w:pPr>
    </w:p>
    <w:p w14:paraId="04FEFC71" w14:textId="77777777" w:rsidR="009871D1" w:rsidRPr="000E50F1" w:rsidRDefault="009871D1" w:rsidP="009D1E25">
      <w:pPr>
        <w:pStyle w:val="Heading1"/>
        <w:spacing w:before="0" w:line="240" w:lineRule="auto"/>
        <w:rPr>
          <w:rFonts w:ascii="Times" w:eastAsia="Calibri" w:hAnsi="Times"/>
          <w:color w:val="auto"/>
          <w:sz w:val="24"/>
          <w:szCs w:val="24"/>
        </w:rPr>
      </w:pPr>
      <w:bookmarkStart w:id="37" w:name="_Toc60231904"/>
    </w:p>
    <w:p w14:paraId="0C085905" w14:textId="77777777" w:rsidR="009871D1" w:rsidRPr="000E50F1" w:rsidRDefault="009871D1" w:rsidP="00BD3475">
      <w:pPr>
        <w:pStyle w:val="Heading1"/>
        <w:spacing w:before="0" w:line="240" w:lineRule="auto"/>
        <w:jc w:val="center"/>
        <w:rPr>
          <w:rFonts w:ascii="Times" w:eastAsia="Calibri" w:hAnsi="Times"/>
          <w:color w:val="auto"/>
          <w:sz w:val="24"/>
          <w:szCs w:val="24"/>
        </w:rPr>
      </w:pPr>
    </w:p>
    <w:p w14:paraId="3893CAFD" w14:textId="77777777" w:rsidR="009871D1" w:rsidRPr="000E50F1" w:rsidRDefault="009871D1" w:rsidP="00BD3475">
      <w:pPr>
        <w:pStyle w:val="Heading1"/>
        <w:spacing w:before="0" w:line="240" w:lineRule="auto"/>
        <w:jc w:val="center"/>
        <w:rPr>
          <w:rFonts w:ascii="Times" w:eastAsia="Calibri" w:hAnsi="Times"/>
          <w:color w:val="auto"/>
          <w:sz w:val="24"/>
          <w:szCs w:val="24"/>
        </w:rPr>
      </w:pPr>
    </w:p>
    <w:p w14:paraId="055C94B0" w14:textId="30499C87" w:rsidR="009871D1" w:rsidRPr="000E50F1" w:rsidRDefault="009871D1">
      <w:pPr>
        <w:rPr>
          <w:rFonts w:ascii="Times" w:eastAsia="Calibri" w:hAnsi="Times"/>
          <w:b/>
          <w:lang w:val="en-US"/>
        </w:rPr>
      </w:pPr>
    </w:p>
    <w:p w14:paraId="77F5273A" w14:textId="3D79D13B" w:rsidR="00BD3475" w:rsidRPr="000E50F1" w:rsidRDefault="00BD3475" w:rsidP="00BD3475">
      <w:pPr>
        <w:pStyle w:val="Heading1"/>
        <w:spacing w:before="0" w:line="240" w:lineRule="auto"/>
        <w:jc w:val="center"/>
        <w:rPr>
          <w:rFonts w:ascii="Times" w:eastAsia="Calibri" w:hAnsi="Times"/>
          <w:b w:val="0"/>
          <w:bCs/>
          <w:color w:val="auto"/>
          <w:sz w:val="24"/>
          <w:szCs w:val="24"/>
        </w:rPr>
      </w:pPr>
      <w:r w:rsidRPr="000E50F1">
        <w:rPr>
          <w:rFonts w:ascii="Times" w:eastAsia="Calibri" w:hAnsi="Times"/>
          <w:color w:val="auto"/>
          <w:sz w:val="24"/>
          <w:szCs w:val="24"/>
        </w:rPr>
        <w:lastRenderedPageBreak/>
        <w:t>APPENDIX C: INTERVIEW GUIDE</w:t>
      </w:r>
      <w:bookmarkEnd w:id="37"/>
      <w:r w:rsidR="00F910AB" w:rsidRPr="000E50F1">
        <w:rPr>
          <w:rFonts w:ascii="Times" w:eastAsia="Calibri" w:hAnsi="Times"/>
          <w:color w:val="auto"/>
          <w:sz w:val="24"/>
          <w:szCs w:val="24"/>
        </w:rPr>
        <w:t xml:space="preserve"> (LIP)</w:t>
      </w:r>
    </w:p>
    <w:p w14:paraId="69B97255" w14:textId="77777777" w:rsidR="00BD3475" w:rsidRPr="000E50F1" w:rsidRDefault="00BD3475" w:rsidP="005E3001">
      <w:pPr>
        <w:jc w:val="center"/>
        <w:rPr>
          <w:rFonts w:ascii="Times" w:eastAsia="Calibri" w:hAnsi="Times"/>
          <w:bCs/>
          <w:lang w:val="en-US"/>
        </w:rPr>
      </w:pPr>
    </w:p>
    <w:p w14:paraId="63D75906" w14:textId="235980E0" w:rsidR="005615B3" w:rsidRPr="000E50F1" w:rsidRDefault="005615B3" w:rsidP="005E3001">
      <w:pPr>
        <w:rPr>
          <w:rFonts w:ascii="Arial" w:hAnsi="Arial" w:cs="Arial"/>
          <w:b/>
          <w:sz w:val="22"/>
          <w:szCs w:val="22"/>
          <w:lang w:val="en-US"/>
        </w:rPr>
      </w:pPr>
      <w:r w:rsidRPr="000E50F1">
        <w:rPr>
          <w:rFonts w:ascii="Arial" w:hAnsi="Arial" w:cs="Arial"/>
          <w:b/>
          <w:sz w:val="22"/>
          <w:szCs w:val="22"/>
          <w:lang w:val="en-US"/>
        </w:rPr>
        <w:t>A Comparative Evaluation of Local Immigration Partnerships Role in the Syrian Refugee Resettlement Process: A Case Study of Three Official Reception Centres in Ontario</w:t>
      </w:r>
    </w:p>
    <w:p w14:paraId="577F2E45" w14:textId="77777777" w:rsidR="005615B3" w:rsidRPr="000E50F1" w:rsidRDefault="005615B3" w:rsidP="005615B3">
      <w:pPr>
        <w:jc w:val="center"/>
        <w:rPr>
          <w:rFonts w:ascii="Arial" w:hAnsi="Arial" w:cs="Arial"/>
          <w:b/>
          <w:sz w:val="22"/>
          <w:szCs w:val="22"/>
          <w:lang w:val="en-US"/>
        </w:rPr>
      </w:pPr>
    </w:p>
    <w:p w14:paraId="451EE6E8" w14:textId="77777777" w:rsidR="005615B3" w:rsidRPr="000E50F1" w:rsidRDefault="005615B3" w:rsidP="005615B3">
      <w:pPr>
        <w:pBdr>
          <w:bottom w:val="single" w:sz="4" w:space="1" w:color="auto"/>
        </w:pBdr>
        <w:jc w:val="center"/>
        <w:rPr>
          <w:rFonts w:ascii="Arial" w:hAnsi="Arial" w:cs="Arial"/>
          <w:b/>
          <w:lang w:val="en-US"/>
        </w:rPr>
      </w:pPr>
      <w:r w:rsidRPr="000E50F1">
        <w:rPr>
          <w:rFonts w:ascii="Arial" w:hAnsi="Arial" w:cs="Arial"/>
          <w:b/>
          <w:lang w:val="en-US"/>
        </w:rPr>
        <w:t>Semi-Structured Interview Guide</w:t>
      </w:r>
    </w:p>
    <w:p w14:paraId="57A8ADFD" w14:textId="77777777" w:rsidR="005E3001" w:rsidRPr="000E50F1" w:rsidRDefault="005E3001" w:rsidP="005E3001">
      <w:pPr>
        <w:rPr>
          <w:rFonts w:ascii="Arial" w:hAnsi="Arial" w:cs="Arial"/>
          <w:sz w:val="22"/>
          <w:szCs w:val="22"/>
          <w:lang w:val="en-US"/>
        </w:rPr>
      </w:pPr>
    </w:p>
    <w:p w14:paraId="4D8D23F4" w14:textId="596D7830" w:rsidR="005615B3" w:rsidRPr="000E50F1" w:rsidRDefault="005615B3" w:rsidP="005E3001">
      <w:pPr>
        <w:rPr>
          <w:rFonts w:ascii="Arial" w:hAnsi="Arial" w:cs="Arial"/>
          <w:sz w:val="22"/>
          <w:szCs w:val="22"/>
          <w:lang w:val="en-US"/>
        </w:rPr>
      </w:pPr>
      <w:r w:rsidRPr="000E50F1">
        <w:rPr>
          <w:rFonts w:ascii="Arial" w:hAnsi="Arial" w:cs="Arial"/>
          <w:sz w:val="22"/>
          <w:szCs w:val="22"/>
          <w:lang w:val="en-US"/>
        </w:rPr>
        <w:t>Developed by Dr. Margaret Walton-Roberts &amp; Dr. Luisa Veronis</w:t>
      </w:r>
    </w:p>
    <w:p w14:paraId="0007893E" w14:textId="77777777" w:rsidR="005E3001" w:rsidRPr="000E50F1" w:rsidRDefault="005E3001" w:rsidP="005E3001">
      <w:pPr>
        <w:rPr>
          <w:rFonts w:ascii="Arial" w:hAnsi="Arial" w:cs="Arial"/>
          <w:sz w:val="22"/>
          <w:szCs w:val="22"/>
          <w:lang w:val="en-US"/>
        </w:rPr>
      </w:pPr>
    </w:p>
    <w:p w14:paraId="3AA92108" w14:textId="6B24DB8C" w:rsidR="005615B3" w:rsidRPr="000E50F1" w:rsidRDefault="005615B3" w:rsidP="005E3001">
      <w:pPr>
        <w:rPr>
          <w:rFonts w:ascii="Arial" w:hAnsi="Arial" w:cs="Arial"/>
          <w:b/>
          <w:sz w:val="22"/>
          <w:szCs w:val="22"/>
          <w:lang w:val="en-US"/>
        </w:rPr>
      </w:pPr>
      <w:r w:rsidRPr="000E50F1">
        <w:rPr>
          <w:rFonts w:ascii="Arial" w:hAnsi="Arial" w:cs="Arial"/>
          <w:sz w:val="22"/>
          <w:szCs w:val="22"/>
          <w:lang w:val="en-US"/>
        </w:rPr>
        <w:t>Adapted by Dr. Sarah Wayland and Huyen Dam for Hamilton</w:t>
      </w:r>
      <w:r w:rsidR="005E3001" w:rsidRPr="000E50F1">
        <w:rPr>
          <w:rFonts w:ascii="Arial" w:hAnsi="Arial" w:cs="Arial"/>
          <w:sz w:val="22"/>
          <w:szCs w:val="22"/>
          <w:lang w:val="en-US"/>
        </w:rPr>
        <w:t>, ON in October 2016</w:t>
      </w:r>
    </w:p>
    <w:p w14:paraId="0564FE23" w14:textId="77777777" w:rsidR="005615B3" w:rsidRPr="000E50F1" w:rsidRDefault="005615B3" w:rsidP="005615B3">
      <w:pPr>
        <w:jc w:val="center"/>
        <w:rPr>
          <w:rFonts w:ascii="Arial" w:hAnsi="Arial" w:cs="Arial"/>
          <w:b/>
          <w:sz w:val="22"/>
          <w:szCs w:val="22"/>
          <w:lang w:val="en-US"/>
        </w:rPr>
      </w:pPr>
      <w:r w:rsidRPr="000E50F1">
        <w:rPr>
          <w:rFonts w:ascii="Arial" w:hAnsi="Arial" w:cs="Arial"/>
          <w:b/>
          <w:sz w:val="22"/>
          <w:szCs w:val="22"/>
          <w:lang w:val="en-US"/>
        </w:rPr>
        <w:t xml:space="preserve"> </w:t>
      </w:r>
    </w:p>
    <w:tbl>
      <w:tblPr>
        <w:tblStyle w:val="TableGrid"/>
        <w:tblW w:w="0" w:type="auto"/>
        <w:tblLook w:val="01E0" w:firstRow="1" w:lastRow="1" w:firstColumn="1" w:lastColumn="1" w:noHBand="0" w:noVBand="0"/>
      </w:tblPr>
      <w:tblGrid>
        <w:gridCol w:w="1845"/>
        <w:gridCol w:w="2014"/>
        <w:gridCol w:w="2191"/>
        <w:gridCol w:w="1870"/>
      </w:tblGrid>
      <w:tr w:rsidR="005615B3" w:rsidRPr="000E50F1" w14:paraId="56F6EAE2" w14:textId="77777777" w:rsidTr="00AA1006">
        <w:trPr>
          <w:trHeight w:val="269"/>
        </w:trPr>
        <w:tc>
          <w:tcPr>
            <w:tcW w:w="2214" w:type="dxa"/>
          </w:tcPr>
          <w:p w14:paraId="0E762A1B" w14:textId="77777777" w:rsidR="005615B3" w:rsidRPr="000E50F1" w:rsidRDefault="005615B3" w:rsidP="00AA1006">
            <w:pPr>
              <w:jc w:val="center"/>
              <w:rPr>
                <w:rFonts w:ascii="Arial" w:hAnsi="Arial" w:cs="Arial"/>
                <w:sz w:val="22"/>
                <w:szCs w:val="22"/>
                <w:u w:val="single"/>
              </w:rPr>
            </w:pPr>
            <w:r w:rsidRPr="000E50F1">
              <w:rPr>
                <w:rFonts w:ascii="Arial" w:hAnsi="Arial" w:cs="Arial"/>
                <w:sz w:val="22"/>
                <w:szCs w:val="22"/>
                <w:u w:val="single"/>
              </w:rPr>
              <w:t>Code</w:t>
            </w:r>
          </w:p>
          <w:p w14:paraId="663A19C9" w14:textId="77777777" w:rsidR="005615B3" w:rsidRPr="000E50F1" w:rsidRDefault="005615B3" w:rsidP="00AA1006">
            <w:pPr>
              <w:jc w:val="center"/>
              <w:rPr>
                <w:rFonts w:ascii="Arial" w:hAnsi="Arial" w:cs="Arial"/>
                <w:sz w:val="22"/>
                <w:szCs w:val="22"/>
                <w:u w:val="single"/>
              </w:rPr>
            </w:pPr>
          </w:p>
          <w:p w14:paraId="5DFC14E6" w14:textId="77777777" w:rsidR="005615B3" w:rsidRPr="000E50F1" w:rsidRDefault="005615B3" w:rsidP="00AA1006">
            <w:pPr>
              <w:jc w:val="center"/>
              <w:rPr>
                <w:rFonts w:ascii="Arial" w:hAnsi="Arial" w:cs="Arial"/>
                <w:sz w:val="22"/>
                <w:szCs w:val="22"/>
                <w:u w:val="single"/>
              </w:rPr>
            </w:pPr>
          </w:p>
        </w:tc>
        <w:tc>
          <w:tcPr>
            <w:tcW w:w="2214" w:type="dxa"/>
          </w:tcPr>
          <w:p w14:paraId="2ABAB670" w14:textId="77777777" w:rsidR="005615B3" w:rsidRPr="000E50F1" w:rsidRDefault="005615B3" w:rsidP="00AA1006">
            <w:pPr>
              <w:jc w:val="center"/>
              <w:rPr>
                <w:rFonts w:ascii="Arial" w:hAnsi="Arial" w:cs="Arial"/>
                <w:sz w:val="22"/>
                <w:szCs w:val="22"/>
                <w:u w:val="single"/>
              </w:rPr>
            </w:pPr>
            <w:r w:rsidRPr="000E50F1">
              <w:rPr>
                <w:rFonts w:ascii="Arial" w:hAnsi="Arial" w:cs="Arial"/>
                <w:sz w:val="22"/>
                <w:szCs w:val="22"/>
                <w:u w:val="single"/>
              </w:rPr>
              <w:t>Participant’s Name</w:t>
            </w:r>
          </w:p>
          <w:p w14:paraId="57F5BC54" w14:textId="77777777" w:rsidR="005615B3" w:rsidRPr="000E50F1" w:rsidRDefault="005615B3" w:rsidP="00AA1006">
            <w:pPr>
              <w:jc w:val="center"/>
              <w:rPr>
                <w:rFonts w:ascii="Arial" w:hAnsi="Arial" w:cs="Arial"/>
                <w:sz w:val="22"/>
                <w:szCs w:val="22"/>
                <w:u w:val="single"/>
              </w:rPr>
            </w:pPr>
            <w:r w:rsidRPr="000E50F1">
              <w:rPr>
                <w:rFonts w:ascii="Arial" w:hAnsi="Arial" w:cs="Arial"/>
                <w:sz w:val="22"/>
                <w:szCs w:val="22"/>
                <w:u w:val="single"/>
              </w:rPr>
              <w:t xml:space="preserve"> </w:t>
            </w:r>
          </w:p>
        </w:tc>
        <w:tc>
          <w:tcPr>
            <w:tcW w:w="2214" w:type="dxa"/>
          </w:tcPr>
          <w:p w14:paraId="0946D3F6" w14:textId="77777777" w:rsidR="005615B3" w:rsidRPr="000E50F1" w:rsidRDefault="005615B3" w:rsidP="00AA1006">
            <w:pPr>
              <w:jc w:val="center"/>
              <w:rPr>
                <w:rFonts w:ascii="Arial" w:hAnsi="Arial" w:cs="Arial"/>
                <w:sz w:val="22"/>
                <w:szCs w:val="22"/>
                <w:u w:val="single"/>
              </w:rPr>
            </w:pPr>
            <w:r w:rsidRPr="000E50F1">
              <w:rPr>
                <w:rFonts w:ascii="Arial" w:hAnsi="Arial" w:cs="Arial"/>
                <w:sz w:val="22"/>
                <w:szCs w:val="22"/>
                <w:u w:val="single"/>
              </w:rPr>
              <w:t>Date/Time/Location</w:t>
            </w:r>
          </w:p>
        </w:tc>
        <w:tc>
          <w:tcPr>
            <w:tcW w:w="2214" w:type="dxa"/>
          </w:tcPr>
          <w:p w14:paraId="7D3E37FD" w14:textId="77777777" w:rsidR="005615B3" w:rsidRPr="000E50F1" w:rsidRDefault="005615B3" w:rsidP="00AA1006">
            <w:pPr>
              <w:jc w:val="center"/>
              <w:rPr>
                <w:rFonts w:ascii="Arial" w:hAnsi="Arial" w:cs="Arial"/>
                <w:sz w:val="22"/>
                <w:szCs w:val="22"/>
                <w:u w:val="single"/>
              </w:rPr>
            </w:pPr>
            <w:r w:rsidRPr="000E50F1">
              <w:rPr>
                <w:rFonts w:ascii="Arial" w:hAnsi="Arial" w:cs="Arial"/>
                <w:sz w:val="22"/>
                <w:szCs w:val="22"/>
                <w:u w:val="single"/>
              </w:rPr>
              <w:t>Initials</w:t>
            </w:r>
          </w:p>
        </w:tc>
      </w:tr>
    </w:tbl>
    <w:p w14:paraId="599DB13F" w14:textId="77777777" w:rsidR="005615B3" w:rsidRPr="000E50F1" w:rsidRDefault="005615B3" w:rsidP="005615B3">
      <w:pPr>
        <w:rPr>
          <w:rFonts w:ascii="Arial" w:hAnsi="Arial" w:cs="Arial"/>
          <w:sz w:val="22"/>
          <w:szCs w:val="22"/>
          <w:lang w:val="en-US"/>
        </w:rPr>
      </w:pPr>
    </w:p>
    <w:p w14:paraId="11A5B33A" w14:textId="77777777" w:rsidR="005615B3" w:rsidRPr="000E50F1" w:rsidRDefault="005615B3" w:rsidP="005615B3">
      <w:pPr>
        <w:rPr>
          <w:rFonts w:ascii="Arial" w:hAnsi="Arial" w:cs="Arial"/>
          <w:b/>
          <w:sz w:val="22"/>
          <w:szCs w:val="22"/>
          <w:lang w:val="en-US"/>
        </w:rPr>
      </w:pPr>
      <w:r w:rsidRPr="000E50F1">
        <w:rPr>
          <w:rFonts w:ascii="Arial" w:hAnsi="Arial" w:cs="Arial"/>
          <w:b/>
          <w:sz w:val="22"/>
          <w:szCs w:val="22"/>
          <w:lang w:val="en-US"/>
        </w:rPr>
        <w:t xml:space="preserve">Complete consent form </w:t>
      </w:r>
    </w:p>
    <w:p w14:paraId="1CD97CC8" w14:textId="77777777" w:rsidR="005615B3" w:rsidRPr="000E50F1" w:rsidRDefault="005615B3" w:rsidP="005615B3">
      <w:pPr>
        <w:rPr>
          <w:rFonts w:ascii="Arial" w:hAnsi="Arial" w:cs="Arial"/>
          <w:b/>
          <w:sz w:val="22"/>
          <w:szCs w:val="22"/>
          <w:lang w:val="en-US"/>
        </w:rPr>
      </w:pPr>
    </w:p>
    <w:p w14:paraId="5E94CDC9" w14:textId="70834548" w:rsidR="005615B3" w:rsidRPr="000E50F1" w:rsidRDefault="005615B3" w:rsidP="005615B3">
      <w:pPr>
        <w:pBdr>
          <w:top w:val="single" w:sz="4" w:space="1" w:color="auto"/>
          <w:bottom w:val="single" w:sz="4" w:space="1" w:color="auto"/>
        </w:pBdr>
        <w:ind w:left="1440" w:hanging="1440"/>
        <w:rPr>
          <w:rFonts w:ascii="Arial" w:hAnsi="Arial" w:cs="Arial"/>
          <w:sz w:val="22"/>
          <w:szCs w:val="22"/>
          <w:lang w:val="en-US"/>
        </w:rPr>
      </w:pPr>
      <w:r w:rsidRPr="000E50F1">
        <w:rPr>
          <w:rFonts w:ascii="Arial" w:hAnsi="Arial" w:cs="Arial"/>
          <w:b/>
          <w:sz w:val="22"/>
          <w:szCs w:val="22"/>
          <w:lang w:val="en-US"/>
        </w:rPr>
        <w:t>Section A</w:t>
      </w:r>
      <w:r w:rsidR="001A652D" w:rsidRPr="000E50F1">
        <w:rPr>
          <w:rFonts w:ascii="Arial" w:hAnsi="Arial" w:cs="Arial"/>
          <w:b/>
          <w:sz w:val="22"/>
          <w:szCs w:val="22"/>
          <w:lang w:val="en-US"/>
        </w:rPr>
        <w:t xml:space="preserve">: </w:t>
      </w:r>
      <w:r w:rsidRPr="000E50F1">
        <w:rPr>
          <w:rFonts w:ascii="Arial" w:hAnsi="Arial" w:cs="Arial"/>
          <w:b/>
          <w:sz w:val="22"/>
          <w:szCs w:val="22"/>
          <w:lang w:val="en-US"/>
        </w:rPr>
        <w:t xml:space="preserve">Syrian Refugee Resettlement and Local Immigration Partnerships   </w:t>
      </w:r>
    </w:p>
    <w:p w14:paraId="0DA77CA7" w14:textId="77777777" w:rsidR="005615B3" w:rsidRPr="000E50F1" w:rsidRDefault="005615B3" w:rsidP="005615B3">
      <w:pPr>
        <w:pBdr>
          <w:top w:val="single" w:sz="4" w:space="1" w:color="auto"/>
          <w:bottom w:val="single" w:sz="4" w:space="1" w:color="auto"/>
        </w:pBdr>
        <w:rPr>
          <w:rFonts w:ascii="Arial" w:hAnsi="Arial" w:cs="Arial"/>
          <w:sz w:val="22"/>
          <w:szCs w:val="22"/>
          <w:lang w:val="en-US"/>
        </w:rPr>
      </w:pPr>
      <w:r w:rsidRPr="000E50F1">
        <w:rPr>
          <w:rFonts w:ascii="Arial" w:hAnsi="Arial" w:cs="Arial"/>
          <w:sz w:val="22"/>
          <w:szCs w:val="22"/>
          <w:lang w:val="en-US"/>
        </w:rPr>
        <w:t xml:space="preserve">To start, I would like to ask a few basic questions about your organization’s role in the Syrian refugee resettlement process and its relationship with the LIP.   </w:t>
      </w:r>
    </w:p>
    <w:p w14:paraId="6D65C3F8" w14:textId="77777777" w:rsidR="005615B3" w:rsidRPr="000E50F1" w:rsidRDefault="005615B3" w:rsidP="005615B3">
      <w:pPr>
        <w:rPr>
          <w:rFonts w:ascii="Arial" w:hAnsi="Arial" w:cs="Arial"/>
          <w:sz w:val="22"/>
          <w:szCs w:val="22"/>
          <w:lang w:val="en-US"/>
        </w:rPr>
      </w:pPr>
    </w:p>
    <w:p w14:paraId="741BEEDC"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A1.</w:t>
      </w:r>
      <w:r w:rsidRPr="000E50F1">
        <w:rPr>
          <w:rFonts w:ascii="Arial" w:hAnsi="Arial" w:cs="Arial"/>
          <w:sz w:val="22"/>
          <w:szCs w:val="22"/>
          <w:lang w:val="en-US"/>
        </w:rPr>
        <w:tab/>
        <w:t xml:space="preserve">Please describe how your organization participated in the Syrian refugee resettlement process, if at all. </w:t>
      </w:r>
    </w:p>
    <w:p w14:paraId="6EA7722B" w14:textId="77777777" w:rsidR="005615B3" w:rsidRPr="000E50F1" w:rsidRDefault="005615B3" w:rsidP="005615B3">
      <w:pPr>
        <w:rPr>
          <w:rFonts w:ascii="Arial" w:hAnsi="Arial" w:cs="Arial"/>
          <w:sz w:val="22"/>
          <w:szCs w:val="22"/>
          <w:lang w:val="en-US"/>
        </w:rPr>
      </w:pPr>
    </w:p>
    <w:p w14:paraId="28D3CC64"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A2.</w:t>
      </w:r>
      <w:r w:rsidRPr="000E50F1">
        <w:rPr>
          <w:rFonts w:ascii="Arial" w:hAnsi="Arial" w:cs="Arial"/>
          <w:sz w:val="22"/>
          <w:szCs w:val="22"/>
          <w:lang w:val="en-US"/>
        </w:rPr>
        <w:tab/>
        <w:t xml:space="preserve">When did your (organization’s) relationship with the LIP begin (before or after the Syrian resettlement)? </w:t>
      </w:r>
    </w:p>
    <w:p w14:paraId="6054DA0A" w14:textId="77777777" w:rsidR="005615B3" w:rsidRPr="000E50F1" w:rsidRDefault="005615B3" w:rsidP="005615B3">
      <w:pPr>
        <w:ind w:left="720" w:hanging="720"/>
        <w:rPr>
          <w:rFonts w:ascii="Arial" w:hAnsi="Arial" w:cs="Arial"/>
          <w:sz w:val="22"/>
          <w:szCs w:val="22"/>
          <w:lang w:val="en-US"/>
        </w:rPr>
      </w:pPr>
    </w:p>
    <w:p w14:paraId="323D96F0"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A3.</w:t>
      </w:r>
      <w:r w:rsidRPr="000E50F1">
        <w:rPr>
          <w:rFonts w:ascii="Arial" w:hAnsi="Arial" w:cs="Arial"/>
          <w:sz w:val="22"/>
          <w:szCs w:val="22"/>
          <w:lang w:val="en-US"/>
        </w:rPr>
        <w:tab/>
        <w:t xml:space="preserve">If before: what was the nature of your (organization’s) relationship with LIP?  </w:t>
      </w:r>
    </w:p>
    <w:p w14:paraId="0C7BAD27" w14:textId="77777777" w:rsidR="005615B3" w:rsidRPr="000E50F1" w:rsidRDefault="005615B3" w:rsidP="005615B3">
      <w:pPr>
        <w:rPr>
          <w:rFonts w:ascii="Arial" w:hAnsi="Arial" w:cs="Arial"/>
          <w:sz w:val="22"/>
          <w:szCs w:val="22"/>
          <w:lang w:val="en-US"/>
        </w:rPr>
      </w:pPr>
    </w:p>
    <w:p w14:paraId="7FAE6C22" w14:textId="424A22FD" w:rsidR="005615B3" w:rsidRPr="000E50F1" w:rsidRDefault="005615B3" w:rsidP="005615B3">
      <w:pPr>
        <w:pBdr>
          <w:top w:val="single" w:sz="4" w:space="1" w:color="auto"/>
          <w:bottom w:val="single" w:sz="4" w:space="1" w:color="auto"/>
        </w:pBdr>
        <w:rPr>
          <w:rFonts w:ascii="Arial" w:hAnsi="Arial" w:cs="Arial"/>
          <w:b/>
          <w:sz w:val="22"/>
          <w:szCs w:val="22"/>
          <w:lang w:val="en-US"/>
        </w:rPr>
      </w:pPr>
      <w:r w:rsidRPr="000E50F1">
        <w:rPr>
          <w:rFonts w:ascii="Arial" w:hAnsi="Arial" w:cs="Arial"/>
          <w:b/>
          <w:sz w:val="22"/>
          <w:szCs w:val="22"/>
          <w:lang w:val="en-US"/>
        </w:rPr>
        <w:t xml:space="preserve">Section </w:t>
      </w:r>
      <w:r w:rsidR="001A652D" w:rsidRPr="000E50F1">
        <w:rPr>
          <w:rFonts w:ascii="Arial" w:hAnsi="Arial" w:cs="Arial"/>
          <w:b/>
          <w:sz w:val="22"/>
          <w:szCs w:val="22"/>
          <w:lang w:val="en-US"/>
        </w:rPr>
        <w:t xml:space="preserve">B: </w:t>
      </w:r>
      <w:r w:rsidRPr="000E50F1">
        <w:rPr>
          <w:rFonts w:ascii="Arial" w:hAnsi="Arial" w:cs="Arial"/>
          <w:b/>
          <w:sz w:val="22"/>
          <w:szCs w:val="22"/>
          <w:lang w:val="en-US"/>
        </w:rPr>
        <w:t xml:space="preserve">Relations with the LIP </w:t>
      </w:r>
    </w:p>
    <w:p w14:paraId="617752AE" w14:textId="3C818042" w:rsidR="005615B3" w:rsidRPr="000E50F1" w:rsidRDefault="005615B3" w:rsidP="005615B3">
      <w:pPr>
        <w:pBdr>
          <w:top w:val="single" w:sz="4" w:space="1" w:color="auto"/>
          <w:bottom w:val="single" w:sz="4" w:space="1" w:color="auto"/>
        </w:pBdr>
        <w:rPr>
          <w:rFonts w:ascii="Arial" w:hAnsi="Arial" w:cs="Arial"/>
          <w:sz w:val="22"/>
          <w:szCs w:val="22"/>
          <w:lang w:val="en-US"/>
        </w:rPr>
      </w:pPr>
      <w:r w:rsidRPr="000E50F1">
        <w:rPr>
          <w:rFonts w:ascii="Arial" w:hAnsi="Arial" w:cs="Arial"/>
          <w:sz w:val="22"/>
          <w:szCs w:val="22"/>
          <w:lang w:val="en-US"/>
        </w:rPr>
        <w:t xml:space="preserve">Next, I would like to ask a series of questions about your organization’s relations with the LIP in the context of the Syrian refugee resettlement. </w:t>
      </w:r>
      <w:r w:rsidRPr="000E50F1">
        <w:rPr>
          <w:rFonts w:ascii="Arial" w:hAnsi="Arial" w:cs="Arial"/>
          <w:sz w:val="22"/>
          <w:szCs w:val="22"/>
          <w:lang w:val="en-US"/>
        </w:rPr>
        <w:tab/>
      </w:r>
      <w:r w:rsidRPr="000E50F1">
        <w:rPr>
          <w:rFonts w:ascii="Arial" w:hAnsi="Arial" w:cs="Arial"/>
          <w:sz w:val="22"/>
          <w:szCs w:val="22"/>
          <w:lang w:val="en-US"/>
        </w:rPr>
        <w:tab/>
      </w:r>
      <w:r w:rsidRPr="000E50F1">
        <w:rPr>
          <w:rFonts w:ascii="Arial" w:hAnsi="Arial" w:cs="Arial"/>
          <w:sz w:val="22"/>
          <w:szCs w:val="22"/>
          <w:lang w:val="en-US"/>
        </w:rPr>
        <w:tab/>
      </w:r>
    </w:p>
    <w:p w14:paraId="39ABC0A4" w14:textId="77777777" w:rsidR="005615B3" w:rsidRPr="000E50F1" w:rsidRDefault="005615B3" w:rsidP="005615B3">
      <w:pPr>
        <w:tabs>
          <w:tab w:val="left" w:pos="912"/>
        </w:tabs>
        <w:rPr>
          <w:rFonts w:ascii="Arial" w:hAnsi="Arial" w:cs="Arial"/>
          <w:sz w:val="22"/>
          <w:szCs w:val="22"/>
          <w:lang w:val="en-US"/>
        </w:rPr>
      </w:pPr>
      <w:r w:rsidRPr="000E50F1">
        <w:rPr>
          <w:rFonts w:ascii="Arial" w:hAnsi="Arial" w:cs="Arial"/>
          <w:sz w:val="22"/>
          <w:szCs w:val="22"/>
          <w:lang w:val="en-US"/>
        </w:rPr>
        <w:tab/>
      </w:r>
    </w:p>
    <w:p w14:paraId="0D0A2ED8"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B1.</w:t>
      </w:r>
      <w:r w:rsidRPr="000E50F1">
        <w:rPr>
          <w:rFonts w:ascii="Arial" w:hAnsi="Arial" w:cs="Arial"/>
          <w:sz w:val="22"/>
          <w:szCs w:val="22"/>
          <w:lang w:val="en-US"/>
        </w:rPr>
        <w:tab/>
        <w:t xml:space="preserve">Please describe your (organization’s) relationship with the LIP or LIP affiliated activities as it corresponds to the Syrian refugee resettlement process. </w:t>
      </w:r>
    </w:p>
    <w:p w14:paraId="5AB3D116"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 xml:space="preserve"> </w:t>
      </w:r>
    </w:p>
    <w:p w14:paraId="3F6910CF"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B2.</w:t>
      </w:r>
      <w:r w:rsidRPr="000E50F1">
        <w:rPr>
          <w:rFonts w:ascii="Arial" w:hAnsi="Arial" w:cs="Arial"/>
          <w:sz w:val="22"/>
          <w:szCs w:val="22"/>
          <w:lang w:val="en-US"/>
        </w:rPr>
        <w:tab/>
        <w:t xml:space="preserve">Does your organization (Do you) sit on any of the following committees? </w:t>
      </w:r>
    </w:p>
    <w:p w14:paraId="3CB6AA8B" w14:textId="77777777" w:rsidR="005615B3" w:rsidRPr="000E50F1" w:rsidRDefault="005615B3" w:rsidP="005615B3">
      <w:pPr>
        <w:rPr>
          <w:rFonts w:ascii="Arial" w:hAnsi="Arial" w:cs="Arial"/>
          <w:sz w:val="22"/>
          <w:szCs w:val="22"/>
          <w:lang w:val="en-US"/>
        </w:rPr>
      </w:pPr>
    </w:p>
    <w:p w14:paraId="46B96C10"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Hamilton:</w:t>
      </w:r>
    </w:p>
    <w:p w14:paraId="52738C49"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A. HIPC Council/Steering Committee</w:t>
      </w:r>
    </w:p>
    <w:p w14:paraId="35D9AAA1"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B. HIPC Working Group/Subcommittee</w:t>
      </w:r>
    </w:p>
    <w:p w14:paraId="45DBAAE0" w14:textId="25F95112" w:rsidR="005615B3" w:rsidRPr="000E50F1" w:rsidRDefault="005615B3" w:rsidP="005E3001">
      <w:pPr>
        <w:ind w:left="720"/>
        <w:rPr>
          <w:rFonts w:ascii="Arial" w:hAnsi="Arial" w:cs="Arial"/>
          <w:sz w:val="22"/>
          <w:szCs w:val="22"/>
          <w:lang w:val="en-US"/>
        </w:rPr>
      </w:pPr>
      <w:r w:rsidRPr="000E50F1">
        <w:rPr>
          <w:rFonts w:ascii="Arial" w:hAnsi="Arial" w:cs="Arial"/>
          <w:sz w:val="22"/>
          <w:szCs w:val="22"/>
          <w:lang w:val="en-US"/>
        </w:rPr>
        <w:t>C. Mayor’s Taskforce on Newcomers/Working Groups</w:t>
      </w:r>
    </w:p>
    <w:p w14:paraId="1737371B"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lastRenderedPageBreak/>
        <w:t xml:space="preserve">B2a. If YES, what was your experience like on said committee?  </w:t>
      </w:r>
    </w:p>
    <w:p w14:paraId="3C49D795" w14:textId="77777777" w:rsidR="005615B3" w:rsidRPr="000E50F1" w:rsidRDefault="005615B3" w:rsidP="005615B3">
      <w:pPr>
        <w:ind w:left="720" w:hanging="720"/>
        <w:rPr>
          <w:rFonts w:ascii="Arial" w:hAnsi="Arial" w:cs="Arial"/>
          <w:sz w:val="22"/>
          <w:szCs w:val="22"/>
          <w:lang w:val="en-US"/>
        </w:rPr>
      </w:pPr>
    </w:p>
    <w:p w14:paraId="77E0419F" w14:textId="0D62CE32"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B3.</w:t>
      </w:r>
      <w:r w:rsidRPr="000E50F1">
        <w:rPr>
          <w:rFonts w:ascii="Arial" w:hAnsi="Arial" w:cs="Arial"/>
          <w:sz w:val="22"/>
          <w:szCs w:val="22"/>
          <w:lang w:val="en-US"/>
        </w:rPr>
        <w:tab/>
        <w:t>How do you receive communications from HIPC (</w:t>
      </w:r>
      <w:r w:rsidR="00045E98" w:rsidRPr="000E50F1">
        <w:rPr>
          <w:rFonts w:ascii="Arial" w:hAnsi="Arial" w:cs="Arial"/>
          <w:sz w:val="22"/>
          <w:szCs w:val="22"/>
          <w:lang w:val="en-US"/>
        </w:rPr>
        <w:t>i.e.,</w:t>
      </w:r>
      <w:r w:rsidRPr="000E50F1">
        <w:rPr>
          <w:rFonts w:ascii="Arial" w:hAnsi="Arial" w:cs="Arial"/>
          <w:sz w:val="22"/>
          <w:szCs w:val="22"/>
          <w:lang w:val="en-US"/>
        </w:rPr>
        <w:t xml:space="preserve"> list serve, briefings, newsletter)? </w:t>
      </w:r>
    </w:p>
    <w:p w14:paraId="71427070" w14:textId="77777777" w:rsidR="005615B3" w:rsidRPr="000E50F1" w:rsidRDefault="005615B3" w:rsidP="005615B3">
      <w:pPr>
        <w:ind w:left="720" w:hanging="720"/>
        <w:rPr>
          <w:rFonts w:ascii="Arial" w:hAnsi="Arial" w:cs="Arial"/>
          <w:sz w:val="22"/>
          <w:szCs w:val="22"/>
          <w:lang w:val="en-US"/>
        </w:rPr>
      </w:pPr>
    </w:p>
    <w:p w14:paraId="1CE0664F"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To LIP Delegate/Chair: How does HIPC deliver information to their partners?</w:t>
      </w:r>
    </w:p>
    <w:p w14:paraId="67C1B4A5" w14:textId="77777777" w:rsidR="005615B3" w:rsidRPr="000E50F1" w:rsidRDefault="005615B3" w:rsidP="005615B3">
      <w:pPr>
        <w:ind w:left="720"/>
        <w:rPr>
          <w:rFonts w:ascii="Arial" w:hAnsi="Arial" w:cs="Arial"/>
          <w:sz w:val="22"/>
          <w:szCs w:val="22"/>
          <w:lang w:val="en-US"/>
        </w:rPr>
      </w:pPr>
    </w:p>
    <w:p w14:paraId="0D3C16E1"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B4.</w:t>
      </w:r>
      <w:r w:rsidRPr="000E50F1">
        <w:rPr>
          <w:rFonts w:ascii="Arial" w:hAnsi="Arial" w:cs="Arial"/>
          <w:sz w:val="22"/>
          <w:szCs w:val="22"/>
          <w:lang w:val="en-US"/>
        </w:rPr>
        <w:tab/>
        <w:t>Does your organization (Do you) have an increased awareness of organizations involved in the Syrian refugee resettlement process and their activities in part because of the LIP?</w:t>
      </w:r>
    </w:p>
    <w:p w14:paraId="55466FA8" w14:textId="77777777" w:rsidR="005615B3" w:rsidRPr="000E50F1" w:rsidRDefault="005615B3" w:rsidP="005615B3">
      <w:pPr>
        <w:ind w:left="720" w:hanging="720"/>
        <w:rPr>
          <w:rFonts w:ascii="Arial" w:hAnsi="Arial" w:cs="Arial"/>
          <w:sz w:val="22"/>
          <w:szCs w:val="22"/>
          <w:lang w:val="en-US"/>
        </w:rPr>
      </w:pPr>
    </w:p>
    <w:p w14:paraId="0A366989"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To LIP Delegate/Chair: What efforts has HIPC made to increase the awareness of its member organizations in the Syrian refugee resettlement process?</w:t>
      </w:r>
    </w:p>
    <w:p w14:paraId="647B56A7" w14:textId="77777777" w:rsidR="005615B3" w:rsidRPr="000E50F1" w:rsidRDefault="005615B3" w:rsidP="005615B3">
      <w:pPr>
        <w:ind w:left="720" w:hanging="720"/>
        <w:rPr>
          <w:rFonts w:ascii="Arial" w:hAnsi="Arial" w:cs="Arial"/>
          <w:sz w:val="22"/>
          <w:szCs w:val="22"/>
          <w:lang w:val="en-US"/>
        </w:rPr>
      </w:pPr>
    </w:p>
    <w:p w14:paraId="6AB8331C"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B5.</w:t>
      </w:r>
      <w:r w:rsidRPr="000E50F1">
        <w:rPr>
          <w:rFonts w:ascii="Arial" w:hAnsi="Arial" w:cs="Arial"/>
          <w:sz w:val="22"/>
          <w:szCs w:val="22"/>
          <w:lang w:val="en-US"/>
        </w:rPr>
        <w:tab/>
        <w:t xml:space="preserve">Have you noticed an increase in demand for your services or increased awareness of your services since planning began for Syrian refugees? </w:t>
      </w:r>
    </w:p>
    <w:p w14:paraId="378DAF56" w14:textId="77777777" w:rsidR="005615B3" w:rsidRPr="000E50F1" w:rsidRDefault="005615B3" w:rsidP="005615B3">
      <w:pPr>
        <w:ind w:left="720" w:hanging="720"/>
        <w:rPr>
          <w:rFonts w:ascii="Arial" w:hAnsi="Arial" w:cs="Arial"/>
          <w:sz w:val="22"/>
          <w:szCs w:val="22"/>
          <w:lang w:val="en-US"/>
        </w:rPr>
      </w:pPr>
    </w:p>
    <w:p w14:paraId="518C3AE0"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To LIP Delegate/Chair: Have you noticed an increase in demand for information or coordination of services since planning began for Syrian refugees?</w:t>
      </w:r>
    </w:p>
    <w:p w14:paraId="0BBB8BE7" w14:textId="77777777" w:rsidR="005615B3" w:rsidRPr="000E50F1" w:rsidRDefault="005615B3" w:rsidP="005615B3">
      <w:pPr>
        <w:ind w:left="720" w:hanging="720"/>
        <w:rPr>
          <w:rFonts w:ascii="Arial" w:hAnsi="Arial" w:cs="Arial"/>
          <w:sz w:val="22"/>
          <w:szCs w:val="22"/>
          <w:lang w:val="en-US"/>
        </w:rPr>
      </w:pPr>
    </w:p>
    <w:p w14:paraId="34F2DF4E"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B6.</w:t>
      </w:r>
      <w:r w:rsidRPr="000E50F1">
        <w:rPr>
          <w:rFonts w:ascii="Arial" w:hAnsi="Arial" w:cs="Arial"/>
          <w:sz w:val="22"/>
          <w:szCs w:val="22"/>
          <w:lang w:val="en-US"/>
        </w:rPr>
        <w:tab/>
        <w:t xml:space="preserve">Has your organization adjusted its strategic plan, strategy, internal policy or programming to fit with the LIP’s Community Action Plan or* coordinated Syrian Refugee Response Plan? </w:t>
      </w:r>
    </w:p>
    <w:p w14:paraId="646D8AA0" w14:textId="77777777" w:rsidR="005615B3" w:rsidRPr="000E50F1" w:rsidRDefault="005615B3" w:rsidP="005615B3">
      <w:pPr>
        <w:ind w:left="720" w:hanging="720"/>
        <w:rPr>
          <w:rFonts w:ascii="Arial" w:hAnsi="Arial" w:cs="Arial"/>
          <w:sz w:val="22"/>
          <w:szCs w:val="22"/>
          <w:lang w:val="en-US"/>
        </w:rPr>
      </w:pPr>
    </w:p>
    <w:p w14:paraId="596C0D6A" w14:textId="77777777" w:rsidR="005615B3" w:rsidRPr="000E50F1" w:rsidRDefault="005615B3" w:rsidP="005615B3">
      <w:pPr>
        <w:pStyle w:val="ListParagraph"/>
        <w:spacing w:after="0"/>
        <w:ind w:left="709"/>
        <w:rPr>
          <w:rFonts w:ascii="Arial" w:eastAsia="Times New Roman" w:hAnsi="Arial" w:cs="Arial"/>
          <w:sz w:val="22"/>
          <w:lang w:val="en-US"/>
        </w:rPr>
      </w:pPr>
      <w:r w:rsidRPr="000E50F1">
        <w:rPr>
          <w:rFonts w:ascii="Arial" w:eastAsia="Times New Roman" w:hAnsi="Arial" w:cs="Arial"/>
          <w:sz w:val="22"/>
          <w:lang w:val="en-US"/>
        </w:rPr>
        <w:t>*assuming that HIPC has internal strategies for Syrian Refugee Response</w:t>
      </w:r>
    </w:p>
    <w:p w14:paraId="214B8DED" w14:textId="77777777" w:rsidR="005615B3" w:rsidRPr="000E50F1" w:rsidRDefault="005615B3" w:rsidP="005615B3">
      <w:pPr>
        <w:ind w:left="720" w:hanging="720"/>
        <w:rPr>
          <w:rFonts w:ascii="Arial" w:hAnsi="Arial" w:cs="Arial"/>
          <w:sz w:val="22"/>
          <w:szCs w:val="22"/>
          <w:lang w:val="en-US"/>
        </w:rPr>
      </w:pPr>
    </w:p>
    <w:p w14:paraId="6A907E95"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To LIP Delegate/Chair: Has HIPC adjusted its strategic plan, strategy, internal policy or programming since the Syrian Refugee Response? If so, how? If not, why?</w:t>
      </w:r>
    </w:p>
    <w:p w14:paraId="445510E4" w14:textId="77777777" w:rsidR="005615B3" w:rsidRPr="000E50F1" w:rsidRDefault="005615B3" w:rsidP="005615B3">
      <w:pPr>
        <w:ind w:left="720"/>
        <w:rPr>
          <w:rFonts w:ascii="Arial" w:hAnsi="Arial" w:cs="Arial"/>
          <w:sz w:val="22"/>
          <w:szCs w:val="22"/>
          <w:lang w:val="en-US"/>
        </w:rPr>
      </w:pPr>
    </w:p>
    <w:p w14:paraId="0E75D0D9"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 xml:space="preserve">B6a. If YES, is an attempt made to align your organizational priorities with LIP (replace with: IRCC?**) identified needs or priorities? </w:t>
      </w:r>
    </w:p>
    <w:p w14:paraId="58D9DC63" w14:textId="77777777" w:rsidR="005615B3" w:rsidRPr="000E50F1" w:rsidRDefault="005615B3" w:rsidP="005615B3">
      <w:pPr>
        <w:rPr>
          <w:rFonts w:ascii="Arial" w:hAnsi="Arial" w:cs="Arial"/>
          <w:sz w:val="22"/>
          <w:szCs w:val="22"/>
          <w:lang w:val="en-US"/>
        </w:rPr>
      </w:pPr>
    </w:p>
    <w:p w14:paraId="38E8ADB6" w14:textId="77777777" w:rsidR="005615B3" w:rsidRPr="000E50F1" w:rsidRDefault="005615B3" w:rsidP="005615B3">
      <w:pPr>
        <w:ind w:left="709"/>
        <w:rPr>
          <w:rFonts w:ascii="Arial" w:hAnsi="Arial" w:cs="Arial"/>
          <w:sz w:val="22"/>
          <w:szCs w:val="22"/>
          <w:lang w:val="en-US"/>
        </w:rPr>
      </w:pPr>
      <w:r w:rsidRPr="000E50F1">
        <w:rPr>
          <w:rFonts w:ascii="Arial" w:hAnsi="Arial" w:cs="Arial"/>
          <w:sz w:val="22"/>
          <w:szCs w:val="22"/>
          <w:lang w:val="en-US"/>
        </w:rPr>
        <w:t>**what policies direction would HIPC be following?</w:t>
      </w:r>
    </w:p>
    <w:p w14:paraId="515D0099" w14:textId="77777777" w:rsidR="005615B3" w:rsidRPr="000E50F1" w:rsidRDefault="005615B3" w:rsidP="005615B3">
      <w:pPr>
        <w:pStyle w:val="ListParagraph"/>
        <w:spacing w:after="0"/>
        <w:ind w:left="1080"/>
        <w:rPr>
          <w:rFonts w:ascii="Arial" w:eastAsia="Times New Roman" w:hAnsi="Arial" w:cs="Arial"/>
          <w:sz w:val="22"/>
          <w:lang w:val="en-US"/>
        </w:rPr>
      </w:pPr>
    </w:p>
    <w:p w14:paraId="77ECD37B"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B7.</w:t>
      </w:r>
      <w:r w:rsidRPr="000E50F1">
        <w:rPr>
          <w:rFonts w:ascii="Arial" w:hAnsi="Arial" w:cs="Arial"/>
          <w:sz w:val="22"/>
          <w:szCs w:val="22"/>
          <w:lang w:val="en-US"/>
        </w:rPr>
        <w:tab/>
        <w:t xml:space="preserve">Has HIPC provided you/your organization the opportunity in any form (committees, consultations, focus groups), to forge relationships with organizations outside your sector throughout the Syrian refugee resettlement process </w:t>
      </w:r>
      <w:r w:rsidRPr="000E50F1">
        <w:rPr>
          <w:rFonts w:ascii="Arial" w:hAnsi="Arial" w:cs="Arial"/>
          <w:i/>
          <w:sz w:val="22"/>
          <w:szCs w:val="22"/>
          <w:lang w:val="en-US"/>
        </w:rPr>
        <w:t>in a timely manner? How/why not?</w:t>
      </w:r>
    </w:p>
    <w:p w14:paraId="537A1715" w14:textId="77777777" w:rsidR="005615B3" w:rsidRPr="000E50F1" w:rsidRDefault="005615B3" w:rsidP="005615B3">
      <w:pPr>
        <w:ind w:left="720" w:hanging="720"/>
        <w:rPr>
          <w:rFonts w:ascii="Arial" w:hAnsi="Arial" w:cs="Arial"/>
          <w:sz w:val="22"/>
          <w:szCs w:val="22"/>
          <w:lang w:val="en-US"/>
        </w:rPr>
      </w:pPr>
    </w:p>
    <w:p w14:paraId="0DD47525"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 xml:space="preserve">To LIP Delegate/Chair: Has HIPC provided its members/organizations the opportunity in any form (committees, consultations, focus groups), to forge relationships with organizations outside your sector throughout the Syrian refugee resettlement process </w:t>
      </w:r>
      <w:r w:rsidRPr="000E50F1">
        <w:rPr>
          <w:rFonts w:ascii="Arial" w:hAnsi="Arial" w:cs="Arial"/>
          <w:i/>
          <w:sz w:val="22"/>
          <w:szCs w:val="22"/>
          <w:lang w:val="en-US"/>
        </w:rPr>
        <w:t>in a timely manner</w:t>
      </w:r>
      <w:r w:rsidRPr="000E50F1">
        <w:rPr>
          <w:rFonts w:ascii="Arial" w:hAnsi="Arial" w:cs="Arial"/>
          <w:sz w:val="22"/>
          <w:szCs w:val="22"/>
          <w:lang w:val="en-US"/>
        </w:rPr>
        <w:t xml:space="preserve">? </w:t>
      </w:r>
      <w:r w:rsidRPr="000E50F1">
        <w:rPr>
          <w:rFonts w:ascii="Arial" w:hAnsi="Arial" w:cs="Arial"/>
          <w:i/>
          <w:sz w:val="22"/>
          <w:szCs w:val="22"/>
          <w:lang w:val="en-US"/>
        </w:rPr>
        <w:t>How/why not?</w:t>
      </w:r>
    </w:p>
    <w:p w14:paraId="2A9ED13A" w14:textId="77777777" w:rsidR="005615B3" w:rsidRPr="000E50F1" w:rsidRDefault="005615B3" w:rsidP="005615B3">
      <w:pPr>
        <w:ind w:left="720" w:hanging="720"/>
        <w:rPr>
          <w:rFonts w:ascii="Arial" w:hAnsi="Arial" w:cs="Arial"/>
          <w:sz w:val="22"/>
          <w:szCs w:val="22"/>
          <w:lang w:val="en-US"/>
        </w:rPr>
      </w:pPr>
    </w:p>
    <w:p w14:paraId="29CD6E2C"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lastRenderedPageBreak/>
        <w:t>B8.</w:t>
      </w:r>
      <w:r w:rsidRPr="000E50F1">
        <w:rPr>
          <w:rFonts w:ascii="Arial" w:hAnsi="Arial" w:cs="Arial"/>
          <w:sz w:val="22"/>
          <w:szCs w:val="22"/>
          <w:lang w:val="en-US"/>
        </w:rPr>
        <w:tab/>
        <w:t>What benefits has your organization derived either from working with HIPC or participating in HIPC led* initiatives related to the Syrian refugee resettlement?</w:t>
      </w:r>
    </w:p>
    <w:p w14:paraId="49084821" w14:textId="77777777" w:rsidR="005615B3" w:rsidRPr="000E50F1" w:rsidRDefault="005615B3" w:rsidP="005615B3">
      <w:pPr>
        <w:ind w:left="720" w:hanging="720"/>
        <w:rPr>
          <w:rFonts w:ascii="Arial" w:hAnsi="Arial" w:cs="Arial"/>
          <w:sz w:val="22"/>
          <w:szCs w:val="22"/>
          <w:lang w:val="en-US"/>
        </w:rPr>
      </w:pPr>
    </w:p>
    <w:p w14:paraId="5DC3F207"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B9.</w:t>
      </w:r>
      <w:r w:rsidRPr="000E50F1">
        <w:rPr>
          <w:rFonts w:ascii="Arial" w:hAnsi="Arial" w:cs="Arial"/>
          <w:sz w:val="22"/>
          <w:szCs w:val="22"/>
          <w:lang w:val="en-US"/>
        </w:rPr>
        <w:tab/>
        <w:t xml:space="preserve">What drawbacks has your organization encountered working with the LIP or participating in LIP led initiatives* related to the Syrian refugee resettlement? </w:t>
      </w:r>
    </w:p>
    <w:p w14:paraId="584494F3" w14:textId="77777777" w:rsidR="005615B3" w:rsidRPr="000E50F1" w:rsidRDefault="005615B3" w:rsidP="005615B3">
      <w:pPr>
        <w:rPr>
          <w:rFonts w:ascii="Arial" w:hAnsi="Arial" w:cs="Arial"/>
          <w:sz w:val="22"/>
          <w:szCs w:val="22"/>
          <w:lang w:val="en-US"/>
        </w:rPr>
      </w:pPr>
    </w:p>
    <w:p w14:paraId="5A1319E0" w14:textId="312F3B74" w:rsidR="005615B3" w:rsidRPr="000E50F1" w:rsidRDefault="005615B3" w:rsidP="005615B3">
      <w:pPr>
        <w:pBdr>
          <w:top w:val="single" w:sz="4" w:space="1" w:color="auto"/>
          <w:bottom w:val="single" w:sz="4" w:space="1" w:color="auto"/>
        </w:pBdr>
        <w:ind w:left="1440" w:hanging="1440"/>
        <w:rPr>
          <w:rFonts w:ascii="Arial" w:hAnsi="Arial" w:cs="Arial"/>
          <w:b/>
          <w:sz w:val="22"/>
          <w:szCs w:val="22"/>
          <w:lang w:val="en-US"/>
        </w:rPr>
      </w:pPr>
      <w:r w:rsidRPr="000E50F1">
        <w:rPr>
          <w:rFonts w:ascii="Arial" w:hAnsi="Arial" w:cs="Arial"/>
          <w:b/>
          <w:sz w:val="22"/>
          <w:szCs w:val="22"/>
          <w:lang w:val="en-US"/>
        </w:rPr>
        <w:t>Section C</w:t>
      </w:r>
      <w:r w:rsidR="001A652D" w:rsidRPr="000E50F1">
        <w:rPr>
          <w:rFonts w:ascii="Arial" w:hAnsi="Arial" w:cs="Arial"/>
          <w:b/>
          <w:sz w:val="22"/>
          <w:szCs w:val="22"/>
          <w:lang w:val="en-US"/>
        </w:rPr>
        <w:t xml:space="preserve">: </w:t>
      </w:r>
      <w:r w:rsidRPr="000E50F1">
        <w:rPr>
          <w:rFonts w:ascii="Arial" w:hAnsi="Arial" w:cs="Arial"/>
          <w:b/>
          <w:sz w:val="22"/>
          <w:szCs w:val="22"/>
          <w:lang w:val="en-US"/>
        </w:rPr>
        <w:t xml:space="preserve">Perceptions of the LIP’s Role in the Syrian Refugee Resettlement Process </w:t>
      </w:r>
    </w:p>
    <w:p w14:paraId="29D479EC" w14:textId="77777777" w:rsidR="005615B3" w:rsidRPr="000E50F1" w:rsidRDefault="005615B3" w:rsidP="005615B3">
      <w:pPr>
        <w:pBdr>
          <w:top w:val="single" w:sz="4" w:space="1" w:color="auto"/>
          <w:bottom w:val="single" w:sz="4" w:space="1" w:color="auto"/>
        </w:pBdr>
        <w:rPr>
          <w:rFonts w:ascii="Arial" w:hAnsi="Arial" w:cs="Arial"/>
          <w:sz w:val="22"/>
          <w:szCs w:val="22"/>
          <w:lang w:val="en-US"/>
        </w:rPr>
      </w:pPr>
      <w:r w:rsidRPr="000E50F1">
        <w:rPr>
          <w:rFonts w:ascii="Arial" w:hAnsi="Arial" w:cs="Arial"/>
          <w:sz w:val="22"/>
          <w:szCs w:val="22"/>
          <w:lang w:val="en-US"/>
        </w:rPr>
        <w:t xml:space="preserve">In this section, I would like to ask about your general perceptions of the LIP based on your observations and experience as a member of an organization involved in the Syrian refugee resettlement. </w:t>
      </w:r>
      <w:r w:rsidRPr="000E50F1">
        <w:rPr>
          <w:rFonts w:ascii="Arial" w:hAnsi="Arial" w:cs="Arial"/>
          <w:sz w:val="22"/>
          <w:szCs w:val="22"/>
          <w:lang w:val="en-US"/>
        </w:rPr>
        <w:tab/>
      </w:r>
      <w:r w:rsidRPr="000E50F1">
        <w:rPr>
          <w:rFonts w:ascii="Arial" w:hAnsi="Arial" w:cs="Arial"/>
          <w:sz w:val="22"/>
          <w:szCs w:val="22"/>
          <w:lang w:val="en-US"/>
        </w:rPr>
        <w:tab/>
      </w:r>
      <w:r w:rsidRPr="000E50F1">
        <w:rPr>
          <w:rFonts w:ascii="Arial" w:hAnsi="Arial" w:cs="Arial"/>
          <w:sz w:val="22"/>
          <w:szCs w:val="22"/>
          <w:lang w:val="en-US"/>
        </w:rPr>
        <w:tab/>
      </w:r>
      <w:r w:rsidRPr="000E50F1">
        <w:rPr>
          <w:rFonts w:ascii="Arial" w:hAnsi="Arial" w:cs="Arial"/>
          <w:sz w:val="22"/>
          <w:szCs w:val="22"/>
          <w:lang w:val="en-US"/>
        </w:rPr>
        <w:tab/>
      </w:r>
      <w:r w:rsidRPr="000E50F1">
        <w:rPr>
          <w:rFonts w:ascii="Arial" w:hAnsi="Arial" w:cs="Arial"/>
          <w:sz w:val="22"/>
          <w:szCs w:val="22"/>
          <w:lang w:val="en-US"/>
        </w:rPr>
        <w:tab/>
      </w:r>
    </w:p>
    <w:p w14:paraId="57561A84" w14:textId="77777777" w:rsidR="005615B3" w:rsidRPr="000E50F1" w:rsidRDefault="005615B3" w:rsidP="005615B3">
      <w:pPr>
        <w:rPr>
          <w:rFonts w:ascii="Arial" w:hAnsi="Arial" w:cs="Arial"/>
          <w:sz w:val="22"/>
          <w:szCs w:val="22"/>
          <w:lang w:val="en-US"/>
        </w:rPr>
      </w:pPr>
    </w:p>
    <w:p w14:paraId="1D44143F" w14:textId="311AAF06"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 xml:space="preserve">C1. </w:t>
      </w:r>
      <w:r w:rsidRPr="000E50F1">
        <w:rPr>
          <w:rFonts w:ascii="Arial" w:hAnsi="Arial" w:cs="Arial"/>
          <w:sz w:val="22"/>
          <w:szCs w:val="22"/>
          <w:lang w:val="en-US"/>
        </w:rPr>
        <w:tab/>
        <w:t xml:space="preserve">How does the LIP model operate </w:t>
      </w:r>
      <w:r w:rsidR="00045E98" w:rsidRPr="000E50F1">
        <w:rPr>
          <w:rFonts w:ascii="Arial" w:hAnsi="Arial" w:cs="Arial"/>
          <w:sz w:val="22"/>
          <w:szCs w:val="22"/>
          <w:lang w:val="en-US"/>
        </w:rPr>
        <w:t>in regard to</w:t>
      </w:r>
      <w:r w:rsidRPr="000E50F1">
        <w:rPr>
          <w:rFonts w:ascii="Arial" w:hAnsi="Arial" w:cs="Arial"/>
          <w:sz w:val="22"/>
          <w:szCs w:val="22"/>
          <w:lang w:val="en-US"/>
        </w:rPr>
        <w:t xml:space="preserve"> Syrian refugee resettlement? </w:t>
      </w:r>
    </w:p>
    <w:p w14:paraId="57C963A4"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ab/>
      </w:r>
    </w:p>
    <w:p w14:paraId="6400719A"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 xml:space="preserve">C1a. What are the LIP’s model’s strengths as it relates to addressing Syrian refugee resettlement? </w:t>
      </w:r>
    </w:p>
    <w:p w14:paraId="001317C9"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 xml:space="preserve">C1b. What are the LIP’s model’s weaknesses as it relates to addressing Syrian refugee resettlement? </w:t>
      </w:r>
    </w:p>
    <w:p w14:paraId="778430A4" w14:textId="77777777" w:rsidR="005615B3" w:rsidRPr="000E50F1" w:rsidRDefault="005615B3" w:rsidP="005615B3">
      <w:pPr>
        <w:rPr>
          <w:rFonts w:ascii="Arial" w:hAnsi="Arial" w:cs="Arial"/>
          <w:sz w:val="22"/>
          <w:szCs w:val="22"/>
          <w:lang w:val="en-US"/>
        </w:rPr>
      </w:pPr>
    </w:p>
    <w:p w14:paraId="468175C9" w14:textId="27AA0DDC" w:rsidR="005615B3" w:rsidRPr="000E50F1" w:rsidRDefault="005615B3" w:rsidP="001A652D">
      <w:pPr>
        <w:ind w:left="709" w:hanging="709"/>
        <w:rPr>
          <w:rFonts w:ascii="Arial" w:hAnsi="Arial" w:cs="Arial"/>
          <w:sz w:val="22"/>
          <w:szCs w:val="22"/>
          <w:lang w:val="en-US"/>
        </w:rPr>
      </w:pPr>
      <w:r w:rsidRPr="000E50F1">
        <w:rPr>
          <w:rFonts w:ascii="Arial" w:hAnsi="Arial" w:cs="Arial"/>
          <w:sz w:val="22"/>
          <w:szCs w:val="22"/>
          <w:lang w:val="en-US"/>
        </w:rPr>
        <w:t>C2.</w:t>
      </w:r>
      <w:r w:rsidRPr="000E50F1">
        <w:rPr>
          <w:rFonts w:ascii="Arial" w:hAnsi="Arial" w:cs="Arial"/>
          <w:sz w:val="22"/>
          <w:szCs w:val="22"/>
          <w:lang w:val="en-US"/>
        </w:rPr>
        <w:tab/>
        <w:t>What difference, if any, did having a pre-existing framework (the LIP)</w:t>
      </w:r>
      <w:r w:rsidR="001A652D" w:rsidRPr="000E50F1">
        <w:rPr>
          <w:rFonts w:ascii="Arial" w:hAnsi="Arial" w:cs="Arial"/>
          <w:sz w:val="22"/>
          <w:szCs w:val="22"/>
          <w:lang w:val="en-US"/>
        </w:rPr>
        <w:t xml:space="preserve"> </w:t>
      </w:r>
      <w:r w:rsidRPr="000E50F1">
        <w:rPr>
          <w:rFonts w:ascii="Arial" w:hAnsi="Arial" w:cs="Arial"/>
          <w:sz w:val="22"/>
          <w:szCs w:val="22"/>
          <w:lang w:val="en-US"/>
        </w:rPr>
        <w:t xml:space="preserve">make in your Region’s ability to resettle the number of Syrian refugees it has? </w:t>
      </w:r>
    </w:p>
    <w:p w14:paraId="6F9067CC" w14:textId="77777777" w:rsidR="005615B3" w:rsidRPr="000E50F1" w:rsidRDefault="005615B3" w:rsidP="005615B3">
      <w:pPr>
        <w:rPr>
          <w:rFonts w:ascii="Arial" w:hAnsi="Arial" w:cs="Arial"/>
          <w:sz w:val="22"/>
          <w:szCs w:val="22"/>
          <w:lang w:val="en-US"/>
        </w:rPr>
      </w:pPr>
      <w:r w:rsidRPr="000E50F1">
        <w:rPr>
          <w:rFonts w:ascii="Arial" w:hAnsi="Arial" w:cs="Arial"/>
          <w:sz w:val="22"/>
          <w:szCs w:val="22"/>
          <w:lang w:val="en-US"/>
        </w:rPr>
        <w:t xml:space="preserve">     </w:t>
      </w:r>
    </w:p>
    <w:p w14:paraId="11EAFDC4" w14:textId="77777777" w:rsidR="005615B3" w:rsidRPr="000E50F1" w:rsidRDefault="005615B3" w:rsidP="001A652D">
      <w:pPr>
        <w:ind w:left="709" w:hanging="709"/>
        <w:rPr>
          <w:rFonts w:ascii="Arial" w:hAnsi="Arial" w:cs="Arial"/>
          <w:sz w:val="22"/>
          <w:szCs w:val="22"/>
          <w:lang w:val="en-US"/>
        </w:rPr>
      </w:pPr>
      <w:r w:rsidRPr="000E50F1">
        <w:rPr>
          <w:rFonts w:ascii="Arial" w:hAnsi="Arial" w:cs="Arial"/>
          <w:sz w:val="22"/>
          <w:szCs w:val="22"/>
          <w:lang w:val="en-US"/>
        </w:rPr>
        <w:t>C3.</w:t>
      </w:r>
      <w:r w:rsidRPr="000E50F1">
        <w:rPr>
          <w:rFonts w:ascii="Arial" w:hAnsi="Arial" w:cs="Arial"/>
          <w:sz w:val="22"/>
          <w:szCs w:val="22"/>
          <w:lang w:val="en-US"/>
        </w:rPr>
        <w:tab/>
        <w:t xml:space="preserve">What challenges has the Syrian refugee resettlement process posed for the LIP? </w:t>
      </w:r>
    </w:p>
    <w:p w14:paraId="7F15F708" w14:textId="77777777" w:rsidR="005615B3" w:rsidRPr="000E50F1" w:rsidRDefault="005615B3" w:rsidP="005615B3">
      <w:pPr>
        <w:rPr>
          <w:rFonts w:ascii="Arial" w:hAnsi="Arial" w:cs="Arial"/>
          <w:sz w:val="22"/>
          <w:szCs w:val="22"/>
          <w:lang w:val="en-US"/>
        </w:rPr>
      </w:pPr>
    </w:p>
    <w:p w14:paraId="08B2DBE8"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C4.</w:t>
      </w:r>
      <w:r w:rsidRPr="000E50F1">
        <w:rPr>
          <w:rFonts w:ascii="Arial" w:hAnsi="Arial" w:cs="Arial"/>
          <w:sz w:val="22"/>
          <w:szCs w:val="22"/>
          <w:lang w:val="en-US"/>
        </w:rPr>
        <w:tab/>
        <w:t>What limitations has the Syrian refugee resettlement process revealed about the LIP?</w:t>
      </w:r>
    </w:p>
    <w:p w14:paraId="50AAF945" w14:textId="77777777" w:rsidR="005615B3" w:rsidRPr="000E50F1" w:rsidRDefault="005615B3" w:rsidP="005615B3">
      <w:pPr>
        <w:ind w:left="720" w:hanging="720"/>
        <w:rPr>
          <w:rFonts w:ascii="Arial" w:hAnsi="Arial" w:cs="Arial"/>
          <w:sz w:val="22"/>
          <w:szCs w:val="22"/>
          <w:lang w:val="en-US"/>
        </w:rPr>
      </w:pPr>
    </w:p>
    <w:p w14:paraId="4A29A96D"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C5.</w:t>
      </w:r>
      <w:r w:rsidRPr="000E50F1">
        <w:rPr>
          <w:rFonts w:ascii="Arial" w:hAnsi="Arial" w:cs="Arial"/>
          <w:sz w:val="22"/>
          <w:szCs w:val="22"/>
          <w:lang w:val="en-US"/>
        </w:rPr>
        <w:tab/>
        <w:t xml:space="preserve">What innovative solutions has the LIP developed, that may not have been otherwise possible in your Region’s handling of the Syrian refugee resettlement? </w:t>
      </w:r>
    </w:p>
    <w:p w14:paraId="3B55A0E0" w14:textId="77777777" w:rsidR="005615B3" w:rsidRPr="000E50F1" w:rsidRDefault="005615B3" w:rsidP="005615B3">
      <w:pPr>
        <w:ind w:left="720" w:hanging="720"/>
        <w:rPr>
          <w:rFonts w:ascii="Arial" w:hAnsi="Arial" w:cs="Arial"/>
          <w:sz w:val="22"/>
          <w:szCs w:val="22"/>
          <w:lang w:val="en-US"/>
        </w:rPr>
      </w:pPr>
    </w:p>
    <w:p w14:paraId="5F0988E4" w14:textId="609138AD"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C6.</w:t>
      </w:r>
      <w:r w:rsidRPr="000E50F1">
        <w:rPr>
          <w:rFonts w:ascii="Arial" w:hAnsi="Arial" w:cs="Arial"/>
          <w:sz w:val="22"/>
          <w:szCs w:val="22"/>
          <w:lang w:val="en-US"/>
        </w:rPr>
        <w:tab/>
      </w:r>
      <w:r w:rsidR="00045E98" w:rsidRPr="000E50F1">
        <w:rPr>
          <w:rFonts w:ascii="Arial" w:hAnsi="Arial" w:cs="Arial"/>
          <w:sz w:val="22"/>
          <w:szCs w:val="22"/>
          <w:lang w:val="en-US"/>
        </w:rPr>
        <w:t>In regard to</w:t>
      </w:r>
      <w:r w:rsidRPr="000E50F1">
        <w:rPr>
          <w:rFonts w:ascii="Arial" w:hAnsi="Arial" w:cs="Arial"/>
          <w:sz w:val="22"/>
          <w:szCs w:val="22"/>
          <w:lang w:val="en-US"/>
        </w:rPr>
        <w:t xml:space="preserve"> the LIP’s activity in the Syrian refugee resettlement, what role has the municipal government played? </w:t>
      </w:r>
    </w:p>
    <w:p w14:paraId="0BD572AA" w14:textId="77777777" w:rsidR="005615B3" w:rsidRPr="000E50F1" w:rsidRDefault="005615B3" w:rsidP="005615B3">
      <w:pPr>
        <w:ind w:left="720" w:hanging="720"/>
        <w:rPr>
          <w:rFonts w:ascii="Arial" w:hAnsi="Arial" w:cs="Arial"/>
          <w:sz w:val="22"/>
          <w:szCs w:val="22"/>
          <w:lang w:val="en-US"/>
        </w:rPr>
      </w:pPr>
    </w:p>
    <w:p w14:paraId="169CA373" w14:textId="2DC11AEF"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C7.</w:t>
      </w:r>
      <w:r w:rsidRPr="000E50F1">
        <w:rPr>
          <w:rFonts w:ascii="Arial" w:hAnsi="Arial" w:cs="Arial"/>
          <w:sz w:val="22"/>
          <w:szCs w:val="22"/>
          <w:lang w:val="en-US"/>
        </w:rPr>
        <w:tab/>
        <w:t xml:space="preserve">What impact has having the LIP (at a regional level*) had in its efforts to resettle Syrian refugees?  For </w:t>
      </w:r>
      <w:r w:rsidR="00045E98" w:rsidRPr="000E50F1">
        <w:rPr>
          <w:rFonts w:ascii="Arial" w:hAnsi="Arial" w:cs="Arial"/>
          <w:sz w:val="22"/>
          <w:szCs w:val="22"/>
          <w:lang w:val="en-US"/>
        </w:rPr>
        <w:t>example,</w:t>
      </w:r>
      <w:r w:rsidRPr="000E50F1">
        <w:rPr>
          <w:rFonts w:ascii="Arial" w:hAnsi="Arial" w:cs="Arial"/>
          <w:sz w:val="22"/>
          <w:szCs w:val="22"/>
          <w:lang w:val="en-US"/>
        </w:rPr>
        <w:t xml:space="preserve"> has the LIPs been used as a platform to address cultural or interpersonal conflicts or concerns linked to Syrian refugee resettlement processes.</w:t>
      </w:r>
    </w:p>
    <w:p w14:paraId="12373564" w14:textId="77777777" w:rsidR="005615B3" w:rsidRPr="000E50F1" w:rsidRDefault="005615B3" w:rsidP="005615B3">
      <w:pPr>
        <w:ind w:left="720" w:hanging="720"/>
        <w:rPr>
          <w:rFonts w:ascii="Arial" w:hAnsi="Arial" w:cs="Arial"/>
          <w:sz w:val="22"/>
          <w:szCs w:val="22"/>
          <w:lang w:val="en-US"/>
        </w:rPr>
      </w:pPr>
    </w:p>
    <w:p w14:paraId="6B080329"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*HIPC not a regional level</w:t>
      </w:r>
    </w:p>
    <w:p w14:paraId="2D6E20D3" w14:textId="77777777" w:rsidR="005615B3" w:rsidRPr="000E50F1" w:rsidRDefault="005615B3" w:rsidP="005615B3">
      <w:pPr>
        <w:ind w:left="720" w:hanging="720"/>
        <w:rPr>
          <w:rFonts w:ascii="Arial" w:hAnsi="Arial" w:cs="Arial"/>
          <w:sz w:val="22"/>
          <w:szCs w:val="22"/>
          <w:lang w:val="en-US"/>
        </w:rPr>
      </w:pPr>
    </w:p>
    <w:p w14:paraId="74EE0BE7"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lastRenderedPageBreak/>
        <w:t>C8.</w:t>
      </w:r>
      <w:r w:rsidRPr="000E50F1">
        <w:rPr>
          <w:rFonts w:ascii="Arial" w:hAnsi="Arial" w:cs="Arial"/>
          <w:sz w:val="22"/>
          <w:szCs w:val="22"/>
          <w:lang w:val="en-US"/>
        </w:rPr>
        <w:tab/>
        <w:t xml:space="preserve">Have you noticed any change in communication, collaboration, coordination, or cooperation during the Syrian refugee resettlement process in your sector and/or in your city* at large? </w:t>
      </w:r>
    </w:p>
    <w:p w14:paraId="6B4B812B" w14:textId="77777777" w:rsidR="005615B3" w:rsidRPr="000E50F1" w:rsidRDefault="005615B3" w:rsidP="005615B3">
      <w:pPr>
        <w:ind w:left="720" w:hanging="720"/>
        <w:rPr>
          <w:rFonts w:ascii="Arial" w:hAnsi="Arial" w:cs="Arial"/>
          <w:sz w:val="22"/>
          <w:szCs w:val="22"/>
          <w:lang w:val="en-US"/>
        </w:rPr>
      </w:pPr>
    </w:p>
    <w:p w14:paraId="4AA75052"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C9.</w:t>
      </w:r>
      <w:r w:rsidRPr="000E50F1">
        <w:rPr>
          <w:rFonts w:ascii="Arial" w:hAnsi="Arial" w:cs="Arial"/>
          <w:sz w:val="22"/>
          <w:szCs w:val="22"/>
          <w:lang w:val="en-US"/>
        </w:rPr>
        <w:tab/>
        <w:t xml:space="preserve">Is the LIP collecting data on local Syrian refugees?  </w:t>
      </w:r>
    </w:p>
    <w:p w14:paraId="0FC143D1" w14:textId="77777777" w:rsidR="005615B3" w:rsidRPr="000E50F1" w:rsidRDefault="005615B3" w:rsidP="005615B3">
      <w:pPr>
        <w:ind w:left="720" w:hanging="720"/>
        <w:rPr>
          <w:rFonts w:ascii="Arial" w:hAnsi="Arial" w:cs="Arial"/>
          <w:sz w:val="22"/>
          <w:szCs w:val="22"/>
          <w:lang w:val="en-US"/>
        </w:rPr>
      </w:pPr>
    </w:p>
    <w:p w14:paraId="04535D3B" w14:textId="0F3D77B2"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C10.</w:t>
      </w:r>
      <w:r w:rsidRPr="000E50F1">
        <w:rPr>
          <w:rFonts w:ascii="Arial" w:hAnsi="Arial" w:cs="Arial"/>
          <w:sz w:val="22"/>
          <w:szCs w:val="22"/>
          <w:lang w:val="en-US"/>
        </w:rPr>
        <w:tab/>
        <w:t>Will the LIP’s Syrian refugee resettlement activities have an uneven impact on different classes of refugees (</w:t>
      </w:r>
      <w:r w:rsidR="00045E98" w:rsidRPr="000E50F1">
        <w:rPr>
          <w:rFonts w:ascii="Arial" w:hAnsi="Arial" w:cs="Arial"/>
          <w:sz w:val="22"/>
          <w:szCs w:val="22"/>
          <w:lang w:val="en-US"/>
        </w:rPr>
        <w:t>i.e.,</w:t>
      </w:r>
      <w:r w:rsidRPr="000E50F1">
        <w:rPr>
          <w:rFonts w:ascii="Arial" w:hAnsi="Arial" w:cs="Arial"/>
          <w:sz w:val="22"/>
          <w:szCs w:val="22"/>
          <w:lang w:val="en-US"/>
        </w:rPr>
        <w:t xml:space="preserve"> government versus privately sponsored)?  </w:t>
      </w:r>
    </w:p>
    <w:p w14:paraId="2D2AF3D8" w14:textId="77777777" w:rsidR="005615B3" w:rsidRPr="000E50F1" w:rsidRDefault="005615B3" w:rsidP="005615B3">
      <w:pPr>
        <w:rPr>
          <w:rFonts w:ascii="Arial" w:hAnsi="Arial" w:cs="Arial"/>
          <w:sz w:val="22"/>
          <w:szCs w:val="22"/>
          <w:lang w:val="en-US"/>
        </w:rPr>
      </w:pPr>
    </w:p>
    <w:p w14:paraId="63D970EB" w14:textId="0C8EA155" w:rsidR="005615B3" w:rsidRPr="000E50F1" w:rsidRDefault="005615B3" w:rsidP="005615B3">
      <w:pPr>
        <w:pBdr>
          <w:top w:val="single" w:sz="4" w:space="1" w:color="auto"/>
          <w:bottom w:val="single" w:sz="4" w:space="1" w:color="auto"/>
        </w:pBdr>
        <w:rPr>
          <w:rFonts w:ascii="Arial" w:hAnsi="Arial" w:cs="Arial"/>
          <w:b/>
          <w:sz w:val="22"/>
          <w:szCs w:val="22"/>
          <w:lang w:val="en-US"/>
        </w:rPr>
      </w:pPr>
      <w:r w:rsidRPr="000E50F1">
        <w:rPr>
          <w:rFonts w:ascii="Arial" w:hAnsi="Arial" w:cs="Arial"/>
          <w:b/>
          <w:sz w:val="22"/>
          <w:szCs w:val="22"/>
          <w:lang w:val="en-US"/>
        </w:rPr>
        <w:t>Section D</w:t>
      </w:r>
      <w:r w:rsidR="001A652D" w:rsidRPr="000E50F1">
        <w:rPr>
          <w:rFonts w:ascii="Arial" w:hAnsi="Arial" w:cs="Arial"/>
          <w:b/>
          <w:sz w:val="22"/>
          <w:szCs w:val="22"/>
          <w:lang w:val="en-US"/>
        </w:rPr>
        <w:t xml:space="preserve">: </w:t>
      </w:r>
      <w:r w:rsidRPr="000E50F1">
        <w:rPr>
          <w:rFonts w:ascii="Arial" w:hAnsi="Arial" w:cs="Arial"/>
          <w:b/>
          <w:sz w:val="22"/>
          <w:szCs w:val="22"/>
          <w:lang w:val="en-US"/>
        </w:rPr>
        <w:t>Intergovernmental Relations</w:t>
      </w:r>
    </w:p>
    <w:p w14:paraId="27CDE434" w14:textId="5377CDBA" w:rsidR="005615B3" w:rsidRPr="000E50F1" w:rsidRDefault="005615B3" w:rsidP="005615B3">
      <w:pPr>
        <w:pBdr>
          <w:top w:val="single" w:sz="4" w:space="1" w:color="auto"/>
          <w:bottom w:val="single" w:sz="4" w:space="1" w:color="auto"/>
        </w:pBdr>
        <w:rPr>
          <w:rFonts w:ascii="Arial" w:hAnsi="Arial" w:cs="Arial"/>
          <w:sz w:val="22"/>
          <w:szCs w:val="22"/>
          <w:lang w:val="en-US"/>
        </w:rPr>
      </w:pPr>
      <w:r w:rsidRPr="000E50F1">
        <w:rPr>
          <w:rFonts w:ascii="Arial" w:hAnsi="Arial" w:cs="Arial"/>
          <w:sz w:val="22"/>
          <w:szCs w:val="22"/>
          <w:lang w:val="en-US"/>
        </w:rPr>
        <w:t>For this section, I would like to understand the nature of the LIP’s relationships with upper-level governments, in particular, Immigration Refugees and</w:t>
      </w:r>
      <w:r w:rsidR="001A652D" w:rsidRPr="000E50F1">
        <w:rPr>
          <w:rFonts w:ascii="Arial" w:hAnsi="Arial" w:cs="Arial"/>
          <w:sz w:val="22"/>
          <w:szCs w:val="22"/>
          <w:lang w:val="en-US"/>
        </w:rPr>
        <w:t xml:space="preserve"> </w:t>
      </w:r>
      <w:r w:rsidRPr="000E50F1">
        <w:rPr>
          <w:rFonts w:ascii="Arial" w:hAnsi="Arial" w:cs="Arial"/>
          <w:sz w:val="22"/>
          <w:szCs w:val="22"/>
          <w:lang w:val="en-US"/>
        </w:rPr>
        <w:t>Citizenship Canada (IRCC) and the Ministry of Citizenship and Immigration</w:t>
      </w:r>
      <w:r w:rsidR="001A652D" w:rsidRPr="000E50F1">
        <w:rPr>
          <w:rFonts w:ascii="Arial" w:hAnsi="Arial" w:cs="Arial"/>
          <w:sz w:val="22"/>
          <w:szCs w:val="22"/>
          <w:lang w:val="en-US"/>
        </w:rPr>
        <w:t>.</w:t>
      </w:r>
    </w:p>
    <w:p w14:paraId="20B869E5" w14:textId="77777777" w:rsidR="005615B3" w:rsidRPr="000E50F1" w:rsidRDefault="005615B3" w:rsidP="005615B3">
      <w:pPr>
        <w:rPr>
          <w:rFonts w:ascii="Arial" w:hAnsi="Arial" w:cs="Arial"/>
          <w:sz w:val="22"/>
          <w:szCs w:val="22"/>
          <w:lang w:val="en-US"/>
        </w:rPr>
      </w:pPr>
    </w:p>
    <w:p w14:paraId="5DC34936"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 xml:space="preserve">D1. </w:t>
      </w:r>
      <w:r w:rsidRPr="000E50F1">
        <w:rPr>
          <w:rFonts w:ascii="Arial" w:hAnsi="Arial" w:cs="Arial"/>
          <w:sz w:val="22"/>
          <w:szCs w:val="22"/>
          <w:lang w:val="en-US"/>
        </w:rPr>
        <w:tab/>
        <w:t xml:space="preserve">Please describe the LIP’s relationship with IRCC throughout the Syrian refugee resettlement process.  </w:t>
      </w:r>
    </w:p>
    <w:p w14:paraId="27DC8059" w14:textId="77777777" w:rsidR="005615B3" w:rsidRPr="000E50F1" w:rsidRDefault="005615B3" w:rsidP="005615B3">
      <w:pPr>
        <w:ind w:left="720" w:hanging="720"/>
        <w:rPr>
          <w:rFonts w:ascii="Arial" w:hAnsi="Arial" w:cs="Arial"/>
          <w:sz w:val="22"/>
          <w:szCs w:val="22"/>
          <w:lang w:val="en-US"/>
        </w:rPr>
      </w:pPr>
    </w:p>
    <w:p w14:paraId="5134A71B"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ab/>
        <w:t>D1a. What role did the IRCC play in the Syrian refugee resettlement process in your organizations activities?</w:t>
      </w:r>
    </w:p>
    <w:p w14:paraId="6BFB894D" w14:textId="77777777" w:rsidR="005615B3" w:rsidRPr="000E50F1" w:rsidRDefault="005615B3" w:rsidP="005615B3">
      <w:pPr>
        <w:ind w:left="720" w:hanging="720"/>
        <w:rPr>
          <w:rFonts w:ascii="Arial" w:hAnsi="Arial" w:cs="Arial"/>
          <w:sz w:val="22"/>
          <w:szCs w:val="22"/>
          <w:lang w:val="en-US"/>
        </w:rPr>
      </w:pPr>
    </w:p>
    <w:p w14:paraId="2BCF4EA7" w14:textId="6F61C6D5"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D2.</w:t>
      </w:r>
      <w:r w:rsidRPr="000E50F1">
        <w:rPr>
          <w:rFonts w:ascii="Arial" w:hAnsi="Arial" w:cs="Arial"/>
          <w:sz w:val="22"/>
          <w:szCs w:val="22"/>
          <w:lang w:val="en-US"/>
        </w:rPr>
        <w:tab/>
        <w:t xml:space="preserve">Were you aware of any coordination between the LIP and MCI throughout the Syrian refugee resettlement </w:t>
      </w:r>
      <w:r w:rsidR="00045E98" w:rsidRPr="000E50F1">
        <w:rPr>
          <w:rFonts w:ascii="Arial" w:hAnsi="Arial" w:cs="Arial"/>
          <w:sz w:val="22"/>
          <w:szCs w:val="22"/>
          <w:lang w:val="en-US"/>
        </w:rPr>
        <w:t>process?</w:t>
      </w:r>
      <w:r w:rsidRPr="000E50F1">
        <w:rPr>
          <w:rFonts w:ascii="Arial" w:hAnsi="Arial" w:cs="Arial"/>
          <w:sz w:val="22"/>
          <w:szCs w:val="22"/>
          <w:lang w:val="en-US"/>
        </w:rPr>
        <w:t xml:space="preserve"> </w:t>
      </w:r>
    </w:p>
    <w:p w14:paraId="4B0923ED" w14:textId="77777777" w:rsidR="005615B3" w:rsidRPr="000E50F1" w:rsidRDefault="005615B3" w:rsidP="005615B3">
      <w:pPr>
        <w:ind w:left="720" w:hanging="720"/>
        <w:rPr>
          <w:rFonts w:ascii="Arial" w:hAnsi="Arial" w:cs="Arial"/>
          <w:sz w:val="22"/>
          <w:szCs w:val="22"/>
          <w:lang w:val="en-US"/>
        </w:rPr>
      </w:pPr>
    </w:p>
    <w:p w14:paraId="38B40AF9"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D2a. What role did the MCI play in the Syrian refugee resettlement process in your region?</w:t>
      </w:r>
    </w:p>
    <w:p w14:paraId="6E15BE0F" w14:textId="77777777" w:rsidR="005615B3" w:rsidRPr="000E50F1" w:rsidRDefault="005615B3" w:rsidP="005615B3">
      <w:pPr>
        <w:ind w:left="720"/>
        <w:rPr>
          <w:rFonts w:ascii="Arial" w:hAnsi="Arial" w:cs="Arial"/>
          <w:sz w:val="22"/>
          <w:szCs w:val="22"/>
          <w:lang w:val="en-US"/>
        </w:rPr>
      </w:pPr>
    </w:p>
    <w:p w14:paraId="532929DA" w14:textId="77777777" w:rsidR="005615B3" w:rsidRPr="000E50F1" w:rsidRDefault="005615B3" w:rsidP="005615B3">
      <w:pPr>
        <w:ind w:left="720" w:hanging="720"/>
        <w:rPr>
          <w:rFonts w:ascii="Arial" w:hAnsi="Arial" w:cs="Arial"/>
          <w:i/>
          <w:sz w:val="22"/>
          <w:szCs w:val="22"/>
          <w:lang w:val="en-US"/>
        </w:rPr>
      </w:pPr>
      <w:r w:rsidRPr="000E50F1">
        <w:rPr>
          <w:rFonts w:ascii="Arial" w:hAnsi="Arial" w:cs="Arial"/>
          <w:sz w:val="22"/>
          <w:szCs w:val="22"/>
          <w:lang w:val="en-US"/>
        </w:rPr>
        <w:t>D3.</w:t>
      </w:r>
      <w:r w:rsidRPr="000E50F1">
        <w:rPr>
          <w:rFonts w:ascii="Arial" w:hAnsi="Arial" w:cs="Arial"/>
          <w:sz w:val="22"/>
          <w:szCs w:val="22"/>
          <w:lang w:val="en-US"/>
        </w:rPr>
        <w:tab/>
        <w:t xml:space="preserve">To your knowledge did IRCC contract or direct the LIP to participate in the Syrian refugee resettlement process? </w:t>
      </w:r>
    </w:p>
    <w:p w14:paraId="6D377951" w14:textId="77777777" w:rsidR="005615B3" w:rsidRPr="000E50F1" w:rsidRDefault="005615B3" w:rsidP="005615B3">
      <w:pPr>
        <w:ind w:left="720" w:hanging="720"/>
        <w:rPr>
          <w:rFonts w:ascii="Arial" w:hAnsi="Arial" w:cs="Arial"/>
          <w:sz w:val="22"/>
          <w:szCs w:val="22"/>
          <w:lang w:val="en-US"/>
        </w:rPr>
      </w:pPr>
    </w:p>
    <w:p w14:paraId="04361290"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 xml:space="preserve">To LIP Delegate/Chair: To your knowledge did IRCC contract or direct the LIP to participate in the Syrian refugee resettlement process? </w:t>
      </w:r>
      <w:r w:rsidRPr="000E50F1">
        <w:rPr>
          <w:rFonts w:ascii="Arial" w:hAnsi="Arial" w:cs="Arial"/>
          <w:i/>
          <w:sz w:val="22"/>
          <w:szCs w:val="22"/>
          <w:lang w:val="en-US"/>
        </w:rPr>
        <w:t xml:space="preserve">How and when was this communicated to you? How was this communicated to the HIPC council? </w:t>
      </w:r>
    </w:p>
    <w:p w14:paraId="2972D4C9" w14:textId="77777777" w:rsidR="005615B3" w:rsidRPr="000E50F1" w:rsidRDefault="005615B3" w:rsidP="005615B3">
      <w:pPr>
        <w:rPr>
          <w:rFonts w:ascii="Arial" w:hAnsi="Arial" w:cs="Arial"/>
          <w:sz w:val="22"/>
          <w:szCs w:val="22"/>
          <w:lang w:val="en-US"/>
        </w:rPr>
      </w:pPr>
    </w:p>
    <w:p w14:paraId="3559FEE2"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D4.</w:t>
      </w:r>
      <w:r w:rsidRPr="000E50F1">
        <w:rPr>
          <w:rFonts w:ascii="Arial" w:hAnsi="Arial" w:cs="Arial"/>
          <w:sz w:val="22"/>
          <w:szCs w:val="22"/>
          <w:lang w:val="en-US"/>
        </w:rPr>
        <w:tab/>
        <w:t xml:space="preserve">Are you aware if the LIP received additional funding from IRCC or MCI to assist in the Syrian refugee resettlement process?  </w:t>
      </w:r>
    </w:p>
    <w:p w14:paraId="5893F21A" w14:textId="77777777" w:rsidR="005615B3" w:rsidRPr="000E50F1" w:rsidRDefault="005615B3" w:rsidP="005615B3">
      <w:pPr>
        <w:rPr>
          <w:rFonts w:ascii="Arial" w:hAnsi="Arial" w:cs="Arial"/>
          <w:sz w:val="22"/>
          <w:szCs w:val="22"/>
          <w:lang w:val="en-US"/>
        </w:rPr>
      </w:pPr>
      <w:r w:rsidRPr="000E50F1">
        <w:rPr>
          <w:rFonts w:ascii="Arial" w:hAnsi="Arial" w:cs="Arial"/>
          <w:sz w:val="22"/>
          <w:szCs w:val="22"/>
          <w:lang w:val="en-US"/>
        </w:rPr>
        <w:tab/>
      </w:r>
    </w:p>
    <w:p w14:paraId="3EBBACA8" w14:textId="77777777" w:rsidR="005615B3" w:rsidRPr="000E50F1" w:rsidRDefault="005615B3" w:rsidP="005615B3">
      <w:pPr>
        <w:ind w:left="720"/>
        <w:rPr>
          <w:rFonts w:ascii="Arial" w:hAnsi="Arial" w:cs="Arial"/>
          <w:sz w:val="22"/>
          <w:szCs w:val="22"/>
          <w:lang w:val="en-US"/>
        </w:rPr>
      </w:pPr>
      <w:r w:rsidRPr="000E50F1">
        <w:rPr>
          <w:rFonts w:ascii="Arial" w:hAnsi="Arial" w:cs="Arial"/>
          <w:sz w:val="22"/>
          <w:szCs w:val="22"/>
          <w:lang w:val="en-US"/>
        </w:rPr>
        <w:t xml:space="preserve">D4a. If NO, has the LIP re-allocated funds from its annual IRCC contract to address the Syrian refugee resettlement process? </w:t>
      </w:r>
    </w:p>
    <w:p w14:paraId="40DB815F" w14:textId="77777777" w:rsidR="005615B3" w:rsidRPr="000E50F1" w:rsidRDefault="005615B3" w:rsidP="005615B3">
      <w:pPr>
        <w:rPr>
          <w:rFonts w:ascii="Arial" w:hAnsi="Arial" w:cs="Arial"/>
          <w:sz w:val="22"/>
          <w:szCs w:val="22"/>
          <w:lang w:val="en-US"/>
        </w:rPr>
      </w:pPr>
    </w:p>
    <w:p w14:paraId="3FFEF945"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D5.</w:t>
      </w:r>
      <w:r w:rsidRPr="000E50F1">
        <w:rPr>
          <w:rFonts w:ascii="Arial" w:hAnsi="Arial" w:cs="Arial"/>
          <w:sz w:val="22"/>
          <w:szCs w:val="22"/>
          <w:lang w:val="en-US"/>
        </w:rPr>
        <w:tab/>
        <w:t xml:space="preserve">How have the terms of the LIP’s IRCC contract affected long-term planning for Syrian refugee resettlement? </w:t>
      </w:r>
    </w:p>
    <w:p w14:paraId="288BBDE7" w14:textId="77777777" w:rsidR="005615B3" w:rsidRPr="000E50F1" w:rsidRDefault="005615B3" w:rsidP="005615B3">
      <w:pPr>
        <w:rPr>
          <w:rFonts w:ascii="Arial" w:hAnsi="Arial" w:cs="Arial"/>
          <w:sz w:val="22"/>
          <w:szCs w:val="22"/>
          <w:lang w:val="en-US"/>
        </w:rPr>
      </w:pPr>
    </w:p>
    <w:p w14:paraId="14010C61" w14:textId="730BD50B" w:rsidR="005615B3" w:rsidRPr="000E50F1" w:rsidRDefault="005615B3" w:rsidP="005615B3">
      <w:pPr>
        <w:pBdr>
          <w:top w:val="single" w:sz="4" w:space="1" w:color="auto"/>
          <w:bottom w:val="single" w:sz="4" w:space="1" w:color="auto"/>
        </w:pBdr>
        <w:rPr>
          <w:rFonts w:ascii="Arial" w:hAnsi="Arial" w:cs="Arial"/>
          <w:b/>
          <w:sz w:val="22"/>
          <w:szCs w:val="22"/>
          <w:lang w:val="en-US"/>
        </w:rPr>
      </w:pPr>
      <w:r w:rsidRPr="000E50F1">
        <w:rPr>
          <w:rFonts w:ascii="Arial" w:hAnsi="Arial" w:cs="Arial"/>
          <w:b/>
          <w:sz w:val="22"/>
          <w:szCs w:val="22"/>
          <w:lang w:val="en-US"/>
        </w:rPr>
        <w:t>Section E</w:t>
      </w:r>
      <w:r w:rsidR="001A652D" w:rsidRPr="000E50F1">
        <w:rPr>
          <w:rFonts w:ascii="Arial" w:hAnsi="Arial" w:cs="Arial"/>
          <w:b/>
          <w:sz w:val="22"/>
          <w:szCs w:val="22"/>
          <w:lang w:val="en-US"/>
        </w:rPr>
        <w:t xml:space="preserve">: </w:t>
      </w:r>
      <w:r w:rsidRPr="000E50F1">
        <w:rPr>
          <w:rFonts w:ascii="Arial" w:hAnsi="Arial" w:cs="Arial"/>
          <w:b/>
          <w:sz w:val="22"/>
          <w:szCs w:val="22"/>
          <w:lang w:val="en-US"/>
        </w:rPr>
        <w:t xml:space="preserve">Moving Forward: The LIP’s Future </w:t>
      </w:r>
    </w:p>
    <w:p w14:paraId="6FD3FCEE" w14:textId="52B06C1F" w:rsidR="005615B3" w:rsidRPr="000E50F1" w:rsidRDefault="005615B3" w:rsidP="005E3001">
      <w:pPr>
        <w:pBdr>
          <w:top w:val="single" w:sz="4" w:space="1" w:color="auto"/>
          <w:bottom w:val="single" w:sz="4" w:space="1" w:color="auto"/>
        </w:pBdr>
        <w:rPr>
          <w:rFonts w:ascii="Arial" w:hAnsi="Arial" w:cs="Arial"/>
          <w:sz w:val="22"/>
          <w:szCs w:val="22"/>
          <w:lang w:val="en-US"/>
        </w:rPr>
      </w:pPr>
      <w:r w:rsidRPr="000E50F1">
        <w:rPr>
          <w:rFonts w:ascii="Arial" w:hAnsi="Arial" w:cs="Arial"/>
          <w:sz w:val="22"/>
          <w:szCs w:val="22"/>
          <w:lang w:val="en-US"/>
        </w:rPr>
        <w:t xml:space="preserve">To conclude, I want to touch on some of the big picture issues surrounding the LIP as it will continue to play a role in Syrian refugee resettlement process at least for the foreseeable future.  </w:t>
      </w:r>
    </w:p>
    <w:p w14:paraId="329B383D"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lastRenderedPageBreak/>
        <w:t>E1.</w:t>
      </w:r>
      <w:r w:rsidRPr="000E50F1">
        <w:rPr>
          <w:rFonts w:ascii="Arial" w:hAnsi="Arial" w:cs="Arial"/>
          <w:sz w:val="22"/>
          <w:szCs w:val="22"/>
          <w:lang w:val="en-US"/>
        </w:rPr>
        <w:tab/>
        <w:t xml:space="preserve">In the context of Syrian refugee resettlement, what could the LIP be doing that it’s currently not? </w:t>
      </w:r>
    </w:p>
    <w:p w14:paraId="07C946B8" w14:textId="77777777" w:rsidR="005615B3" w:rsidRPr="000E50F1" w:rsidRDefault="005615B3" w:rsidP="005615B3">
      <w:pPr>
        <w:ind w:left="720" w:hanging="720"/>
        <w:rPr>
          <w:rFonts w:ascii="Arial" w:hAnsi="Arial" w:cs="Arial"/>
          <w:sz w:val="22"/>
          <w:szCs w:val="22"/>
          <w:lang w:val="en-US"/>
        </w:rPr>
      </w:pPr>
    </w:p>
    <w:p w14:paraId="4FAAAA0E"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E2.</w:t>
      </w:r>
      <w:r w:rsidRPr="000E50F1">
        <w:rPr>
          <w:rFonts w:ascii="Arial" w:hAnsi="Arial" w:cs="Arial"/>
          <w:sz w:val="22"/>
          <w:szCs w:val="22"/>
          <w:lang w:val="en-US"/>
        </w:rPr>
        <w:tab/>
        <w:t xml:space="preserve">What impact will the Syrian refugee resettlement have on the LIP model moving forward? </w:t>
      </w:r>
    </w:p>
    <w:p w14:paraId="614AB12D"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ab/>
      </w:r>
    </w:p>
    <w:p w14:paraId="097C003D"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ab/>
        <w:t xml:space="preserve">E2a. Is the LIP in a better position to address settlement needs because of the Syrian refugee resettlement process? </w:t>
      </w:r>
    </w:p>
    <w:p w14:paraId="7521E56B" w14:textId="77777777" w:rsidR="005615B3" w:rsidRPr="000E50F1" w:rsidRDefault="005615B3" w:rsidP="005615B3">
      <w:pPr>
        <w:ind w:left="720" w:hanging="720"/>
        <w:rPr>
          <w:rFonts w:ascii="Arial" w:hAnsi="Arial" w:cs="Arial"/>
          <w:sz w:val="22"/>
          <w:szCs w:val="22"/>
          <w:lang w:val="en-US"/>
        </w:rPr>
      </w:pPr>
    </w:p>
    <w:p w14:paraId="306B4218"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E3.</w:t>
      </w:r>
      <w:r w:rsidRPr="000E50F1">
        <w:rPr>
          <w:rFonts w:ascii="Arial" w:hAnsi="Arial" w:cs="Arial"/>
          <w:sz w:val="22"/>
          <w:szCs w:val="22"/>
          <w:lang w:val="en-US"/>
        </w:rPr>
        <w:tab/>
        <w:t xml:space="preserve">Is there anything you would like to add that we have not already touched on? </w:t>
      </w:r>
    </w:p>
    <w:p w14:paraId="1DD34EE3" w14:textId="77777777" w:rsidR="005615B3" w:rsidRPr="000E50F1" w:rsidRDefault="005615B3" w:rsidP="005615B3">
      <w:pPr>
        <w:ind w:left="720" w:hanging="720"/>
        <w:rPr>
          <w:rFonts w:ascii="Arial" w:hAnsi="Arial" w:cs="Arial"/>
          <w:sz w:val="22"/>
          <w:szCs w:val="22"/>
          <w:lang w:val="en-US"/>
        </w:rPr>
      </w:pPr>
    </w:p>
    <w:p w14:paraId="4E862ED5" w14:textId="77777777" w:rsidR="005615B3" w:rsidRPr="000E50F1" w:rsidRDefault="005615B3" w:rsidP="005615B3">
      <w:pPr>
        <w:ind w:left="720" w:hanging="720"/>
        <w:rPr>
          <w:rFonts w:ascii="Arial" w:hAnsi="Arial" w:cs="Arial"/>
          <w:sz w:val="22"/>
          <w:szCs w:val="22"/>
          <w:lang w:val="en-US"/>
        </w:rPr>
      </w:pPr>
      <w:r w:rsidRPr="000E50F1">
        <w:rPr>
          <w:rFonts w:ascii="Arial" w:hAnsi="Arial" w:cs="Arial"/>
          <w:sz w:val="22"/>
          <w:szCs w:val="22"/>
          <w:lang w:val="en-US"/>
        </w:rPr>
        <w:t>E4.</w:t>
      </w:r>
      <w:r w:rsidRPr="000E50F1">
        <w:rPr>
          <w:rFonts w:ascii="Arial" w:hAnsi="Arial" w:cs="Arial"/>
          <w:sz w:val="22"/>
          <w:szCs w:val="22"/>
          <w:lang w:val="en-US"/>
        </w:rPr>
        <w:tab/>
        <w:t xml:space="preserve">Could you please suggest other organizations, agencies, or individuals whom I should interview? </w:t>
      </w:r>
    </w:p>
    <w:p w14:paraId="0CBF8F74" w14:textId="77777777" w:rsidR="005615B3" w:rsidRPr="000E50F1" w:rsidRDefault="005615B3" w:rsidP="005615B3">
      <w:pPr>
        <w:rPr>
          <w:rFonts w:ascii="Arial" w:hAnsi="Arial" w:cs="Arial"/>
          <w:sz w:val="22"/>
          <w:szCs w:val="22"/>
          <w:lang w:val="en-US"/>
        </w:rPr>
      </w:pPr>
    </w:p>
    <w:p w14:paraId="2BEF0219" w14:textId="77777777" w:rsidR="005615B3" w:rsidRPr="000E50F1" w:rsidRDefault="005615B3" w:rsidP="005615B3">
      <w:pPr>
        <w:rPr>
          <w:rFonts w:ascii="Arial" w:hAnsi="Arial" w:cs="Arial"/>
          <w:sz w:val="22"/>
          <w:szCs w:val="22"/>
          <w:lang w:val="en-US"/>
        </w:rPr>
      </w:pPr>
    </w:p>
    <w:p w14:paraId="0B305253" w14:textId="77777777" w:rsidR="005615B3" w:rsidRPr="000E50F1" w:rsidRDefault="005615B3" w:rsidP="005615B3">
      <w:pPr>
        <w:rPr>
          <w:rFonts w:ascii="Arial" w:hAnsi="Arial" w:cs="Arial"/>
          <w:sz w:val="22"/>
          <w:szCs w:val="22"/>
          <w:lang w:val="en-US"/>
        </w:rPr>
      </w:pPr>
    </w:p>
    <w:p w14:paraId="57D2FA71" w14:textId="77777777" w:rsidR="005615B3" w:rsidRPr="000E50F1" w:rsidRDefault="005615B3" w:rsidP="005615B3">
      <w:pPr>
        <w:jc w:val="center"/>
        <w:rPr>
          <w:rFonts w:ascii="Arial" w:hAnsi="Arial" w:cs="Arial"/>
          <w:b/>
          <w:sz w:val="22"/>
          <w:szCs w:val="22"/>
          <w:lang w:val="en-US"/>
        </w:rPr>
      </w:pPr>
      <w:r w:rsidRPr="000E50F1">
        <w:rPr>
          <w:rFonts w:ascii="Arial" w:hAnsi="Arial" w:cs="Arial"/>
          <w:b/>
          <w:sz w:val="22"/>
          <w:szCs w:val="22"/>
          <w:lang w:val="en-US"/>
        </w:rPr>
        <w:t xml:space="preserve">THANKS FOR YOUR PARTICIPATION. </w:t>
      </w:r>
    </w:p>
    <w:p w14:paraId="53DE950B" w14:textId="77777777" w:rsidR="005615B3" w:rsidRPr="000E50F1" w:rsidRDefault="005615B3" w:rsidP="005615B3">
      <w:pPr>
        <w:jc w:val="center"/>
        <w:rPr>
          <w:rFonts w:ascii="Arial" w:hAnsi="Arial" w:cs="Arial"/>
          <w:b/>
          <w:sz w:val="22"/>
          <w:szCs w:val="22"/>
          <w:lang w:val="en-US"/>
        </w:rPr>
      </w:pPr>
      <w:r w:rsidRPr="000E50F1">
        <w:rPr>
          <w:rFonts w:ascii="Arial" w:hAnsi="Arial" w:cs="Arial"/>
          <w:b/>
          <w:sz w:val="22"/>
          <w:szCs w:val="22"/>
          <w:lang w:val="en-US"/>
        </w:rPr>
        <w:t xml:space="preserve">YOUR FEEDBACK IS GREATLY APPRECIATED </w:t>
      </w:r>
    </w:p>
    <w:p w14:paraId="1D08B897" w14:textId="5E69F6CB" w:rsidR="005615B3" w:rsidRPr="000E50F1" w:rsidRDefault="005615B3" w:rsidP="005615B3">
      <w:pPr>
        <w:jc w:val="center"/>
        <w:rPr>
          <w:rFonts w:ascii="Arial" w:hAnsi="Arial" w:cs="Arial"/>
          <w:b/>
          <w:sz w:val="22"/>
          <w:szCs w:val="22"/>
          <w:lang w:val="en-US"/>
        </w:rPr>
      </w:pPr>
      <w:r w:rsidRPr="000E50F1">
        <w:rPr>
          <w:rFonts w:ascii="Arial" w:hAnsi="Arial" w:cs="Arial"/>
          <w:b/>
          <w:sz w:val="22"/>
          <w:szCs w:val="22"/>
          <w:lang w:val="en-US"/>
        </w:rPr>
        <w:t xml:space="preserve">AND YOUR INPUT IS EXTREMELY VALUED! </w:t>
      </w:r>
    </w:p>
    <w:p w14:paraId="222DB9D7" w14:textId="77777777" w:rsidR="005615B3" w:rsidRPr="000E50F1" w:rsidRDefault="005615B3" w:rsidP="005615B3">
      <w:pPr>
        <w:jc w:val="center"/>
        <w:rPr>
          <w:rFonts w:ascii="Times" w:hAnsi="Times"/>
          <w:b/>
          <w:lang w:val="en-US"/>
        </w:rPr>
      </w:pPr>
    </w:p>
    <w:p w14:paraId="74ED610C" w14:textId="729E3A6A" w:rsidR="00310F91" w:rsidRPr="000E50F1" w:rsidRDefault="00310F91" w:rsidP="00310F91">
      <w:pPr>
        <w:jc w:val="both"/>
        <w:rPr>
          <w:rFonts w:ascii="Times" w:eastAsia="Calibri" w:hAnsi="Times"/>
          <w:b/>
          <w:lang w:val="en-US"/>
        </w:rPr>
      </w:pPr>
    </w:p>
    <w:p w14:paraId="444C3D2E" w14:textId="77777777" w:rsidR="001A652D" w:rsidRPr="000E50F1" w:rsidRDefault="001A652D">
      <w:pPr>
        <w:rPr>
          <w:rFonts w:ascii="Times" w:eastAsia="Calibri" w:hAnsi="Times"/>
          <w:b/>
          <w:lang w:val="en-US"/>
        </w:rPr>
      </w:pPr>
      <w:r w:rsidRPr="000E50F1">
        <w:rPr>
          <w:rFonts w:ascii="Times" w:eastAsia="Calibri" w:hAnsi="Times"/>
        </w:rPr>
        <w:br w:type="page"/>
      </w:r>
    </w:p>
    <w:p w14:paraId="650D0740" w14:textId="6B9AFD51" w:rsidR="00ED60F2" w:rsidRPr="000E50F1" w:rsidRDefault="00ED60F2" w:rsidP="00E95A3E">
      <w:pPr>
        <w:pStyle w:val="Heading1"/>
        <w:spacing w:before="0" w:line="240" w:lineRule="auto"/>
        <w:jc w:val="center"/>
        <w:rPr>
          <w:rFonts w:ascii="Times" w:eastAsia="Calibri" w:hAnsi="Times"/>
          <w:b w:val="0"/>
          <w:bCs/>
          <w:color w:val="auto"/>
          <w:sz w:val="24"/>
          <w:szCs w:val="24"/>
        </w:rPr>
      </w:pPr>
      <w:bookmarkStart w:id="38" w:name="_Toc60231905"/>
      <w:r w:rsidRPr="000E50F1">
        <w:rPr>
          <w:rFonts w:ascii="Times" w:eastAsia="Calibri" w:hAnsi="Times"/>
          <w:color w:val="auto"/>
          <w:sz w:val="24"/>
          <w:szCs w:val="24"/>
        </w:rPr>
        <w:lastRenderedPageBreak/>
        <w:t xml:space="preserve">APPENDIX </w:t>
      </w:r>
      <w:r w:rsidR="00310F91" w:rsidRPr="000E50F1">
        <w:rPr>
          <w:rFonts w:ascii="Times" w:eastAsia="Calibri" w:hAnsi="Times"/>
          <w:color w:val="auto"/>
          <w:sz w:val="24"/>
          <w:szCs w:val="24"/>
        </w:rPr>
        <w:t>D</w:t>
      </w:r>
      <w:r w:rsidR="007207AB" w:rsidRPr="000E50F1">
        <w:rPr>
          <w:rFonts w:ascii="Times" w:eastAsia="Calibri" w:hAnsi="Times"/>
          <w:color w:val="auto"/>
          <w:sz w:val="24"/>
          <w:szCs w:val="24"/>
        </w:rPr>
        <w:t xml:space="preserve">: LETTER OF INFOMORMATION </w:t>
      </w:r>
      <w:r w:rsidR="00A8282F" w:rsidRPr="000E50F1">
        <w:rPr>
          <w:rFonts w:ascii="Times" w:eastAsia="Calibri" w:hAnsi="Times"/>
          <w:color w:val="auto"/>
          <w:sz w:val="24"/>
          <w:szCs w:val="24"/>
        </w:rPr>
        <w:t>&amp;</w:t>
      </w:r>
      <w:r w:rsidR="007207AB" w:rsidRPr="000E50F1">
        <w:rPr>
          <w:rFonts w:ascii="Times" w:eastAsia="Calibri" w:hAnsi="Times"/>
          <w:color w:val="auto"/>
          <w:sz w:val="24"/>
          <w:szCs w:val="24"/>
        </w:rPr>
        <w:t xml:space="preserve"> CONSENT FORM</w:t>
      </w:r>
      <w:r w:rsidR="00BD3475" w:rsidRPr="000E50F1">
        <w:rPr>
          <w:rFonts w:ascii="Times" w:eastAsia="Calibri" w:hAnsi="Times"/>
          <w:color w:val="auto"/>
          <w:sz w:val="24"/>
          <w:szCs w:val="24"/>
        </w:rPr>
        <w:t xml:space="preserve"> (SWIS)</w:t>
      </w:r>
      <w:bookmarkEnd w:id="38"/>
    </w:p>
    <w:p w14:paraId="2B4A2B25" w14:textId="77777777" w:rsidR="00ED60F2" w:rsidRPr="000E50F1" w:rsidRDefault="00ED60F2" w:rsidP="00BD3475">
      <w:pPr>
        <w:rPr>
          <w:rFonts w:ascii="Calibri" w:hAnsi="Calibri"/>
          <w:bCs/>
          <w:sz w:val="22"/>
          <w:szCs w:val="22"/>
        </w:rPr>
      </w:pPr>
    </w:p>
    <w:p w14:paraId="055CF487" w14:textId="03FFFEEA" w:rsidR="00ED60F2" w:rsidRPr="000E50F1" w:rsidRDefault="00ED60F2" w:rsidP="00424888">
      <w:pPr>
        <w:jc w:val="right"/>
        <w:rPr>
          <w:rFonts w:ascii="Arial" w:hAnsi="Arial" w:cs="Arial"/>
          <w:bCs/>
          <w:sz w:val="22"/>
          <w:szCs w:val="22"/>
        </w:rPr>
      </w:pPr>
      <w:r w:rsidRPr="000E50F1">
        <w:rPr>
          <w:rFonts w:ascii="Arial" w:hAnsi="Arial" w:cs="Arial"/>
          <w:bCs/>
          <w:sz w:val="22"/>
          <w:szCs w:val="22"/>
        </w:rPr>
        <w:t>July 14, 2014</w:t>
      </w:r>
    </w:p>
    <w:p w14:paraId="5A1D8DDF" w14:textId="41BB8F11" w:rsidR="00ED60F2" w:rsidRPr="000E50F1" w:rsidRDefault="00ED60F2" w:rsidP="000058DC">
      <w:pPr>
        <w:rPr>
          <w:rFonts w:ascii="Arial" w:hAnsi="Arial" w:cs="Arial"/>
          <w:b/>
          <w:sz w:val="22"/>
          <w:szCs w:val="22"/>
        </w:rPr>
      </w:pPr>
      <w:r w:rsidRPr="000E50F1">
        <w:rPr>
          <w:rFonts w:ascii="Arial" w:hAnsi="Arial" w:cs="Arial"/>
          <w:b/>
        </w:rPr>
        <w:t>Principle Investigator:</w:t>
      </w:r>
      <w:r w:rsidRPr="000E50F1">
        <w:rPr>
          <w:rFonts w:ascii="Arial" w:hAnsi="Arial" w:cs="Arial"/>
          <w:b/>
        </w:rPr>
        <w:tab/>
        <w:t>Huyen Dam</w:t>
      </w:r>
      <w:r w:rsidRPr="000E50F1">
        <w:rPr>
          <w:rFonts w:ascii="Arial" w:hAnsi="Arial" w:cs="Arial"/>
          <w:b/>
          <w:sz w:val="22"/>
          <w:szCs w:val="22"/>
        </w:rPr>
        <w:tab/>
      </w:r>
    </w:p>
    <w:p w14:paraId="3AD89202" w14:textId="77777777" w:rsidR="00ED60F2" w:rsidRPr="000E50F1" w:rsidRDefault="00ED60F2" w:rsidP="000058DC">
      <w:pPr>
        <w:ind w:left="2880"/>
        <w:rPr>
          <w:rFonts w:ascii="Arial" w:hAnsi="Arial" w:cs="Arial"/>
          <w:sz w:val="20"/>
          <w:szCs w:val="22"/>
        </w:rPr>
      </w:pPr>
      <w:r w:rsidRPr="000E50F1">
        <w:rPr>
          <w:rFonts w:ascii="Arial" w:hAnsi="Arial" w:cs="Arial"/>
          <w:sz w:val="20"/>
          <w:szCs w:val="22"/>
        </w:rPr>
        <w:t xml:space="preserve">School of Geography and Earth Sciences, McMaster University </w:t>
      </w:r>
    </w:p>
    <w:p w14:paraId="21662315" w14:textId="77777777" w:rsidR="00ED60F2" w:rsidRPr="000E50F1" w:rsidRDefault="00ED60F2" w:rsidP="000058DC">
      <w:pPr>
        <w:ind w:left="2880"/>
        <w:rPr>
          <w:rFonts w:ascii="Arial" w:hAnsi="Arial" w:cs="Arial"/>
          <w:sz w:val="20"/>
          <w:szCs w:val="22"/>
        </w:rPr>
      </w:pPr>
      <w:r w:rsidRPr="000E50F1">
        <w:rPr>
          <w:rFonts w:ascii="Arial" w:hAnsi="Arial" w:cs="Arial"/>
          <w:sz w:val="20"/>
          <w:szCs w:val="22"/>
        </w:rPr>
        <w:t>Hamilton, Ontario, Canada</w:t>
      </w:r>
    </w:p>
    <w:p w14:paraId="665C93A0" w14:textId="77777777" w:rsidR="00ED60F2" w:rsidRPr="000E50F1" w:rsidRDefault="00ED60F2" w:rsidP="000058DC">
      <w:pPr>
        <w:ind w:left="2880"/>
        <w:rPr>
          <w:rFonts w:ascii="Arial" w:hAnsi="Arial" w:cs="Arial"/>
          <w:sz w:val="20"/>
          <w:szCs w:val="22"/>
        </w:rPr>
      </w:pPr>
      <w:r w:rsidRPr="000E50F1">
        <w:rPr>
          <w:rFonts w:ascii="Arial" w:hAnsi="Arial" w:cs="Arial"/>
          <w:sz w:val="20"/>
          <w:szCs w:val="22"/>
        </w:rPr>
        <w:t>Phone: (905) 525-9140 ext. 20440</w:t>
      </w:r>
    </w:p>
    <w:p w14:paraId="08984768" w14:textId="77777777" w:rsidR="00ED60F2" w:rsidRPr="000E50F1" w:rsidRDefault="00ED60F2" w:rsidP="000058DC">
      <w:pPr>
        <w:ind w:left="2880"/>
        <w:rPr>
          <w:rFonts w:ascii="Arial" w:hAnsi="Arial" w:cs="Arial"/>
          <w:sz w:val="20"/>
          <w:szCs w:val="22"/>
        </w:rPr>
      </w:pPr>
      <w:r w:rsidRPr="000E50F1">
        <w:rPr>
          <w:rFonts w:ascii="Arial" w:hAnsi="Arial" w:cs="Arial"/>
          <w:sz w:val="20"/>
          <w:szCs w:val="22"/>
        </w:rPr>
        <w:t>Cell: (XXX) XXX-XXXX</w:t>
      </w:r>
    </w:p>
    <w:p w14:paraId="54F811EF" w14:textId="77777777" w:rsidR="00ED60F2" w:rsidRPr="000E50F1" w:rsidRDefault="00ED60F2" w:rsidP="000058DC">
      <w:pPr>
        <w:ind w:left="2880"/>
        <w:rPr>
          <w:rStyle w:val="Hyperlink"/>
          <w:rFonts w:ascii="Arial" w:hAnsi="Arial" w:cs="Arial"/>
          <w:color w:val="auto"/>
          <w:sz w:val="20"/>
          <w:szCs w:val="22"/>
          <w:u w:val="none"/>
          <w:shd w:val="clear" w:color="auto" w:fill="FFFFFF"/>
        </w:rPr>
      </w:pPr>
      <w:r w:rsidRPr="000E50F1">
        <w:rPr>
          <w:rFonts w:ascii="Arial" w:hAnsi="Arial" w:cs="Arial"/>
          <w:sz w:val="20"/>
          <w:szCs w:val="22"/>
        </w:rPr>
        <w:t xml:space="preserve">E-mail: </w:t>
      </w:r>
      <w:r w:rsidRPr="000E50F1">
        <w:rPr>
          <w:rStyle w:val="Hyperlink"/>
          <w:rFonts w:ascii="Arial" w:hAnsi="Arial" w:cs="Arial"/>
          <w:color w:val="auto"/>
          <w:sz w:val="20"/>
          <w:szCs w:val="22"/>
          <w:u w:val="none"/>
          <w:shd w:val="clear" w:color="auto" w:fill="FFFFFF"/>
        </w:rPr>
        <w:t>damhd@mcmaster.ca</w:t>
      </w:r>
    </w:p>
    <w:p w14:paraId="4BD4DDA8" w14:textId="77777777" w:rsidR="00ED60F2" w:rsidRPr="000E50F1" w:rsidRDefault="00ED60F2" w:rsidP="000058DC">
      <w:pPr>
        <w:rPr>
          <w:rFonts w:ascii="Arial" w:hAnsi="Arial" w:cs="Arial"/>
          <w:sz w:val="22"/>
          <w:szCs w:val="22"/>
        </w:rPr>
      </w:pPr>
    </w:p>
    <w:p w14:paraId="40485C15" w14:textId="38682083" w:rsidR="00ED60F2" w:rsidRPr="000E50F1" w:rsidRDefault="00ED60F2" w:rsidP="000058DC">
      <w:pPr>
        <w:rPr>
          <w:rFonts w:ascii="Arial" w:hAnsi="Arial" w:cs="Arial"/>
          <w:b/>
          <w:sz w:val="22"/>
          <w:szCs w:val="22"/>
        </w:rPr>
      </w:pPr>
      <w:r w:rsidRPr="000E50F1">
        <w:rPr>
          <w:rFonts w:ascii="Arial" w:hAnsi="Arial" w:cs="Arial"/>
          <w:b/>
        </w:rPr>
        <w:t>Supervising Faculty:</w:t>
      </w:r>
      <w:r w:rsidRPr="000E50F1">
        <w:rPr>
          <w:rFonts w:ascii="Arial" w:hAnsi="Arial" w:cs="Arial"/>
          <w:b/>
          <w:sz w:val="22"/>
          <w:szCs w:val="22"/>
        </w:rPr>
        <w:tab/>
      </w:r>
      <w:r w:rsidRPr="000E50F1">
        <w:rPr>
          <w:rFonts w:ascii="Arial" w:hAnsi="Arial" w:cs="Arial"/>
          <w:b/>
        </w:rPr>
        <w:t>Bruce Newbold</w:t>
      </w:r>
    </w:p>
    <w:p w14:paraId="33017A9B" w14:textId="77777777" w:rsidR="00ED60F2" w:rsidRPr="000E50F1" w:rsidRDefault="00ED60F2" w:rsidP="000058DC">
      <w:pPr>
        <w:ind w:left="2880"/>
        <w:rPr>
          <w:rFonts w:ascii="Arial" w:hAnsi="Arial" w:cs="Arial"/>
          <w:sz w:val="20"/>
          <w:szCs w:val="22"/>
        </w:rPr>
      </w:pPr>
      <w:r w:rsidRPr="000E50F1">
        <w:rPr>
          <w:rFonts w:ascii="Arial" w:hAnsi="Arial" w:cs="Arial"/>
          <w:sz w:val="20"/>
          <w:szCs w:val="22"/>
        </w:rPr>
        <w:t xml:space="preserve">School of Geography and Earth Sciences, McMaster University </w:t>
      </w:r>
    </w:p>
    <w:p w14:paraId="5AC95224" w14:textId="77777777" w:rsidR="00ED60F2" w:rsidRPr="000E50F1" w:rsidRDefault="00ED60F2" w:rsidP="000058DC">
      <w:pPr>
        <w:ind w:left="2880"/>
        <w:rPr>
          <w:rFonts w:ascii="Arial" w:hAnsi="Arial" w:cs="Arial"/>
          <w:sz w:val="20"/>
          <w:szCs w:val="22"/>
        </w:rPr>
      </w:pPr>
      <w:r w:rsidRPr="000E50F1">
        <w:rPr>
          <w:rFonts w:ascii="Arial" w:hAnsi="Arial" w:cs="Arial"/>
          <w:sz w:val="20"/>
          <w:szCs w:val="22"/>
        </w:rPr>
        <w:t>Hamilton, Ontario, Canada</w:t>
      </w:r>
    </w:p>
    <w:p w14:paraId="78611401" w14:textId="77777777" w:rsidR="00ED60F2" w:rsidRPr="000E50F1" w:rsidRDefault="00ED60F2" w:rsidP="000058DC">
      <w:pPr>
        <w:ind w:left="2880"/>
        <w:rPr>
          <w:rFonts w:ascii="Arial" w:hAnsi="Arial" w:cs="Arial"/>
          <w:sz w:val="20"/>
          <w:szCs w:val="22"/>
        </w:rPr>
      </w:pPr>
      <w:r w:rsidRPr="000E50F1">
        <w:rPr>
          <w:rFonts w:ascii="Arial" w:hAnsi="Arial" w:cs="Arial"/>
          <w:sz w:val="20"/>
          <w:szCs w:val="22"/>
        </w:rPr>
        <w:t xml:space="preserve">Phone: (905) 525-9140 ext. </w:t>
      </w:r>
      <w:r w:rsidRPr="000E50F1">
        <w:rPr>
          <w:rFonts w:ascii="Arial" w:hAnsi="Arial" w:cs="Arial"/>
          <w:sz w:val="20"/>
          <w:szCs w:val="22"/>
          <w:shd w:val="clear" w:color="auto" w:fill="FFFFFF"/>
        </w:rPr>
        <w:t>27948</w:t>
      </w:r>
    </w:p>
    <w:p w14:paraId="3F495DE7" w14:textId="77777777" w:rsidR="00ED60F2" w:rsidRPr="000E50F1" w:rsidRDefault="00ED60F2" w:rsidP="000058DC">
      <w:pPr>
        <w:ind w:left="2880"/>
        <w:rPr>
          <w:rFonts w:ascii="Arial" w:hAnsi="Arial" w:cs="Arial"/>
          <w:sz w:val="20"/>
          <w:szCs w:val="22"/>
        </w:rPr>
      </w:pPr>
      <w:r w:rsidRPr="000E50F1">
        <w:rPr>
          <w:rFonts w:ascii="Arial" w:hAnsi="Arial" w:cs="Arial"/>
          <w:sz w:val="20"/>
          <w:szCs w:val="22"/>
        </w:rPr>
        <w:t xml:space="preserve">E-mail: </w:t>
      </w:r>
      <w:hyperlink r:id="rId56" w:history="1">
        <w:r w:rsidRPr="000E50F1">
          <w:rPr>
            <w:rStyle w:val="Hyperlink"/>
            <w:rFonts w:ascii="Arial" w:hAnsi="Arial" w:cs="Arial"/>
            <w:color w:val="auto"/>
            <w:sz w:val="20"/>
            <w:szCs w:val="22"/>
            <w:u w:val="none"/>
            <w:shd w:val="clear" w:color="auto" w:fill="FFFFFF"/>
          </w:rPr>
          <w:t>newbold@mcmaster.ca</w:t>
        </w:r>
      </w:hyperlink>
    </w:p>
    <w:p w14:paraId="7CA4445A" w14:textId="77777777" w:rsidR="00ED60F2" w:rsidRPr="000E50F1" w:rsidRDefault="00ED60F2" w:rsidP="000058DC">
      <w:pPr>
        <w:rPr>
          <w:rFonts w:ascii="Arial" w:hAnsi="Arial" w:cs="Arial"/>
          <w:b/>
        </w:rPr>
      </w:pPr>
    </w:p>
    <w:p w14:paraId="49A03308" w14:textId="77777777" w:rsidR="0074621C" w:rsidRPr="000E50F1" w:rsidRDefault="0074621C" w:rsidP="000058DC">
      <w:pPr>
        <w:rPr>
          <w:rFonts w:ascii="Arial" w:hAnsi="Arial" w:cs="Arial"/>
          <w:b/>
        </w:rPr>
      </w:pPr>
    </w:p>
    <w:p w14:paraId="44DF1DF1" w14:textId="367BE22A" w:rsidR="00ED60F2" w:rsidRPr="000E50F1" w:rsidRDefault="00ED60F2" w:rsidP="000058DC">
      <w:pPr>
        <w:rPr>
          <w:rFonts w:ascii="Arial" w:hAnsi="Arial" w:cs="Arial"/>
        </w:rPr>
      </w:pPr>
      <w:r w:rsidRPr="000E50F1">
        <w:rPr>
          <w:rFonts w:ascii="Arial" w:hAnsi="Arial" w:cs="Arial"/>
          <w:b/>
        </w:rPr>
        <w:t>Purpose:</w:t>
      </w:r>
    </w:p>
    <w:p w14:paraId="3E8C7A19" w14:textId="77777777" w:rsidR="00ED60F2" w:rsidRPr="000E50F1" w:rsidRDefault="00ED60F2" w:rsidP="000058DC">
      <w:pPr>
        <w:rPr>
          <w:rFonts w:ascii="Arial" w:hAnsi="Arial" w:cs="Arial"/>
          <w:sz w:val="22"/>
          <w:szCs w:val="22"/>
        </w:rPr>
      </w:pPr>
      <w:r w:rsidRPr="000E50F1">
        <w:rPr>
          <w:rFonts w:ascii="Arial" w:hAnsi="Arial" w:cs="Arial"/>
          <w:sz w:val="22"/>
          <w:szCs w:val="22"/>
        </w:rPr>
        <w:t>The goal of this research is to explore mental health amongst newcomer youth. In order to achieve this goal, one of the objectives of this research is talk to individuals who work with newcomer youth in the community to understand the experience of individual who work with youth or provide services to youth.</w:t>
      </w:r>
    </w:p>
    <w:p w14:paraId="2E34D8DD" w14:textId="77777777" w:rsidR="00ED60F2" w:rsidRPr="000E50F1" w:rsidRDefault="00ED60F2" w:rsidP="000058DC">
      <w:pPr>
        <w:rPr>
          <w:rFonts w:ascii="Arial" w:hAnsi="Arial" w:cs="Arial"/>
          <w:b/>
          <w:sz w:val="22"/>
          <w:szCs w:val="22"/>
        </w:rPr>
      </w:pPr>
    </w:p>
    <w:p w14:paraId="3C707093" w14:textId="77777777" w:rsidR="00ED60F2" w:rsidRPr="000E50F1" w:rsidRDefault="00ED60F2" w:rsidP="000058DC">
      <w:pPr>
        <w:rPr>
          <w:rFonts w:ascii="Arial" w:hAnsi="Arial" w:cs="Arial"/>
          <w:b/>
        </w:rPr>
      </w:pPr>
      <w:r w:rsidRPr="000E50F1">
        <w:rPr>
          <w:rFonts w:ascii="Arial" w:hAnsi="Arial" w:cs="Arial"/>
          <w:b/>
        </w:rPr>
        <w:t>Procedures:</w:t>
      </w:r>
    </w:p>
    <w:p w14:paraId="409B8C85" w14:textId="77777777" w:rsidR="00ED60F2" w:rsidRPr="000E50F1" w:rsidRDefault="00ED60F2" w:rsidP="000058DC">
      <w:pPr>
        <w:rPr>
          <w:rFonts w:ascii="Arial" w:hAnsi="Arial" w:cs="Arial"/>
          <w:sz w:val="22"/>
          <w:szCs w:val="22"/>
        </w:rPr>
      </w:pPr>
      <w:r w:rsidRPr="000E50F1">
        <w:rPr>
          <w:rFonts w:ascii="Arial" w:hAnsi="Arial" w:cs="Arial"/>
          <w:sz w:val="22"/>
          <w:szCs w:val="22"/>
        </w:rPr>
        <w:t xml:space="preserve">If you choose to take part in this interview, you will be asked to answer a set of semi-structured questions. These questions will cover five main themes which include: (1) Background, (2) Demographics (3) Mental Health Education, (4) Space and Safety, and (4) Cultural and Linguistic Brokers. For example, questions include, “Are there strategies that you employ to overcome cultural differences in mental health education”, and, “Are schools appropriate places for newcomer youth to discuss mental health issues?” You will also be asked a set of demographic questions about the youths that you work with as well as a set of background questions at the start of the interview for context. The interview will be approximately 1 hour in length. It will take place at a location where you are most comfortable. For example, you can choose to have the interview at the public library or at a coffee shop.  With your permission, the interview will be audio-taped and later transcribed. I would also like to take notes. </w:t>
      </w:r>
    </w:p>
    <w:p w14:paraId="2A6AB158" w14:textId="77777777" w:rsidR="00ED60F2" w:rsidRPr="000E50F1" w:rsidRDefault="00ED60F2" w:rsidP="000058DC">
      <w:pPr>
        <w:rPr>
          <w:rFonts w:ascii="Arial" w:hAnsi="Arial" w:cs="Arial"/>
          <w:b/>
          <w:sz w:val="22"/>
          <w:szCs w:val="22"/>
        </w:rPr>
      </w:pPr>
    </w:p>
    <w:p w14:paraId="5A224D71" w14:textId="77777777" w:rsidR="00ED60F2" w:rsidRPr="000E50F1" w:rsidRDefault="00ED60F2" w:rsidP="000058DC">
      <w:pPr>
        <w:rPr>
          <w:rFonts w:ascii="Arial" w:hAnsi="Arial" w:cs="Arial"/>
          <w:b/>
        </w:rPr>
      </w:pPr>
      <w:r w:rsidRPr="000E50F1">
        <w:rPr>
          <w:rFonts w:ascii="Arial" w:hAnsi="Arial" w:cs="Arial"/>
          <w:b/>
        </w:rPr>
        <w:t>Potential Harms, Risks or Discomforts:</w:t>
      </w:r>
    </w:p>
    <w:p w14:paraId="30E0ADE4" w14:textId="21D2A894" w:rsidR="0074621C" w:rsidRPr="000E50F1" w:rsidRDefault="00ED60F2" w:rsidP="000058DC">
      <w:pPr>
        <w:rPr>
          <w:rFonts w:ascii="Arial" w:hAnsi="Arial" w:cs="Arial"/>
          <w:sz w:val="22"/>
          <w:szCs w:val="22"/>
        </w:rPr>
      </w:pPr>
      <w:r w:rsidRPr="000E50F1">
        <w:rPr>
          <w:rFonts w:ascii="Arial" w:hAnsi="Arial" w:cs="Arial"/>
          <w:sz w:val="22"/>
          <w:szCs w:val="22"/>
        </w:rPr>
        <w:t>It is not likely that there will be any harm or discomforts associated with participating in this research. The questions may raise issues that you feel strongly about. You may also have concerns about how others will react to what you say. You do not need to answer questions you would prefer to skip. You can withdraw (stop taking part) at any time.  The steps to protect your privacy will be discussed below.</w:t>
      </w:r>
    </w:p>
    <w:p w14:paraId="11047C4D" w14:textId="77777777" w:rsidR="00ED60F2" w:rsidRPr="000E50F1" w:rsidRDefault="00ED60F2" w:rsidP="000058DC">
      <w:pPr>
        <w:rPr>
          <w:rFonts w:ascii="Arial" w:hAnsi="Arial" w:cs="Arial"/>
          <w:b/>
        </w:rPr>
      </w:pPr>
      <w:r w:rsidRPr="000E50F1">
        <w:rPr>
          <w:rFonts w:ascii="Arial" w:hAnsi="Arial" w:cs="Arial"/>
          <w:b/>
        </w:rPr>
        <w:lastRenderedPageBreak/>
        <w:t>Potential Benefits:</w:t>
      </w:r>
    </w:p>
    <w:p w14:paraId="74214DA4" w14:textId="77777777" w:rsidR="00ED60F2" w:rsidRPr="000E50F1" w:rsidRDefault="00ED60F2" w:rsidP="000058DC">
      <w:pPr>
        <w:rPr>
          <w:rFonts w:ascii="Arial" w:hAnsi="Arial" w:cs="Arial"/>
          <w:sz w:val="22"/>
          <w:szCs w:val="22"/>
        </w:rPr>
      </w:pPr>
      <w:r w:rsidRPr="000E50F1">
        <w:rPr>
          <w:rFonts w:ascii="Arial" w:hAnsi="Arial" w:cs="Arial"/>
          <w:sz w:val="22"/>
          <w:szCs w:val="22"/>
        </w:rPr>
        <w:t xml:space="preserve">The research will not benefit you directly. I believe that with your help, this project will potentially benefit our newcomer community, our service providers, and the scientific community overall. I do hope that the result of this study will help us to learn more about mental health amongst newcomer youth in Canada. </w:t>
      </w:r>
    </w:p>
    <w:p w14:paraId="3CAC8B35" w14:textId="77777777" w:rsidR="00ED60F2" w:rsidRPr="000E50F1" w:rsidRDefault="00ED60F2" w:rsidP="000058DC">
      <w:pPr>
        <w:rPr>
          <w:rFonts w:ascii="Arial" w:hAnsi="Arial" w:cs="Arial"/>
          <w:b/>
          <w:sz w:val="22"/>
          <w:szCs w:val="22"/>
        </w:rPr>
      </w:pPr>
    </w:p>
    <w:p w14:paraId="42654932" w14:textId="77777777" w:rsidR="00ED60F2" w:rsidRPr="000E50F1" w:rsidRDefault="00ED60F2" w:rsidP="000058DC">
      <w:pPr>
        <w:rPr>
          <w:rFonts w:ascii="Arial" w:hAnsi="Arial" w:cs="Arial"/>
          <w:b/>
        </w:rPr>
      </w:pPr>
      <w:r w:rsidRPr="000E50F1">
        <w:rPr>
          <w:rFonts w:ascii="Arial" w:hAnsi="Arial" w:cs="Arial"/>
          <w:b/>
        </w:rPr>
        <w:t>Confidentiality:</w:t>
      </w:r>
    </w:p>
    <w:p w14:paraId="42B5CDF1" w14:textId="69C670DE" w:rsidR="00ED60F2" w:rsidRPr="000E50F1" w:rsidRDefault="00ED60F2" w:rsidP="000058DC">
      <w:pPr>
        <w:pStyle w:val="Default"/>
        <w:rPr>
          <w:rFonts w:ascii="Arial" w:hAnsi="Arial" w:cs="Arial"/>
          <w:color w:val="auto"/>
          <w:sz w:val="22"/>
          <w:szCs w:val="22"/>
        </w:rPr>
      </w:pPr>
      <w:r w:rsidRPr="000E50F1">
        <w:rPr>
          <w:rFonts w:ascii="Arial" w:hAnsi="Arial" w:cs="Arial"/>
          <w:color w:val="auto"/>
          <w:sz w:val="22"/>
          <w:szCs w:val="22"/>
        </w:rPr>
        <w:t xml:space="preserve">Every effort will be made to protect your confidentiality and privacy to the best of my ability. I will not use your name or any information that would allow you to be identified. Excerpts from the discussion may be part of the final research report, but under no circumstances will your name be used. Nevertheless, the group of potential participants is small, so there is the possibility that references you make, views you express or examples you give will identify you. Please keep this in mind through the interview. The audio-tapes, </w:t>
      </w:r>
      <w:r w:rsidR="00C85F79" w:rsidRPr="000E50F1">
        <w:rPr>
          <w:rFonts w:ascii="Arial" w:hAnsi="Arial" w:cs="Arial"/>
          <w:color w:val="auto"/>
          <w:sz w:val="22"/>
          <w:szCs w:val="22"/>
        </w:rPr>
        <w:t>handwritten</w:t>
      </w:r>
      <w:r w:rsidRPr="000E50F1">
        <w:rPr>
          <w:rFonts w:ascii="Arial" w:hAnsi="Arial" w:cs="Arial"/>
          <w:color w:val="auto"/>
          <w:sz w:val="22"/>
          <w:szCs w:val="22"/>
        </w:rPr>
        <w:t xml:space="preserve"> notes and transcripts will be locked in the researcher’s cabinet at McMaster University. The digital audio files will also be stored on the researcher’s personal, password-protected computer at McMaster University.  Once the study has been completed, the data will be destroyed. </w:t>
      </w:r>
    </w:p>
    <w:p w14:paraId="53AA7B07" w14:textId="77777777" w:rsidR="00ED60F2" w:rsidRPr="000E50F1" w:rsidRDefault="00ED60F2" w:rsidP="000058DC">
      <w:pPr>
        <w:rPr>
          <w:rFonts w:ascii="Arial" w:hAnsi="Arial" w:cs="Arial"/>
          <w:b/>
          <w:sz w:val="22"/>
          <w:szCs w:val="22"/>
        </w:rPr>
      </w:pPr>
    </w:p>
    <w:p w14:paraId="4E3EABA3" w14:textId="77777777" w:rsidR="00ED60F2" w:rsidRPr="000E50F1" w:rsidRDefault="00ED60F2" w:rsidP="000058DC">
      <w:pPr>
        <w:rPr>
          <w:rFonts w:ascii="Arial" w:hAnsi="Arial" w:cs="Arial"/>
          <w:b/>
        </w:rPr>
      </w:pPr>
      <w:r w:rsidRPr="000E50F1">
        <w:rPr>
          <w:rFonts w:ascii="Arial" w:hAnsi="Arial" w:cs="Arial"/>
          <w:b/>
        </w:rPr>
        <w:t>Participation and Withdrawal:</w:t>
      </w:r>
    </w:p>
    <w:p w14:paraId="554B5BDD" w14:textId="77777777" w:rsidR="00ED60F2" w:rsidRPr="000E50F1" w:rsidRDefault="00ED60F2" w:rsidP="000058DC">
      <w:pPr>
        <w:rPr>
          <w:rFonts w:ascii="Arial" w:hAnsi="Arial" w:cs="Arial"/>
          <w:b/>
          <w:sz w:val="22"/>
          <w:szCs w:val="22"/>
        </w:rPr>
      </w:pPr>
      <w:r w:rsidRPr="000E50F1">
        <w:rPr>
          <w:rFonts w:ascii="Arial" w:hAnsi="Arial" w:cs="Arial"/>
          <w:sz w:val="22"/>
          <w:szCs w:val="22"/>
        </w:rPr>
        <w:t xml:space="preserve">Your participation in this study is voluntary at all times and it is your choice to be part of this research. Your decision whether or not to participate will not affect you in any way. If you decide to participate, you have the ability to stop the interview at any time, even after signing this consent form or part-way through the interview.  You are also free to withdraw from the study without consequences at any point up until January 1, 2015 at which point the analysis will have started. If you decide to withdraw from the study, any data you have provided will then be destroyed unless you indicate otherwise.  As noted above, you can skip any of the questions you like and still remain in the study. </w:t>
      </w:r>
    </w:p>
    <w:p w14:paraId="47100A59" w14:textId="77777777" w:rsidR="00ED60F2" w:rsidRPr="000E50F1" w:rsidRDefault="00ED60F2" w:rsidP="000058DC">
      <w:pPr>
        <w:ind w:firstLine="720"/>
        <w:rPr>
          <w:rFonts w:ascii="Arial" w:hAnsi="Arial" w:cs="Arial"/>
          <w:b/>
          <w:sz w:val="22"/>
          <w:szCs w:val="22"/>
        </w:rPr>
      </w:pPr>
    </w:p>
    <w:p w14:paraId="4D69C2BC" w14:textId="77777777" w:rsidR="00ED60F2" w:rsidRPr="000E50F1" w:rsidRDefault="00ED60F2" w:rsidP="000058DC">
      <w:pPr>
        <w:rPr>
          <w:rFonts w:ascii="Arial" w:hAnsi="Arial" w:cs="Arial"/>
          <w:b/>
        </w:rPr>
      </w:pPr>
      <w:r w:rsidRPr="000E50F1">
        <w:rPr>
          <w:rFonts w:ascii="Arial" w:hAnsi="Arial" w:cs="Arial"/>
          <w:b/>
        </w:rPr>
        <w:t>Information about the Study Results:</w:t>
      </w:r>
    </w:p>
    <w:p w14:paraId="6D608E4B" w14:textId="77777777" w:rsidR="00ED60F2" w:rsidRPr="000E50F1" w:rsidRDefault="00ED60F2" w:rsidP="000058DC">
      <w:pPr>
        <w:rPr>
          <w:rFonts w:ascii="Arial" w:hAnsi="Arial" w:cs="Arial"/>
          <w:sz w:val="22"/>
          <w:szCs w:val="22"/>
        </w:rPr>
      </w:pPr>
      <w:r w:rsidRPr="000E50F1">
        <w:rPr>
          <w:rFonts w:ascii="Arial" w:hAnsi="Arial" w:cs="Arial"/>
          <w:sz w:val="22"/>
          <w:szCs w:val="22"/>
        </w:rPr>
        <w:t>Following the project completion, the results will be written up in a summary report, and in a manuscript format for publication in a peer reviewed journal. I expect to have the final draft of the study results (in both formats) completed by May 2015. If you would like to obtain a copy of the summary report or the manuscript, please request a copy below and provide the necessary information.</w:t>
      </w:r>
    </w:p>
    <w:p w14:paraId="2C3FD7F2" w14:textId="77777777" w:rsidR="00ED60F2" w:rsidRPr="000E50F1" w:rsidRDefault="00ED60F2" w:rsidP="000058DC">
      <w:pPr>
        <w:rPr>
          <w:rFonts w:ascii="Arial" w:hAnsi="Arial" w:cs="Arial"/>
          <w:b/>
          <w:sz w:val="22"/>
          <w:szCs w:val="22"/>
        </w:rPr>
      </w:pPr>
    </w:p>
    <w:p w14:paraId="284C2CC4" w14:textId="77777777" w:rsidR="00ED60F2" w:rsidRPr="000E50F1" w:rsidRDefault="00ED60F2" w:rsidP="000058DC">
      <w:pPr>
        <w:rPr>
          <w:rFonts w:ascii="Arial" w:hAnsi="Arial" w:cs="Arial"/>
          <w:b/>
        </w:rPr>
      </w:pPr>
      <w:r w:rsidRPr="000E50F1">
        <w:rPr>
          <w:rFonts w:ascii="Arial" w:hAnsi="Arial" w:cs="Arial"/>
          <w:b/>
        </w:rPr>
        <w:t>Questions about the Study:</w:t>
      </w:r>
    </w:p>
    <w:p w14:paraId="0D5E2A7B" w14:textId="77777777" w:rsidR="00ED60F2" w:rsidRPr="000E50F1" w:rsidRDefault="00ED60F2" w:rsidP="000058DC">
      <w:pPr>
        <w:rPr>
          <w:rFonts w:ascii="Arial" w:hAnsi="Arial" w:cs="Arial"/>
          <w:sz w:val="22"/>
          <w:szCs w:val="22"/>
        </w:rPr>
      </w:pPr>
      <w:r w:rsidRPr="000E50F1">
        <w:rPr>
          <w:rFonts w:ascii="Arial" w:hAnsi="Arial" w:cs="Arial"/>
          <w:sz w:val="22"/>
          <w:szCs w:val="22"/>
        </w:rPr>
        <w:t>This study has been reviewed and approved by the McMaster Research Ethics Board.  If you have any concerns or questions about your involvement and rights as a participant or about the way the study is conducted, you may contact:</w:t>
      </w:r>
    </w:p>
    <w:p w14:paraId="70906AE6" w14:textId="77777777" w:rsidR="00ED60F2" w:rsidRPr="000E50F1" w:rsidRDefault="00ED60F2" w:rsidP="000058DC">
      <w:pPr>
        <w:jc w:val="center"/>
        <w:rPr>
          <w:rFonts w:ascii="Arial" w:hAnsi="Arial" w:cs="Arial"/>
          <w:sz w:val="22"/>
          <w:szCs w:val="22"/>
        </w:rPr>
      </w:pPr>
    </w:p>
    <w:p w14:paraId="1D7DB03A" w14:textId="6E7D5DED" w:rsidR="00ED60F2" w:rsidRPr="000E50F1" w:rsidRDefault="00ED60F2" w:rsidP="000058DC">
      <w:pPr>
        <w:jc w:val="center"/>
        <w:rPr>
          <w:rFonts w:ascii="Arial" w:hAnsi="Arial" w:cs="Arial"/>
        </w:rPr>
      </w:pPr>
      <w:r w:rsidRPr="000E50F1">
        <w:rPr>
          <w:rFonts w:ascii="Arial" w:hAnsi="Arial" w:cs="Arial"/>
          <w:b/>
        </w:rPr>
        <w:t>McMaster Research Ethics Board Secretariat</w:t>
      </w:r>
    </w:p>
    <w:p w14:paraId="79DE6AB9" w14:textId="5A893E3D" w:rsidR="00ED60F2" w:rsidRPr="000E50F1" w:rsidRDefault="00ED60F2" w:rsidP="000058DC">
      <w:pPr>
        <w:jc w:val="center"/>
        <w:rPr>
          <w:rFonts w:ascii="Arial" w:hAnsi="Arial" w:cs="Arial"/>
          <w:sz w:val="22"/>
          <w:szCs w:val="22"/>
        </w:rPr>
      </w:pPr>
      <w:r w:rsidRPr="000E50F1">
        <w:rPr>
          <w:rFonts w:ascii="Arial" w:hAnsi="Arial" w:cs="Arial"/>
          <w:sz w:val="22"/>
          <w:szCs w:val="22"/>
        </w:rPr>
        <w:t>Telephone: (905) 525-9140 ext. 23142</w:t>
      </w:r>
    </w:p>
    <w:p w14:paraId="64B12A40" w14:textId="5E258ECA" w:rsidR="00ED60F2" w:rsidRPr="000E50F1" w:rsidRDefault="00ED60F2" w:rsidP="000058DC">
      <w:pPr>
        <w:jc w:val="center"/>
        <w:rPr>
          <w:rFonts w:ascii="Arial" w:hAnsi="Arial" w:cs="Arial"/>
          <w:sz w:val="22"/>
          <w:szCs w:val="22"/>
        </w:rPr>
      </w:pPr>
      <w:r w:rsidRPr="000E50F1">
        <w:rPr>
          <w:rFonts w:ascii="Arial" w:hAnsi="Arial" w:cs="Arial"/>
          <w:sz w:val="22"/>
          <w:szCs w:val="22"/>
        </w:rPr>
        <w:t>c/o Office of Research Services</w:t>
      </w:r>
    </w:p>
    <w:p w14:paraId="364AC725" w14:textId="640532DD" w:rsidR="00ED60F2" w:rsidRPr="000E50F1" w:rsidRDefault="00ED60F2" w:rsidP="000058DC">
      <w:pPr>
        <w:jc w:val="center"/>
        <w:rPr>
          <w:rFonts w:ascii="Arial" w:hAnsi="Arial" w:cs="Arial"/>
          <w:sz w:val="22"/>
          <w:szCs w:val="22"/>
        </w:rPr>
      </w:pPr>
      <w:r w:rsidRPr="000E50F1">
        <w:rPr>
          <w:rFonts w:ascii="Arial" w:hAnsi="Arial" w:cs="Arial"/>
          <w:sz w:val="22"/>
          <w:szCs w:val="22"/>
        </w:rPr>
        <w:t xml:space="preserve">E-mail: </w:t>
      </w:r>
      <w:hyperlink r:id="rId57" w:history="1">
        <w:r w:rsidRPr="000E50F1">
          <w:rPr>
            <w:rFonts w:ascii="Arial" w:hAnsi="Arial" w:cs="Arial"/>
            <w:sz w:val="22"/>
            <w:szCs w:val="22"/>
          </w:rPr>
          <w:t>ethicsoffice@mcmaster.ca</w:t>
        </w:r>
      </w:hyperlink>
    </w:p>
    <w:p w14:paraId="770FD23C" w14:textId="2A051BEA" w:rsidR="00ED60F2" w:rsidRPr="000E50F1" w:rsidRDefault="00ED60F2" w:rsidP="00ED60F2">
      <w:pPr>
        <w:rPr>
          <w:rFonts w:ascii="Arial" w:hAnsi="Arial" w:cs="Arial"/>
        </w:rPr>
      </w:pPr>
      <w:r w:rsidRPr="000E50F1">
        <w:rPr>
          <w:rFonts w:ascii="Calibri" w:hAnsi="Calibri"/>
        </w:rPr>
        <w:br w:type="page"/>
      </w:r>
      <w:r w:rsidR="00424888" w:rsidRPr="000E50F1">
        <w:rPr>
          <w:rFonts w:ascii="Arial" w:hAnsi="Arial" w:cs="Arial"/>
        </w:rPr>
        <w:lastRenderedPageBreak/>
        <w:t>I</w:t>
      </w:r>
      <w:r w:rsidRPr="000E50F1">
        <w:rPr>
          <w:rFonts w:ascii="Arial" w:hAnsi="Arial" w:cs="Arial"/>
        </w:rPr>
        <w:t>nterview #: __________</w:t>
      </w:r>
    </w:p>
    <w:p w14:paraId="5B269EA6" w14:textId="43756AD1" w:rsidR="00ED60F2" w:rsidRPr="000E50F1" w:rsidRDefault="00ED60F2" w:rsidP="00ED60F2">
      <w:pPr>
        <w:rPr>
          <w:rFonts w:ascii="Arial" w:hAnsi="Arial" w:cs="Arial"/>
          <w:b/>
          <w:sz w:val="22"/>
          <w:szCs w:val="22"/>
          <w:lang w:val="pt-BR"/>
        </w:rPr>
      </w:pPr>
    </w:p>
    <w:p w14:paraId="0A8FAD52" w14:textId="77777777" w:rsidR="000972E9" w:rsidRPr="000E50F1" w:rsidRDefault="000972E9" w:rsidP="00ED60F2">
      <w:pPr>
        <w:rPr>
          <w:rFonts w:ascii="Arial" w:hAnsi="Arial" w:cs="Arial"/>
          <w:b/>
          <w:sz w:val="22"/>
          <w:szCs w:val="22"/>
          <w:lang w:val="pt-BR"/>
        </w:rPr>
      </w:pPr>
    </w:p>
    <w:p w14:paraId="73A1228A" w14:textId="77777777" w:rsidR="00ED60F2" w:rsidRPr="000E50F1" w:rsidRDefault="00ED60F2" w:rsidP="0046387C">
      <w:pPr>
        <w:pBdr>
          <w:bottom w:val="single" w:sz="4" w:space="1" w:color="auto"/>
        </w:pBdr>
        <w:jc w:val="center"/>
        <w:rPr>
          <w:rFonts w:ascii="Arial" w:hAnsi="Arial" w:cs="Arial"/>
          <w:b/>
          <w:sz w:val="22"/>
          <w:szCs w:val="22"/>
          <w:lang w:val="pt-BR"/>
        </w:rPr>
      </w:pPr>
      <w:r w:rsidRPr="000E50F1">
        <w:rPr>
          <w:rFonts w:ascii="Arial" w:hAnsi="Arial" w:cs="Arial"/>
          <w:b/>
          <w:sz w:val="22"/>
          <w:szCs w:val="22"/>
          <w:lang w:val="pt-BR"/>
        </w:rPr>
        <w:t>WRITTEN CONSENT</w:t>
      </w:r>
    </w:p>
    <w:p w14:paraId="07B6F8FB" w14:textId="77777777" w:rsidR="00ED60F2" w:rsidRPr="000E50F1" w:rsidRDefault="00ED60F2" w:rsidP="00ED60F2">
      <w:pPr>
        <w:rPr>
          <w:rFonts w:ascii="Arial" w:hAnsi="Arial" w:cs="Arial"/>
          <w:b/>
          <w:sz w:val="22"/>
          <w:szCs w:val="22"/>
          <w:lang w:val="pt-BR"/>
        </w:rPr>
      </w:pPr>
    </w:p>
    <w:p w14:paraId="117A5794" w14:textId="77777777" w:rsidR="00ED60F2" w:rsidRPr="000E50F1" w:rsidRDefault="00ED60F2" w:rsidP="000972E9">
      <w:pPr>
        <w:rPr>
          <w:rFonts w:ascii="Arial" w:hAnsi="Arial" w:cs="Arial"/>
          <w:sz w:val="22"/>
          <w:szCs w:val="22"/>
        </w:rPr>
      </w:pPr>
      <w:r w:rsidRPr="000E50F1">
        <w:rPr>
          <w:rFonts w:ascii="Arial" w:hAnsi="Arial" w:cs="Arial"/>
          <w:sz w:val="22"/>
          <w:szCs w:val="22"/>
        </w:rPr>
        <w:t>I have read the information presented in the information letter about a study being conducted by Huyen Dam of McMaster University.  I have had the opportunity to ask questions about my involvement in this study, and to receive any additional details I wanted to know about the study.  I understand that I may withdraw from the study at any time, if I choose to do so, and I agree to participate in this study.  I have been given a copy of this form.</w:t>
      </w:r>
    </w:p>
    <w:p w14:paraId="1D7E8A8E" w14:textId="77777777" w:rsidR="00ED60F2" w:rsidRPr="000E50F1" w:rsidRDefault="00ED60F2" w:rsidP="00ED60F2">
      <w:pPr>
        <w:rPr>
          <w:rFonts w:ascii="Arial" w:hAnsi="Arial" w:cs="Arial"/>
          <w:sz w:val="22"/>
          <w:szCs w:val="22"/>
        </w:rPr>
      </w:pPr>
    </w:p>
    <w:p w14:paraId="1A962F7F" w14:textId="77777777" w:rsidR="00ED60F2" w:rsidRPr="000E50F1" w:rsidRDefault="00ED60F2" w:rsidP="00ED60F2">
      <w:pPr>
        <w:autoSpaceDE w:val="0"/>
        <w:autoSpaceDN w:val="0"/>
        <w:adjustRightInd w:val="0"/>
        <w:rPr>
          <w:rFonts w:ascii="Arial" w:hAnsi="Arial" w:cs="Arial"/>
          <w:sz w:val="22"/>
          <w:szCs w:val="22"/>
        </w:rPr>
      </w:pPr>
    </w:p>
    <w:p w14:paraId="0EA8E0AC" w14:textId="77777777" w:rsidR="00ED60F2" w:rsidRPr="000E50F1" w:rsidRDefault="00ED60F2" w:rsidP="00ED60F2">
      <w:pPr>
        <w:autoSpaceDE w:val="0"/>
        <w:autoSpaceDN w:val="0"/>
        <w:adjustRightInd w:val="0"/>
        <w:rPr>
          <w:rFonts w:ascii="Arial" w:hAnsi="Arial" w:cs="Arial"/>
          <w:sz w:val="22"/>
          <w:szCs w:val="22"/>
        </w:rPr>
      </w:pPr>
      <w:r w:rsidRPr="000E50F1">
        <w:rPr>
          <w:rFonts w:ascii="Arial" w:hAnsi="Arial" w:cs="Arial"/>
          <w:sz w:val="22"/>
          <w:szCs w:val="22"/>
        </w:rPr>
        <w:t>I agree that the interview can be audio recorded:</w:t>
      </w:r>
    </w:p>
    <w:p w14:paraId="7FBFEF89" w14:textId="77777777" w:rsidR="00ED60F2" w:rsidRPr="000E50F1" w:rsidRDefault="00ED60F2" w:rsidP="00ED60F2">
      <w:pPr>
        <w:autoSpaceDE w:val="0"/>
        <w:autoSpaceDN w:val="0"/>
        <w:adjustRightInd w:val="0"/>
        <w:ind w:left="360" w:firstLine="360"/>
        <w:rPr>
          <w:rFonts w:ascii="Arial" w:hAnsi="Arial" w:cs="Arial"/>
          <w:sz w:val="22"/>
          <w:szCs w:val="22"/>
        </w:rPr>
      </w:pPr>
      <w:r w:rsidRPr="000E50F1">
        <w:rPr>
          <w:rFonts w:ascii="Arial" w:hAnsi="Arial" w:cs="Arial"/>
          <w:sz w:val="40"/>
          <w:szCs w:val="22"/>
        </w:rPr>
        <w:t xml:space="preserve">□ </w:t>
      </w:r>
      <w:r w:rsidRPr="000E50F1">
        <w:rPr>
          <w:rFonts w:ascii="Arial" w:hAnsi="Arial" w:cs="Arial"/>
          <w:sz w:val="22"/>
          <w:szCs w:val="22"/>
        </w:rPr>
        <w:t>Yes</w:t>
      </w:r>
    </w:p>
    <w:p w14:paraId="01555ECC" w14:textId="77777777" w:rsidR="00ED60F2" w:rsidRPr="000E50F1" w:rsidRDefault="00ED60F2" w:rsidP="00ED60F2">
      <w:pPr>
        <w:autoSpaceDE w:val="0"/>
        <w:autoSpaceDN w:val="0"/>
        <w:adjustRightInd w:val="0"/>
        <w:ind w:left="360" w:firstLine="360"/>
        <w:rPr>
          <w:rFonts w:ascii="Arial" w:hAnsi="Arial" w:cs="Arial"/>
          <w:sz w:val="22"/>
          <w:szCs w:val="22"/>
        </w:rPr>
      </w:pPr>
      <w:r w:rsidRPr="000E50F1">
        <w:rPr>
          <w:rFonts w:ascii="Arial" w:hAnsi="Arial" w:cs="Arial"/>
          <w:sz w:val="40"/>
          <w:szCs w:val="22"/>
        </w:rPr>
        <w:t xml:space="preserve">□ </w:t>
      </w:r>
      <w:r w:rsidRPr="000E50F1">
        <w:rPr>
          <w:rFonts w:ascii="Arial" w:hAnsi="Arial" w:cs="Arial"/>
          <w:sz w:val="22"/>
          <w:szCs w:val="22"/>
        </w:rPr>
        <w:t>No</w:t>
      </w:r>
    </w:p>
    <w:p w14:paraId="43226DAF" w14:textId="77777777" w:rsidR="00ED60F2" w:rsidRPr="000E50F1" w:rsidRDefault="00ED60F2" w:rsidP="00ED60F2">
      <w:pPr>
        <w:rPr>
          <w:rFonts w:ascii="Arial" w:hAnsi="Arial" w:cs="Arial"/>
          <w:sz w:val="22"/>
          <w:szCs w:val="22"/>
        </w:rPr>
      </w:pPr>
    </w:p>
    <w:p w14:paraId="37E6640D" w14:textId="77777777" w:rsidR="00ED60F2" w:rsidRPr="000E50F1" w:rsidRDefault="00ED60F2" w:rsidP="00ED60F2">
      <w:pPr>
        <w:rPr>
          <w:rFonts w:ascii="Arial" w:hAnsi="Arial" w:cs="Arial"/>
        </w:rPr>
      </w:pPr>
    </w:p>
    <w:p w14:paraId="1C99176C" w14:textId="2E2B5F26" w:rsidR="00ED60F2" w:rsidRPr="000E50F1" w:rsidRDefault="00ED60F2" w:rsidP="00ED60F2">
      <w:pPr>
        <w:rPr>
          <w:rFonts w:ascii="Arial" w:hAnsi="Arial" w:cs="Arial"/>
        </w:rPr>
      </w:pPr>
      <w:r w:rsidRPr="000E50F1">
        <w:rPr>
          <w:rFonts w:ascii="Arial" w:hAnsi="Arial" w:cs="Arial"/>
        </w:rPr>
        <w:t>______________________________________________</w:t>
      </w:r>
    </w:p>
    <w:p w14:paraId="382455C3" w14:textId="77777777" w:rsidR="00ED60F2" w:rsidRPr="000E50F1" w:rsidRDefault="00ED60F2" w:rsidP="00ED60F2">
      <w:pPr>
        <w:rPr>
          <w:rFonts w:ascii="Arial" w:hAnsi="Arial" w:cs="Arial"/>
          <w:sz w:val="22"/>
          <w:szCs w:val="22"/>
        </w:rPr>
      </w:pPr>
      <w:r w:rsidRPr="000E50F1">
        <w:rPr>
          <w:rFonts w:ascii="Arial" w:hAnsi="Arial" w:cs="Arial"/>
          <w:sz w:val="22"/>
          <w:szCs w:val="22"/>
        </w:rPr>
        <w:t xml:space="preserve">Name of Participant </w:t>
      </w:r>
    </w:p>
    <w:p w14:paraId="64FAF746" w14:textId="16F006F9" w:rsidR="00ED60F2" w:rsidRPr="000E50F1" w:rsidRDefault="00ED60F2" w:rsidP="00ED60F2">
      <w:pPr>
        <w:rPr>
          <w:rFonts w:ascii="Arial" w:hAnsi="Arial" w:cs="Arial"/>
        </w:rPr>
      </w:pPr>
    </w:p>
    <w:p w14:paraId="11482B1E" w14:textId="77777777" w:rsidR="000972E9" w:rsidRPr="000E50F1" w:rsidRDefault="000972E9" w:rsidP="00ED60F2">
      <w:pPr>
        <w:rPr>
          <w:rFonts w:ascii="Arial" w:hAnsi="Arial" w:cs="Arial"/>
        </w:rPr>
      </w:pPr>
    </w:p>
    <w:p w14:paraId="0AED25AE" w14:textId="3428F64C" w:rsidR="00ED60F2" w:rsidRPr="000E50F1" w:rsidRDefault="00ED60F2" w:rsidP="00ED60F2">
      <w:pPr>
        <w:rPr>
          <w:rFonts w:ascii="Arial" w:hAnsi="Arial" w:cs="Arial"/>
        </w:rPr>
      </w:pPr>
      <w:r w:rsidRPr="000E50F1">
        <w:rPr>
          <w:rFonts w:ascii="Arial" w:hAnsi="Arial" w:cs="Arial"/>
        </w:rPr>
        <w:t>______________________________________________</w:t>
      </w:r>
      <w:r w:rsidRPr="000E50F1">
        <w:rPr>
          <w:rFonts w:ascii="Arial" w:hAnsi="Arial" w:cs="Arial"/>
        </w:rPr>
        <w:tab/>
        <w:t xml:space="preserve">     </w:t>
      </w:r>
    </w:p>
    <w:p w14:paraId="46CB313E" w14:textId="471C8589" w:rsidR="00ED60F2" w:rsidRPr="000E50F1" w:rsidRDefault="00ED60F2" w:rsidP="00ED60F2">
      <w:pPr>
        <w:rPr>
          <w:rFonts w:ascii="Arial" w:hAnsi="Arial" w:cs="Arial"/>
          <w:sz w:val="22"/>
          <w:szCs w:val="22"/>
        </w:rPr>
      </w:pPr>
      <w:r w:rsidRPr="000E50F1">
        <w:rPr>
          <w:rFonts w:ascii="Arial" w:hAnsi="Arial" w:cs="Arial"/>
          <w:sz w:val="22"/>
          <w:szCs w:val="22"/>
        </w:rPr>
        <w:t xml:space="preserve">Signature of Participant                                                                                                                                    </w:t>
      </w:r>
    </w:p>
    <w:p w14:paraId="7C2CF7BA" w14:textId="18AADB44" w:rsidR="00ED60F2" w:rsidRPr="000E50F1" w:rsidRDefault="00ED60F2" w:rsidP="00ED60F2">
      <w:pPr>
        <w:rPr>
          <w:rFonts w:ascii="Arial" w:hAnsi="Arial" w:cs="Arial"/>
        </w:rPr>
      </w:pPr>
    </w:p>
    <w:p w14:paraId="6DAA9079" w14:textId="77777777" w:rsidR="000972E9" w:rsidRPr="000E50F1" w:rsidRDefault="000972E9" w:rsidP="00ED60F2">
      <w:pPr>
        <w:rPr>
          <w:rFonts w:ascii="Arial" w:hAnsi="Arial" w:cs="Arial"/>
        </w:rPr>
      </w:pPr>
    </w:p>
    <w:p w14:paraId="77C37227" w14:textId="77777777" w:rsidR="000972E9" w:rsidRPr="000E50F1" w:rsidRDefault="000972E9" w:rsidP="00ED60F2">
      <w:pPr>
        <w:rPr>
          <w:rFonts w:ascii="Arial" w:hAnsi="Arial" w:cs="Arial"/>
        </w:rPr>
      </w:pPr>
      <w:r w:rsidRPr="000E50F1">
        <w:rPr>
          <w:rFonts w:ascii="Arial" w:hAnsi="Arial" w:cs="Arial"/>
        </w:rPr>
        <w:t>______________________________________________</w:t>
      </w:r>
    </w:p>
    <w:p w14:paraId="1C366F37" w14:textId="4AD1BBC2" w:rsidR="000972E9" w:rsidRPr="000E50F1" w:rsidRDefault="000972E9" w:rsidP="00ED60F2">
      <w:pPr>
        <w:rPr>
          <w:rFonts w:ascii="Arial" w:hAnsi="Arial" w:cs="Arial"/>
          <w:sz w:val="22"/>
          <w:szCs w:val="22"/>
        </w:rPr>
      </w:pPr>
      <w:r w:rsidRPr="000E50F1">
        <w:rPr>
          <w:rFonts w:ascii="Arial" w:hAnsi="Arial" w:cs="Arial"/>
          <w:sz w:val="22"/>
          <w:szCs w:val="22"/>
        </w:rPr>
        <w:t>Date</w:t>
      </w:r>
      <w:r w:rsidR="00326D14" w:rsidRPr="000E50F1">
        <w:rPr>
          <w:rFonts w:ascii="Arial" w:hAnsi="Arial" w:cs="Arial"/>
          <w:sz w:val="22"/>
          <w:szCs w:val="22"/>
        </w:rPr>
        <w:t xml:space="preserve"> </w:t>
      </w:r>
    </w:p>
    <w:p w14:paraId="6428A376" w14:textId="77777777" w:rsidR="00ED60F2" w:rsidRPr="000E50F1" w:rsidRDefault="00ED60F2" w:rsidP="00ED60F2">
      <w:pPr>
        <w:rPr>
          <w:rFonts w:ascii="Arial" w:hAnsi="Arial" w:cs="Arial"/>
          <w:sz w:val="22"/>
          <w:szCs w:val="22"/>
        </w:rPr>
      </w:pPr>
    </w:p>
    <w:p w14:paraId="0613E0AE" w14:textId="77777777" w:rsidR="00ED60F2" w:rsidRPr="000E50F1" w:rsidRDefault="00ED60F2" w:rsidP="00ED60F2">
      <w:pPr>
        <w:rPr>
          <w:rFonts w:ascii="Arial" w:hAnsi="Arial" w:cs="Arial"/>
          <w:sz w:val="22"/>
          <w:szCs w:val="22"/>
        </w:rPr>
      </w:pPr>
    </w:p>
    <w:p w14:paraId="439F1B86" w14:textId="77777777" w:rsidR="00ED60F2" w:rsidRPr="000E50F1" w:rsidRDefault="00ED60F2" w:rsidP="00ED60F2">
      <w:pPr>
        <w:rPr>
          <w:rFonts w:ascii="Arial" w:hAnsi="Arial" w:cs="Arial"/>
          <w:sz w:val="22"/>
          <w:szCs w:val="22"/>
        </w:rPr>
      </w:pPr>
      <w:r w:rsidRPr="000E50F1">
        <w:rPr>
          <w:rFonts w:ascii="Arial" w:hAnsi="Arial" w:cs="Arial"/>
          <w:sz w:val="22"/>
          <w:szCs w:val="22"/>
        </w:rPr>
        <w:t>If you would like to receive the result of the study’s results, please provide us with your e-mail or mailing address.</w:t>
      </w:r>
    </w:p>
    <w:p w14:paraId="49EFB2E1" w14:textId="77777777" w:rsidR="00ED60F2" w:rsidRPr="000E50F1" w:rsidRDefault="00ED60F2" w:rsidP="00ED60F2">
      <w:pPr>
        <w:rPr>
          <w:rFonts w:ascii="Arial" w:hAnsi="Arial" w:cs="Arial"/>
          <w:sz w:val="22"/>
          <w:szCs w:val="22"/>
        </w:rPr>
      </w:pPr>
    </w:p>
    <w:p w14:paraId="0BAE3B5B" w14:textId="77777777" w:rsidR="00ED60F2" w:rsidRPr="000E50F1" w:rsidRDefault="00ED60F2" w:rsidP="00BC2822">
      <w:pPr>
        <w:numPr>
          <w:ilvl w:val="0"/>
          <w:numId w:val="5"/>
        </w:numPr>
        <w:rPr>
          <w:rFonts w:ascii="Arial" w:hAnsi="Arial" w:cs="Arial"/>
          <w:sz w:val="22"/>
          <w:szCs w:val="22"/>
        </w:rPr>
      </w:pPr>
      <w:r w:rsidRPr="000E50F1">
        <w:rPr>
          <w:rFonts w:ascii="Arial" w:hAnsi="Arial" w:cs="Arial"/>
          <w:sz w:val="40"/>
          <w:szCs w:val="22"/>
        </w:rPr>
        <w:t xml:space="preserve">□ </w:t>
      </w:r>
      <w:r w:rsidRPr="000E50F1">
        <w:rPr>
          <w:rFonts w:ascii="Arial" w:hAnsi="Arial" w:cs="Arial"/>
          <w:sz w:val="22"/>
          <w:szCs w:val="22"/>
        </w:rPr>
        <w:t xml:space="preserve">Yes, I would to obtain a copy of the </w:t>
      </w:r>
      <w:r w:rsidRPr="000E50F1">
        <w:rPr>
          <w:rFonts w:ascii="Arial" w:hAnsi="Arial" w:cs="Arial"/>
          <w:b/>
          <w:sz w:val="22"/>
          <w:szCs w:val="22"/>
        </w:rPr>
        <w:t>Summary Report</w:t>
      </w:r>
    </w:p>
    <w:p w14:paraId="3627CED4" w14:textId="77777777" w:rsidR="00ED60F2" w:rsidRPr="000E50F1" w:rsidRDefault="00ED60F2" w:rsidP="00BC2822">
      <w:pPr>
        <w:numPr>
          <w:ilvl w:val="0"/>
          <w:numId w:val="5"/>
        </w:numPr>
        <w:rPr>
          <w:rFonts w:ascii="Arial" w:hAnsi="Arial" w:cs="Arial"/>
          <w:sz w:val="22"/>
          <w:szCs w:val="22"/>
        </w:rPr>
      </w:pPr>
      <w:r w:rsidRPr="000E50F1">
        <w:rPr>
          <w:rFonts w:ascii="Arial" w:hAnsi="Arial" w:cs="Arial"/>
          <w:sz w:val="40"/>
          <w:szCs w:val="40"/>
        </w:rPr>
        <w:t>□</w:t>
      </w:r>
      <w:r w:rsidRPr="000E50F1">
        <w:rPr>
          <w:rFonts w:ascii="Arial" w:hAnsi="Arial" w:cs="Arial"/>
          <w:sz w:val="22"/>
          <w:szCs w:val="22"/>
        </w:rPr>
        <w:t xml:space="preserve">  Yes, I would to obtain a draft copy of the </w:t>
      </w:r>
      <w:r w:rsidRPr="000E50F1">
        <w:rPr>
          <w:rFonts w:ascii="Arial" w:hAnsi="Arial" w:cs="Arial"/>
          <w:b/>
          <w:sz w:val="22"/>
          <w:szCs w:val="22"/>
        </w:rPr>
        <w:t>Peer Reviewed Manuscript</w:t>
      </w:r>
    </w:p>
    <w:p w14:paraId="30365A68" w14:textId="2999F41C" w:rsidR="00ED60F2" w:rsidRPr="000E50F1" w:rsidRDefault="00ED60F2" w:rsidP="00ED60F2">
      <w:pPr>
        <w:pStyle w:val="ListParagraph"/>
        <w:ind w:left="0"/>
        <w:rPr>
          <w:rFonts w:ascii="Arial" w:hAnsi="Arial" w:cs="Arial"/>
          <w:sz w:val="22"/>
        </w:rPr>
      </w:pPr>
    </w:p>
    <w:p w14:paraId="12368E72" w14:textId="77777777" w:rsidR="0074621C" w:rsidRPr="000E50F1" w:rsidRDefault="0074621C" w:rsidP="00ED60F2">
      <w:pPr>
        <w:pStyle w:val="ListParagraph"/>
        <w:ind w:left="0"/>
        <w:rPr>
          <w:rFonts w:ascii="Arial" w:hAnsi="Arial" w:cs="Arial"/>
          <w:sz w:val="22"/>
        </w:rPr>
      </w:pPr>
    </w:p>
    <w:p w14:paraId="4C28F86B" w14:textId="597B7534" w:rsidR="00ED60F2" w:rsidRPr="000E50F1" w:rsidRDefault="00ED60F2" w:rsidP="00BC2822">
      <w:pPr>
        <w:pStyle w:val="ListParagraph"/>
        <w:numPr>
          <w:ilvl w:val="0"/>
          <w:numId w:val="5"/>
        </w:numPr>
        <w:spacing w:after="0" w:line="240" w:lineRule="auto"/>
        <w:rPr>
          <w:rFonts w:ascii="Arial" w:hAnsi="Arial" w:cs="Arial"/>
          <w:sz w:val="22"/>
        </w:rPr>
      </w:pPr>
      <w:r w:rsidRPr="000E50F1">
        <w:rPr>
          <w:rFonts w:ascii="Arial" w:hAnsi="Arial" w:cs="Arial"/>
          <w:sz w:val="22"/>
        </w:rPr>
        <w:t xml:space="preserve">Email: </w:t>
      </w:r>
    </w:p>
    <w:p w14:paraId="336A52F4" w14:textId="77777777" w:rsidR="0074621C" w:rsidRPr="000E50F1" w:rsidRDefault="0074621C" w:rsidP="0074621C">
      <w:pPr>
        <w:pStyle w:val="ListParagraph"/>
        <w:rPr>
          <w:rFonts w:ascii="Arial" w:hAnsi="Arial" w:cs="Arial"/>
          <w:sz w:val="22"/>
        </w:rPr>
      </w:pPr>
    </w:p>
    <w:p w14:paraId="704C1FBC" w14:textId="77777777" w:rsidR="0074621C" w:rsidRPr="000E50F1" w:rsidRDefault="0074621C" w:rsidP="0074621C">
      <w:pPr>
        <w:pStyle w:val="ListParagraph"/>
        <w:spacing w:after="0" w:line="240" w:lineRule="auto"/>
        <w:ind w:left="1080"/>
        <w:rPr>
          <w:rFonts w:ascii="Arial" w:hAnsi="Arial" w:cs="Arial"/>
          <w:sz w:val="22"/>
        </w:rPr>
      </w:pPr>
    </w:p>
    <w:p w14:paraId="5ACF044D" w14:textId="77777777" w:rsidR="00ED60F2" w:rsidRPr="000E50F1" w:rsidRDefault="00ED60F2" w:rsidP="00BC2822">
      <w:pPr>
        <w:pStyle w:val="ListParagraph"/>
        <w:numPr>
          <w:ilvl w:val="0"/>
          <w:numId w:val="5"/>
        </w:numPr>
        <w:spacing w:after="0" w:line="240" w:lineRule="auto"/>
        <w:rPr>
          <w:rFonts w:ascii="Arial" w:hAnsi="Arial" w:cs="Arial"/>
          <w:sz w:val="22"/>
        </w:rPr>
      </w:pPr>
      <w:r w:rsidRPr="000E50F1">
        <w:rPr>
          <w:rFonts w:ascii="Arial" w:hAnsi="Arial" w:cs="Arial"/>
          <w:sz w:val="22"/>
        </w:rPr>
        <w:t>Mailing address:</w:t>
      </w:r>
    </w:p>
    <w:p w14:paraId="306EB5C7" w14:textId="3E702406" w:rsidR="00ED60F2" w:rsidRPr="000E50F1" w:rsidRDefault="00ED60F2" w:rsidP="00424888">
      <w:pPr>
        <w:spacing w:after="240"/>
        <w:rPr>
          <w:rFonts w:ascii="Calibri" w:hAnsi="Calibri"/>
          <w:sz w:val="22"/>
          <w:szCs w:val="22"/>
        </w:rPr>
      </w:pPr>
      <w:r w:rsidRPr="000E50F1">
        <w:rPr>
          <w:rFonts w:ascii="Calibri" w:hAnsi="Calibri"/>
          <w:sz w:val="22"/>
          <w:szCs w:val="22"/>
        </w:rPr>
        <w:tab/>
      </w:r>
    </w:p>
    <w:p w14:paraId="748F109D" w14:textId="086789F8" w:rsidR="00F46663" w:rsidRPr="000E50F1" w:rsidRDefault="00A058E9" w:rsidP="00E95A3E">
      <w:pPr>
        <w:pStyle w:val="Heading1"/>
        <w:spacing w:before="0" w:line="240" w:lineRule="auto"/>
        <w:jc w:val="center"/>
        <w:rPr>
          <w:rFonts w:ascii="Times" w:eastAsia="Calibri" w:hAnsi="Times"/>
          <w:b w:val="0"/>
          <w:bCs/>
          <w:color w:val="auto"/>
          <w:sz w:val="24"/>
          <w:szCs w:val="24"/>
        </w:rPr>
      </w:pPr>
      <w:bookmarkStart w:id="39" w:name="_Toc60231906"/>
      <w:r w:rsidRPr="000E50F1">
        <w:rPr>
          <w:rFonts w:ascii="Times" w:eastAsia="Calibri" w:hAnsi="Times"/>
          <w:color w:val="auto"/>
          <w:sz w:val="24"/>
          <w:szCs w:val="24"/>
        </w:rPr>
        <w:lastRenderedPageBreak/>
        <w:t xml:space="preserve">APPENDIX </w:t>
      </w:r>
      <w:r w:rsidR="00310F91" w:rsidRPr="000E50F1">
        <w:rPr>
          <w:rFonts w:ascii="Times" w:eastAsia="Calibri" w:hAnsi="Times"/>
          <w:color w:val="auto"/>
          <w:sz w:val="24"/>
          <w:szCs w:val="24"/>
        </w:rPr>
        <w:t>E</w:t>
      </w:r>
      <w:r w:rsidR="00991F11" w:rsidRPr="000E50F1">
        <w:rPr>
          <w:rFonts w:ascii="Times" w:eastAsia="Calibri" w:hAnsi="Times"/>
          <w:color w:val="auto"/>
          <w:sz w:val="24"/>
          <w:szCs w:val="24"/>
        </w:rPr>
        <w:t xml:space="preserve">: </w:t>
      </w:r>
      <w:r w:rsidR="00424888" w:rsidRPr="000E50F1">
        <w:rPr>
          <w:rFonts w:ascii="Times" w:eastAsia="Calibri" w:hAnsi="Times"/>
          <w:color w:val="auto"/>
          <w:sz w:val="24"/>
          <w:szCs w:val="24"/>
        </w:rPr>
        <w:t xml:space="preserve">CONFIDENTITALITY SCRIPT </w:t>
      </w:r>
      <w:r w:rsidR="00A8282F" w:rsidRPr="000E50F1">
        <w:rPr>
          <w:rFonts w:ascii="Times" w:eastAsia="Calibri" w:hAnsi="Times"/>
          <w:color w:val="auto"/>
          <w:sz w:val="24"/>
          <w:szCs w:val="24"/>
        </w:rPr>
        <w:t>&amp;</w:t>
      </w:r>
      <w:r w:rsidR="00424888" w:rsidRPr="000E50F1">
        <w:rPr>
          <w:rFonts w:ascii="Times" w:eastAsia="Calibri" w:hAnsi="Times"/>
          <w:color w:val="auto"/>
          <w:sz w:val="24"/>
          <w:szCs w:val="24"/>
        </w:rPr>
        <w:t xml:space="preserve"> INERVIEW GUIDE</w:t>
      </w:r>
      <w:r w:rsidR="00BD3475" w:rsidRPr="000E50F1">
        <w:rPr>
          <w:rFonts w:ascii="Times" w:eastAsia="Calibri" w:hAnsi="Times"/>
          <w:color w:val="auto"/>
          <w:sz w:val="24"/>
          <w:szCs w:val="24"/>
        </w:rPr>
        <w:t xml:space="preserve"> (SWIS)</w:t>
      </w:r>
      <w:bookmarkEnd w:id="39"/>
    </w:p>
    <w:p w14:paraId="2D814205" w14:textId="77777777" w:rsidR="006679CE" w:rsidRPr="000E50F1" w:rsidRDefault="006679CE" w:rsidP="006679CE">
      <w:pPr>
        <w:ind w:right="720"/>
        <w:rPr>
          <w:rFonts w:ascii="Times" w:eastAsia="Calibri" w:hAnsi="Times" w:cstheme="minorHAnsi"/>
          <w:b/>
        </w:rPr>
      </w:pPr>
    </w:p>
    <w:p w14:paraId="57294FFE" w14:textId="77777777" w:rsidR="006679CE" w:rsidRPr="000E50F1" w:rsidRDefault="006679CE" w:rsidP="006679CE">
      <w:pPr>
        <w:ind w:right="720"/>
        <w:rPr>
          <w:rFonts w:ascii="Times" w:eastAsia="Calibri" w:hAnsi="Times" w:cstheme="minorHAnsi"/>
          <w:b/>
        </w:rPr>
      </w:pPr>
    </w:p>
    <w:p w14:paraId="54BBF016" w14:textId="507E18CE" w:rsidR="006679CE" w:rsidRPr="000E50F1" w:rsidRDefault="009B61AE" w:rsidP="009B61AE">
      <w:pPr>
        <w:pBdr>
          <w:bottom w:val="single" w:sz="4" w:space="1" w:color="auto"/>
        </w:pBdr>
        <w:ind w:right="-8"/>
        <w:jc w:val="center"/>
        <w:rPr>
          <w:rFonts w:ascii="Arial" w:eastAsia="Calibri" w:hAnsi="Arial" w:cs="Arial"/>
          <w:b/>
        </w:rPr>
      </w:pPr>
      <w:r w:rsidRPr="000E50F1">
        <w:rPr>
          <w:rFonts w:ascii="Arial" w:eastAsia="Calibri" w:hAnsi="Arial" w:cs="Arial"/>
          <w:b/>
        </w:rPr>
        <w:t xml:space="preserve">CONFIDENTIALITY &amp; WITHDRAWAL SCRIPT </w:t>
      </w:r>
    </w:p>
    <w:p w14:paraId="48370DCD" w14:textId="77777777" w:rsidR="000058DC" w:rsidRPr="000E50F1" w:rsidRDefault="000058DC" w:rsidP="006679CE">
      <w:pPr>
        <w:ind w:right="-8"/>
        <w:rPr>
          <w:rFonts w:asciiTheme="minorHAnsi" w:hAnsiTheme="minorHAnsi" w:cstheme="minorHAnsi"/>
          <w:sz w:val="22"/>
          <w:szCs w:val="22"/>
        </w:rPr>
      </w:pPr>
    </w:p>
    <w:p w14:paraId="79440AD4" w14:textId="7BDF7FCE" w:rsidR="006679CE" w:rsidRPr="000E50F1" w:rsidRDefault="006679CE" w:rsidP="006679CE">
      <w:pPr>
        <w:ind w:right="-8"/>
        <w:rPr>
          <w:rFonts w:ascii="Arial" w:hAnsi="Arial" w:cs="Arial"/>
          <w:sz w:val="22"/>
          <w:szCs w:val="22"/>
        </w:rPr>
      </w:pPr>
      <w:r w:rsidRPr="000E50F1">
        <w:rPr>
          <w:rFonts w:ascii="Arial" w:hAnsi="Arial" w:cs="Arial"/>
          <w:sz w:val="22"/>
          <w:szCs w:val="22"/>
        </w:rPr>
        <w:t>Any information you share with during the interview will not be attributed to you personally. All of your personal information will be protected during as well as after the completion of the study. This includes any reports or presentations of the study findings.  You have the right to be treated with respect and your privacy protected during every stage of the research study.</w:t>
      </w:r>
    </w:p>
    <w:p w14:paraId="4260644C" w14:textId="77777777" w:rsidR="006679CE" w:rsidRPr="000E50F1" w:rsidRDefault="006679CE" w:rsidP="006679CE">
      <w:pPr>
        <w:ind w:right="-8"/>
        <w:rPr>
          <w:rFonts w:ascii="Arial" w:hAnsi="Arial" w:cs="Arial"/>
          <w:sz w:val="22"/>
          <w:szCs w:val="22"/>
        </w:rPr>
      </w:pPr>
    </w:p>
    <w:p w14:paraId="06F48610" w14:textId="4F5B9DB0" w:rsidR="006679CE" w:rsidRPr="000E50F1" w:rsidRDefault="006679CE" w:rsidP="006679CE">
      <w:pPr>
        <w:ind w:right="-8"/>
        <w:rPr>
          <w:rFonts w:ascii="Arial" w:hAnsi="Arial" w:cs="Arial"/>
          <w:sz w:val="22"/>
          <w:szCs w:val="22"/>
        </w:rPr>
      </w:pPr>
      <w:r w:rsidRPr="000E50F1">
        <w:rPr>
          <w:rFonts w:ascii="Arial" w:hAnsi="Arial" w:cs="Arial"/>
          <w:sz w:val="22"/>
          <w:szCs w:val="22"/>
        </w:rPr>
        <w:t>Please remember that your participation in this study is voluntary.  There will be no penalty to yourself should you decide to end the interview.  You may refuse to answer any question in the interview script.  I will accept both complete and partial interview data.  You may request to have your information removed from the study at any time. If you changed your mind about your participation after leaving the interview today and would like to withdrawal the information you have provided, please do not hesitate to contact me at any time. My contact information is located at the top of the Letter of Information and Consent in which you have a copy of.</w:t>
      </w:r>
    </w:p>
    <w:p w14:paraId="6DC7CE1B" w14:textId="77777777" w:rsidR="006679CE" w:rsidRPr="000E50F1" w:rsidRDefault="006679CE" w:rsidP="006679CE">
      <w:pPr>
        <w:ind w:right="-8"/>
        <w:rPr>
          <w:rFonts w:ascii="Arial" w:hAnsi="Arial" w:cs="Arial"/>
          <w:sz w:val="22"/>
          <w:szCs w:val="22"/>
        </w:rPr>
      </w:pPr>
    </w:p>
    <w:p w14:paraId="253AC7CA" w14:textId="77777777" w:rsidR="006679CE" w:rsidRPr="000E50F1" w:rsidRDefault="006679CE" w:rsidP="006679CE">
      <w:pPr>
        <w:ind w:right="-8"/>
        <w:rPr>
          <w:rFonts w:ascii="Arial" w:hAnsi="Arial" w:cs="Arial"/>
          <w:sz w:val="22"/>
          <w:szCs w:val="22"/>
        </w:rPr>
      </w:pPr>
      <w:r w:rsidRPr="000E50F1">
        <w:rPr>
          <w:rFonts w:ascii="Arial" w:hAnsi="Arial" w:cs="Arial"/>
          <w:sz w:val="22"/>
          <w:szCs w:val="22"/>
        </w:rPr>
        <w:t xml:space="preserve">Your interview and transcription will be given a numerical code and will be kept in a locked filing cabinet separate from your consent form.  This information will be available only to me and Dr. Bruce Newbold (Supervising Faculty).  At the completion of the study, your interview, audiotape and transcription of your interview will be destroyed.  </w:t>
      </w:r>
    </w:p>
    <w:p w14:paraId="5B0F4C19" w14:textId="77777777" w:rsidR="006679CE" w:rsidRPr="000E50F1" w:rsidRDefault="006679CE" w:rsidP="006679CE">
      <w:pPr>
        <w:ind w:right="-8"/>
        <w:rPr>
          <w:rFonts w:ascii="Arial" w:hAnsi="Arial" w:cs="Arial"/>
          <w:sz w:val="22"/>
          <w:szCs w:val="22"/>
        </w:rPr>
      </w:pPr>
    </w:p>
    <w:p w14:paraId="74E7525D" w14:textId="77777777" w:rsidR="006679CE" w:rsidRPr="000E50F1" w:rsidRDefault="006679CE" w:rsidP="006679CE">
      <w:pPr>
        <w:ind w:right="-8"/>
        <w:rPr>
          <w:rFonts w:ascii="Arial" w:hAnsi="Arial" w:cs="Arial"/>
          <w:sz w:val="22"/>
          <w:szCs w:val="22"/>
        </w:rPr>
      </w:pPr>
      <w:r w:rsidRPr="000E50F1">
        <w:rPr>
          <w:rFonts w:ascii="Arial" w:hAnsi="Arial" w:cs="Arial"/>
          <w:sz w:val="22"/>
          <w:szCs w:val="22"/>
        </w:rPr>
        <w:t>And finally, I would like to remind you that excerpts from this discussion may be part of the final research report, but under no circumstances will your name be used. Nevertheless, the group of potential participants is small, so there is the possibility that references you make, the views you express or examples you give, will identify you. Please keep this in mind during the interview.</w:t>
      </w:r>
    </w:p>
    <w:p w14:paraId="694FC094" w14:textId="77777777" w:rsidR="006679CE" w:rsidRPr="000E50F1" w:rsidRDefault="006679CE" w:rsidP="006679CE">
      <w:pPr>
        <w:ind w:right="-8"/>
        <w:rPr>
          <w:rFonts w:ascii="Arial" w:hAnsi="Arial" w:cs="Arial"/>
          <w:sz w:val="22"/>
          <w:szCs w:val="22"/>
        </w:rPr>
      </w:pPr>
    </w:p>
    <w:p w14:paraId="66128146" w14:textId="6538B63B" w:rsidR="006679CE" w:rsidRPr="000E50F1" w:rsidRDefault="006679CE" w:rsidP="006679CE">
      <w:pPr>
        <w:ind w:right="-8"/>
        <w:rPr>
          <w:rFonts w:ascii="Arial" w:hAnsi="Arial" w:cs="Arial"/>
          <w:sz w:val="22"/>
          <w:szCs w:val="22"/>
        </w:rPr>
      </w:pPr>
      <w:r w:rsidRPr="000E50F1">
        <w:rPr>
          <w:rFonts w:ascii="Arial" w:hAnsi="Arial" w:cs="Arial"/>
          <w:sz w:val="22"/>
          <w:szCs w:val="22"/>
        </w:rPr>
        <w:t>Do you have any questions or concerns regarding the purpose or the process involved in the research study, “Exploring Mental Health Amongst Newcomer Youth”?</w:t>
      </w:r>
    </w:p>
    <w:p w14:paraId="4BB3F21D" w14:textId="77777777" w:rsidR="006679CE" w:rsidRPr="000E50F1" w:rsidRDefault="006679CE" w:rsidP="006679CE">
      <w:pPr>
        <w:ind w:left="567" w:right="648"/>
        <w:rPr>
          <w:rFonts w:asciiTheme="minorHAnsi" w:hAnsiTheme="minorHAnsi" w:cstheme="minorHAnsi"/>
          <w:sz w:val="22"/>
          <w:szCs w:val="22"/>
        </w:rPr>
      </w:pPr>
    </w:p>
    <w:p w14:paraId="6C6CE36D" w14:textId="77777777" w:rsidR="006679CE" w:rsidRPr="000E50F1" w:rsidRDefault="006679CE" w:rsidP="006679CE">
      <w:pPr>
        <w:rPr>
          <w:rFonts w:asciiTheme="minorHAnsi" w:hAnsiTheme="minorHAnsi" w:cstheme="minorHAnsi"/>
          <w:b/>
          <w:sz w:val="22"/>
          <w:szCs w:val="22"/>
        </w:rPr>
      </w:pPr>
    </w:p>
    <w:p w14:paraId="30DA2DFB" w14:textId="77777777" w:rsidR="006679CE" w:rsidRPr="000E50F1" w:rsidRDefault="006679CE" w:rsidP="006679CE">
      <w:pPr>
        <w:rPr>
          <w:rFonts w:asciiTheme="minorHAnsi" w:hAnsiTheme="minorHAnsi" w:cstheme="minorHAnsi"/>
          <w:b/>
          <w:sz w:val="22"/>
          <w:szCs w:val="22"/>
        </w:rPr>
      </w:pPr>
    </w:p>
    <w:p w14:paraId="795D0153" w14:textId="77777777" w:rsidR="006679CE" w:rsidRPr="000E50F1" w:rsidRDefault="006679CE" w:rsidP="006679CE">
      <w:pPr>
        <w:rPr>
          <w:rFonts w:asciiTheme="minorHAnsi" w:hAnsiTheme="minorHAnsi" w:cstheme="minorHAnsi"/>
          <w:b/>
          <w:sz w:val="22"/>
          <w:szCs w:val="22"/>
        </w:rPr>
      </w:pPr>
    </w:p>
    <w:p w14:paraId="6D9843C5" w14:textId="77777777" w:rsidR="006679CE" w:rsidRPr="000E50F1" w:rsidRDefault="006679CE" w:rsidP="006679CE">
      <w:pPr>
        <w:rPr>
          <w:rFonts w:asciiTheme="minorHAnsi" w:hAnsiTheme="minorHAnsi" w:cstheme="minorHAnsi"/>
          <w:b/>
          <w:sz w:val="22"/>
          <w:szCs w:val="22"/>
        </w:rPr>
      </w:pPr>
    </w:p>
    <w:p w14:paraId="46DD7943" w14:textId="77777777" w:rsidR="00424888" w:rsidRPr="000E50F1" w:rsidRDefault="00424888">
      <w:pPr>
        <w:rPr>
          <w:rFonts w:asciiTheme="minorHAnsi" w:hAnsiTheme="minorHAnsi" w:cstheme="minorHAnsi"/>
          <w:b/>
          <w:sz w:val="22"/>
          <w:szCs w:val="22"/>
        </w:rPr>
      </w:pPr>
      <w:r w:rsidRPr="000E50F1">
        <w:rPr>
          <w:rFonts w:asciiTheme="minorHAnsi" w:hAnsiTheme="minorHAnsi" w:cstheme="minorHAnsi"/>
          <w:b/>
          <w:sz w:val="22"/>
          <w:szCs w:val="22"/>
        </w:rPr>
        <w:br w:type="page"/>
      </w:r>
    </w:p>
    <w:p w14:paraId="6EF649FF" w14:textId="2E3A710F" w:rsidR="006679CE" w:rsidRPr="000E50F1" w:rsidRDefault="00310F91" w:rsidP="009B61AE">
      <w:pPr>
        <w:pBdr>
          <w:bottom w:val="single" w:sz="4" w:space="1" w:color="auto"/>
        </w:pBdr>
        <w:jc w:val="center"/>
        <w:rPr>
          <w:rFonts w:ascii="Arial" w:hAnsi="Arial" w:cs="Arial"/>
          <w:b/>
        </w:rPr>
      </w:pPr>
      <w:r w:rsidRPr="000E50F1">
        <w:rPr>
          <w:rFonts w:ascii="Arial" w:hAnsi="Arial" w:cs="Arial"/>
          <w:b/>
        </w:rPr>
        <w:lastRenderedPageBreak/>
        <w:t xml:space="preserve">SWIS </w:t>
      </w:r>
      <w:r w:rsidR="009B61AE" w:rsidRPr="000E50F1">
        <w:rPr>
          <w:rFonts w:ascii="Arial" w:hAnsi="Arial" w:cs="Arial"/>
          <w:b/>
        </w:rPr>
        <w:t>INTERVIEW GUIDE</w:t>
      </w:r>
    </w:p>
    <w:p w14:paraId="66F77625" w14:textId="52036EB3" w:rsidR="00EF6E9B" w:rsidRPr="000E50F1" w:rsidRDefault="00EF6E9B" w:rsidP="00424888">
      <w:pPr>
        <w:rPr>
          <w:rFonts w:asciiTheme="minorHAnsi" w:hAnsiTheme="minorHAnsi" w:cstheme="minorHAnsi"/>
          <w:b/>
          <w:sz w:val="22"/>
          <w:szCs w:val="22"/>
        </w:rPr>
      </w:pPr>
    </w:p>
    <w:p w14:paraId="68BAA736" w14:textId="77777777" w:rsidR="0074621C" w:rsidRPr="000E50F1" w:rsidRDefault="0074621C" w:rsidP="00424888">
      <w:pPr>
        <w:rPr>
          <w:rFonts w:asciiTheme="minorHAnsi" w:hAnsiTheme="minorHAnsi" w:cstheme="minorHAnsi"/>
          <w:b/>
          <w:sz w:val="22"/>
          <w:szCs w:val="22"/>
        </w:rPr>
      </w:pPr>
    </w:p>
    <w:p w14:paraId="7DF97C57" w14:textId="3559503E" w:rsidR="006679CE" w:rsidRPr="000E50F1" w:rsidRDefault="006679CE" w:rsidP="00424888">
      <w:pPr>
        <w:rPr>
          <w:rFonts w:ascii="Arial" w:hAnsi="Arial" w:cs="Arial"/>
          <w:b/>
          <w:sz w:val="22"/>
          <w:szCs w:val="22"/>
        </w:rPr>
      </w:pPr>
      <w:r w:rsidRPr="000E50F1">
        <w:rPr>
          <w:rFonts w:ascii="Arial" w:hAnsi="Arial" w:cs="Arial"/>
          <w:b/>
          <w:sz w:val="22"/>
          <w:szCs w:val="22"/>
        </w:rPr>
        <w:t>Background – Who, What, Where?</w:t>
      </w:r>
    </w:p>
    <w:p w14:paraId="672403D3"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 xml:space="preserve">How long have you been working as a Settlement Worker in Schools (SWIS)?   </w:t>
      </w:r>
    </w:p>
    <w:p w14:paraId="6BB396FB"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How many times (days and hours) a week are you working in the schools?</w:t>
      </w:r>
    </w:p>
    <w:p w14:paraId="63B41983"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 xml:space="preserve">Where do the meetings take place in the school? </w:t>
      </w:r>
    </w:p>
    <w:p w14:paraId="0F439A06"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Do you speak any other languages other than English? What other languages do you speak?</w:t>
      </w:r>
    </w:p>
    <w:p w14:paraId="2F788D15"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 xml:space="preserve">How would you define your role as a SWIS worker? </w:t>
      </w:r>
    </w:p>
    <w:p w14:paraId="4072EFB9" w14:textId="77777777" w:rsidR="00EF6E9B" w:rsidRPr="000E50F1" w:rsidRDefault="00EF6E9B" w:rsidP="006679CE">
      <w:pPr>
        <w:rPr>
          <w:rFonts w:ascii="Arial" w:hAnsi="Arial" w:cs="Arial"/>
          <w:b/>
          <w:sz w:val="22"/>
          <w:szCs w:val="22"/>
        </w:rPr>
      </w:pPr>
    </w:p>
    <w:p w14:paraId="442717B4" w14:textId="77777777" w:rsidR="006679CE" w:rsidRPr="000E50F1" w:rsidRDefault="006679CE" w:rsidP="00424888">
      <w:pPr>
        <w:rPr>
          <w:rFonts w:ascii="Arial" w:hAnsi="Arial" w:cs="Arial"/>
          <w:b/>
          <w:sz w:val="22"/>
          <w:szCs w:val="22"/>
        </w:rPr>
      </w:pPr>
      <w:r w:rsidRPr="000E50F1">
        <w:rPr>
          <w:rFonts w:ascii="Arial" w:hAnsi="Arial" w:cs="Arial"/>
          <w:b/>
          <w:sz w:val="22"/>
          <w:szCs w:val="22"/>
        </w:rPr>
        <w:t>Demographics – Who are the Youths?</w:t>
      </w:r>
    </w:p>
    <w:p w14:paraId="2AC529BC"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 xml:space="preserve">Approximately how many students do you work with? </w:t>
      </w:r>
    </w:p>
    <w:p w14:paraId="68DEE6DD"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Do you work with male and female students?</w:t>
      </w:r>
    </w:p>
    <w:p w14:paraId="4A4B96C2"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Are the youth from various countries of origins?</w:t>
      </w:r>
    </w:p>
    <w:p w14:paraId="50E36E96"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 xml:space="preserve">Do you work with immigrant and refugee youth? </w:t>
      </w:r>
    </w:p>
    <w:p w14:paraId="5D87E022"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Of your total case load, what proportion would immigrant and refugee youth represent?</w:t>
      </w:r>
    </w:p>
    <w:p w14:paraId="46AA50DF" w14:textId="77777777" w:rsidR="00EF6E9B" w:rsidRPr="000E50F1" w:rsidRDefault="00EF6E9B" w:rsidP="006679CE">
      <w:pPr>
        <w:rPr>
          <w:rFonts w:ascii="Arial" w:hAnsi="Arial" w:cs="Arial"/>
          <w:b/>
          <w:sz w:val="22"/>
          <w:szCs w:val="22"/>
        </w:rPr>
      </w:pPr>
    </w:p>
    <w:p w14:paraId="3E6E72BE" w14:textId="5D868BEA" w:rsidR="006679CE" w:rsidRPr="000E50F1" w:rsidRDefault="006679CE" w:rsidP="00424888">
      <w:pPr>
        <w:rPr>
          <w:rFonts w:ascii="Arial" w:hAnsi="Arial" w:cs="Arial"/>
          <w:sz w:val="22"/>
          <w:szCs w:val="22"/>
        </w:rPr>
      </w:pPr>
      <w:r w:rsidRPr="000E50F1">
        <w:rPr>
          <w:rFonts w:ascii="Arial" w:hAnsi="Arial" w:cs="Arial"/>
          <w:b/>
          <w:sz w:val="22"/>
          <w:szCs w:val="22"/>
        </w:rPr>
        <w:t>Mental Health Education – Is Mental Health a Need Amongst Newcomer Youth?</w:t>
      </w:r>
    </w:p>
    <w:p w14:paraId="2E34A5DC"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Is mental health discussed in the SWIS program?</w:t>
      </w:r>
    </w:p>
    <w:p w14:paraId="34CBC3A9"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 xml:space="preserve">In your experience, does ethnicity and culture impact student’s perception of mental health issues? </w:t>
      </w:r>
    </w:p>
    <w:p w14:paraId="081E02F7"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 xml:space="preserve">How do students respond to mental health education? </w:t>
      </w:r>
    </w:p>
    <w:p w14:paraId="026465AC"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 xml:space="preserve">Have you encountered any challenges while discussing mental health issues with students? </w:t>
      </w:r>
    </w:p>
    <w:p w14:paraId="609D23D7"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Are there strategies that you employ to overcome cultural differences in mental health education?</w:t>
      </w:r>
    </w:p>
    <w:p w14:paraId="0774DD55"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Do you encounter stigma in mental health education? How do you deal with stigma in mental health education?</w:t>
      </w:r>
    </w:p>
    <w:p w14:paraId="4455646A" w14:textId="77777777" w:rsidR="00EF6E9B" w:rsidRPr="000E50F1" w:rsidRDefault="00EF6E9B" w:rsidP="006679CE">
      <w:pPr>
        <w:rPr>
          <w:rFonts w:ascii="Arial" w:hAnsi="Arial" w:cs="Arial"/>
          <w:b/>
          <w:sz w:val="22"/>
          <w:szCs w:val="22"/>
        </w:rPr>
      </w:pPr>
    </w:p>
    <w:p w14:paraId="3DB1F770" w14:textId="77777777" w:rsidR="006679CE" w:rsidRPr="000E50F1" w:rsidRDefault="006679CE" w:rsidP="00424888">
      <w:pPr>
        <w:rPr>
          <w:rFonts w:ascii="Arial" w:hAnsi="Arial" w:cs="Arial"/>
          <w:b/>
          <w:sz w:val="22"/>
          <w:szCs w:val="22"/>
        </w:rPr>
      </w:pPr>
      <w:r w:rsidRPr="000E50F1">
        <w:rPr>
          <w:rFonts w:ascii="Arial" w:hAnsi="Arial" w:cs="Arial"/>
          <w:b/>
          <w:sz w:val="22"/>
          <w:szCs w:val="22"/>
        </w:rPr>
        <w:t>Space and Safety – Non-stigmatizing and Safe Spaces</w:t>
      </w:r>
    </w:p>
    <w:p w14:paraId="6F6E6BE9"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Do newcomer students benefit from exposure to mental health awareness and education?</w:t>
      </w:r>
    </w:p>
    <w:p w14:paraId="7A2EBCE2"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Are schools appropriate places for newcomer youth to discuss mental health issues? Why? If not, where?</w:t>
      </w:r>
    </w:p>
    <w:p w14:paraId="6E111206"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Are schools appropriate places for newcomer youth to access mental health care? Why? If not, where?</w:t>
      </w:r>
    </w:p>
    <w:p w14:paraId="2915C41D" w14:textId="77777777" w:rsidR="00EF6E9B" w:rsidRPr="000E50F1" w:rsidRDefault="00EF6E9B" w:rsidP="00424888">
      <w:pPr>
        <w:rPr>
          <w:rFonts w:ascii="Arial" w:hAnsi="Arial" w:cs="Arial"/>
          <w:b/>
          <w:sz w:val="22"/>
          <w:szCs w:val="22"/>
        </w:rPr>
      </w:pPr>
    </w:p>
    <w:p w14:paraId="72A1357C" w14:textId="090893AB" w:rsidR="006679CE" w:rsidRPr="000E50F1" w:rsidRDefault="006679CE" w:rsidP="00424888">
      <w:pPr>
        <w:rPr>
          <w:rFonts w:ascii="Arial" w:hAnsi="Arial" w:cs="Arial"/>
          <w:b/>
          <w:sz w:val="22"/>
          <w:szCs w:val="22"/>
        </w:rPr>
      </w:pPr>
      <w:r w:rsidRPr="000E50F1">
        <w:rPr>
          <w:rFonts w:ascii="Arial" w:hAnsi="Arial" w:cs="Arial"/>
          <w:b/>
          <w:sz w:val="22"/>
          <w:szCs w:val="22"/>
        </w:rPr>
        <w:t>Cultural and Linguistic Brokers in Mental Health</w:t>
      </w:r>
    </w:p>
    <w:p w14:paraId="2D8DC731"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Have you encountered mental health issues amongst the students you work with?</w:t>
      </w:r>
    </w:p>
    <w:p w14:paraId="331F6111"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If yes, can you estimate the number times you had to link students to counseling or other types of mental health services?</w:t>
      </w:r>
    </w:p>
    <w:p w14:paraId="55DBA0D7"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What types of mental health issues have you experienced amongst students?</w:t>
      </w:r>
    </w:p>
    <w:p w14:paraId="65B645E0"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Are there differences in need between refugee and non-refugee students?</w:t>
      </w:r>
    </w:p>
    <w:p w14:paraId="1CA38030"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Do students come to you for help? Why/Why not?</w:t>
      </w:r>
    </w:p>
    <w:p w14:paraId="477974CC"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lastRenderedPageBreak/>
        <w:t>Are students afraid to seek help when dealing with mental health issues? Why/why not?</w:t>
      </w:r>
    </w:p>
    <w:p w14:paraId="19829B44"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Do you feel equipped to help students that experience mental needs?</w:t>
      </w:r>
    </w:p>
    <w:p w14:paraId="428B3B6C"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What are the steps in getting students the help they need?</w:t>
      </w:r>
    </w:p>
    <w:p w14:paraId="72736F27"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Do parents or guardians get involved if a student demonstrates mental health need?</w:t>
      </w:r>
    </w:p>
    <w:p w14:paraId="517C31F7"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How do you deal with issues of confidentially and parental (guardian) consent?</w:t>
      </w:r>
    </w:p>
    <w:p w14:paraId="2495A1E1"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Is there a difference in rapport between students that speak the same language as you and those that do not?</w:t>
      </w:r>
    </w:p>
    <w:p w14:paraId="1B7003B7"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Is it advantageous for SWIS worker to bridge the gap between newcomer youth and mental health?</w:t>
      </w:r>
    </w:p>
    <w:p w14:paraId="0CBC8C1F" w14:textId="77777777" w:rsidR="00EF6E9B" w:rsidRPr="000E50F1" w:rsidRDefault="00EF6E9B" w:rsidP="006679CE">
      <w:pPr>
        <w:rPr>
          <w:rFonts w:ascii="Arial" w:hAnsi="Arial" w:cs="Arial"/>
          <w:b/>
          <w:sz w:val="22"/>
          <w:szCs w:val="22"/>
        </w:rPr>
      </w:pPr>
    </w:p>
    <w:p w14:paraId="6A1D48EE" w14:textId="77777777" w:rsidR="006679CE" w:rsidRPr="000E50F1" w:rsidRDefault="006679CE" w:rsidP="00424888">
      <w:pPr>
        <w:rPr>
          <w:rFonts w:ascii="Arial" w:hAnsi="Arial" w:cs="Arial"/>
          <w:b/>
          <w:sz w:val="22"/>
          <w:szCs w:val="22"/>
        </w:rPr>
      </w:pPr>
      <w:r w:rsidRPr="000E50F1">
        <w:rPr>
          <w:rFonts w:ascii="Arial" w:hAnsi="Arial" w:cs="Arial"/>
          <w:b/>
          <w:sz w:val="22"/>
          <w:szCs w:val="22"/>
        </w:rPr>
        <w:t>Final Comments</w:t>
      </w:r>
    </w:p>
    <w:p w14:paraId="0083B718" w14:textId="77777777" w:rsidR="006679CE" w:rsidRPr="000E50F1" w:rsidRDefault="006679CE" w:rsidP="00BC2822">
      <w:pPr>
        <w:pStyle w:val="ListParagraph"/>
        <w:numPr>
          <w:ilvl w:val="0"/>
          <w:numId w:val="4"/>
        </w:numPr>
        <w:spacing w:after="0" w:line="240" w:lineRule="auto"/>
        <w:rPr>
          <w:rFonts w:ascii="Arial" w:hAnsi="Arial" w:cs="Arial"/>
          <w:sz w:val="22"/>
        </w:rPr>
      </w:pPr>
      <w:r w:rsidRPr="000E50F1">
        <w:rPr>
          <w:rFonts w:ascii="Arial" w:hAnsi="Arial" w:cs="Arial"/>
          <w:sz w:val="22"/>
        </w:rPr>
        <w:t>Is there anything else you would like to add to our discussion that we haven’t covered during the interview?</w:t>
      </w:r>
    </w:p>
    <w:p w14:paraId="59C10208" w14:textId="77777777" w:rsidR="006679CE" w:rsidRPr="000E50F1" w:rsidRDefault="006679CE" w:rsidP="006679CE">
      <w:pPr>
        <w:rPr>
          <w:rFonts w:asciiTheme="minorHAnsi" w:eastAsia="Calibri" w:hAnsiTheme="minorHAnsi"/>
          <w:sz w:val="22"/>
          <w:szCs w:val="22"/>
          <w:lang w:val="en-US"/>
        </w:rPr>
      </w:pPr>
    </w:p>
    <w:p w14:paraId="12FD0526" w14:textId="77777777" w:rsidR="00484142" w:rsidRPr="000E50F1" w:rsidRDefault="00484142">
      <w:pPr>
        <w:rPr>
          <w:rFonts w:asciiTheme="minorHAnsi" w:eastAsia="Calibri" w:hAnsiTheme="minorHAnsi"/>
          <w:b/>
          <w:sz w:val="22"/>
          <w:szCs w:val="22"/>
          <w:lang w:val="en-US"/>
        </w:rPr>
      </w:pPr>
      <w:r w:rsidRPr="000E50F1">
        <w:rPr>
          <w:rFonts w:asciiTheme="minorHAnsi" w:eastAsia="Calibri" w:hAnsiTheme="minorHAnsi"/>
          <w:sz w:val="22"/>
          <w:szCs w:val="22"/>
        </w:rPr>
        <w:br w:type="page"/>
      </w:r>
    </w:p>
    <w:p w14:paraId="69CD2B2B" w14:textId="09CC969F" w:rsidR="00991F11" w:rsidRPr="000E50F1" w:rsidRDefault="00A058E9" w:rsidP="00E95A3E">
      <w:pPr>
        <w:pStyle w:val="Heading1"/>
        <w:spacing w:before="0" w:line="240" w:lineRule="auto"/>
        <w:jc w:val="center"/>
        <w:rPr>
          <w:rFonts w:ascii="Times" w:eastAsia="Calibri" w:hAnsi="Times"/>
          <w:color w:val="auto"/>
          <w:sz w:val="24"/>
          <w:szCs w:val="24"/>
        </w:rPr>
      </w:pPr>
      <w:bookmarkStart w:id="40" w:name="_Toc60231907"/>
      <w:r w:rsidRPr="000E50F1">
        <w:rPr>
          <w:rFonts w:ascii="Times" w:eastAsia="Calibri" w:hAnsi="Times"/>
          <w:color w:val="auto"/>
          <w:sz w:val="24"/>
          <w:szCs w:val="24"/>
        </w:rPr>
        <w:lastRenderedPageBreak/>
        <w:t xml:space="preserve">APPENDIX </w:t>
      </w:r>
      <w:r w:rsidR="00310F91" w:rsidRPr="000E50F1">
        <w:rPr>
          <w:rFonts w:ascii="Times" w:eastAsia="Calibri" w:hAnsi="Times"/>
          <w:color w:val="auto"/>
          <w:sz w:val="24"/>
          <w:szCs w:val="24"/>
        </w:rPr>
        <w:t>F</w:t>
      </w:r>
      <w:r w:rsidR="00991F11" w:rsidRPr="000E50F1">
        <w:rPr>
          <w:rFonts w:ascii="Times" w:eastAsia="Calibri" w:hAnsi="Times"/>
          <w:color w:val="auto"/>
          <w:sz w:val="24"/>
          <w:szCs w:val="24"/>
        </w:rPr>
        <w:t xml:space="preserve">: </w:t>
      </w:r>
      <w:r w:rsidR="00723A86" w:rsidRPr="000E50F1">
        <w:rPr>
          <w:rFonts w:ascii="Times" w:eastAsia="Calibri" w:hAnsi="Times"/>
          <w:color w:val="auto"/>
          <w:sz w:val="24"/>
          <w:szCs w:val="24"/>
        </w:rPr>
        <w:t>CERTIFICATE OF</w:t>
      </w:r>
      <w:r w:rsidRPr="000E50F1">
        <w:rPr>
          <w:rFonts w:ascii="Times" w:eastAsia="Calibri" w:hAnsi="Times"/>
          <w:color w:val="auto"/>
          <w:sz w:val="24"/>
          <w:szCs w:val="24"/>
        </w:rPr>
        <w:t xml:space="preserve"> ETHICS </w:t>
      </w:r>
      <w:r w:rsidR="00723A86" w:rsidRPr="000E50F1">
        <w:rPr>
          <w:rFonts w:ascii="Times" w:eastAsia="Calibri" w:hAnsi="Times"/>
          <w:color w:val="auto"/>
          <w:sz w:val="24"/>
          <w:szCs w:val="24"/>
        </w:rPr>
        <w:t>CLEARANCE</w:t>
      </w:r>
      <w:r w:rsidR="00BD3475" w:rsidRPr="000E50F1">
        <w:rPr>
          <w:rFonts w:ascii="Times" w:eastAsia="Calibri" w:hAnsi="Times"/>
          <w:color w:val="auto"/>
          <w:sz w:val="24"/>
          <w:szCs w:val="24"/>
        </w:rPr>
        <w:t xml:space="preserve"> (SWIS)</w:t>
      </w:r>
      <w:bookmarkEnd w:id="40"/>
    </w:p>
    <w:p w14:paraId="0B98A94F" w14:textId="7AA3FB4F" w:rsidR="001E611B" w:rsidRPr="000E50F1" w:rsidRDefault="001E611B" w:rsidP="001E611B">
      <w:pPr>
        <w:rPr>
          <w:rFonts w:eastAsia="Calibri"/>
          <w:lang w:val="en-US"/>
        </w:rPr>
      </w:pPr>
    </w:p>
    <w:p w14:paraId="4A192E6D" w14:textId="4316EB35" w:rsidR="008C0C3E" w:rsidRPr="000E50F1" w:rsidRDefault="008C0C3E" w:rsidP="008C0C3E">
      <w:pPr>
        <w:rPr>
          <w:rFonts w:eastAsia="Calibri"/>
          <w:lang w:val="en-US"/>
        </w:rPr>
      </w:pPr>
    </w:p>
    <w:p w14:paraId="339B4CAC" w14:textId="4CC0D638" w:rsidR="006679CE" w:rsidRPr="000E50F1" w:rsidRDefault="008C0C3E" w:rsidP="006679CE">
      <w:pPr>
        <w:rPr>
          <w:rFonts w:eastAsia="Calibri"/>
          <w:lang w:val="en-US"/>
        </w:rPr>
      </w:pPr>
      <w:r w:rsidRPr="000E50F1">
        <w:rPr>
          <w:rFonts w:eastAsia="Calibri"/>
          <w:noProof/>
          <w:lang w:val="en-US"/>
        </w:rPr>
        <w:drawing>
          <wp:inline distT="0" distB="0" distL="0" distR="0" wp14:anchorId="00B676A1" wp14:editId="2C0BCAD5">
            <wp:extent cx="5035550" cy="7077710"/>
            <wp:effectExtent l="0" t="0" r="635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2-12 at 2.06.35 PM.png"/>
                    <pic:cNvPicPr/>
                  </pic:nvPicPr>
                  <pic:blipFill>
                    <a:blip r:embed="rId58">
                      <a:extLst>
                        <a:ext uri="{28A0092B-C50C-407E-A947-70E740481C1C}">
                          <a14:useLocalDpi xmlns:a14="http://schemas.microsoft.com/office/drawing/2010/main" val="0"/>
                        </a:ext>
                      </a:extLst>
                    </a:blip>
                    <a:stretch>
                      <a:fillRect/>
                    </a:stretch>
                  </pic:blipFill>
                  <pic:spPr>
                    <a:xfrm>
                      <a:off x="0" y="0"/>
                      <a:ext cx="5035550" cy="7077710"/>
                    </a:xfrm>
                    <a:prstGeom prst="rect">
                      <a:avLst/>
                    </a:prstGeom>
                  </pic:spPr>
                </pic:pic>
              </a:graphicData>
            </a:graphic>
          </wp:inline>
        </w:drawing>
      </w:r>
    </w:p>
    <w:p w14:paraId="7E5E23CD" w14:textId="0FBB4EA3" w:rsidR="00991F11" w:rsidRPr="000E50F1" w:rsidRDefault="00991F11" w:rsidP="0070492E">
      <w:pPr>
        <w:rPr>
          <w:rFonts w:ascii="Times" w:eastAsia="Calibri" w:hAnsi="Times"/>
          <w:b/>
          <w:lang w:val="en-US"/>
        </w:rPr>
      </w:pPr>
    </w:p>
    <w:sectPr w:rsidR="00991F11" w:rsidRPr="000E50F1" w:rsidSect="00513ABC">
      <w:headerReference w:type="default" r:id="rId59"/>
      <w:footerReference w:type="default" r:id="rId60"/>
      <w:pgSz w:w="12240" w:h="15840"/>
      <w:pgMar w:top="2155" w:right="2155" w:bottom="1418" w:left="215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34622" w14:textId="77777777" w:rsidR="00C07241" w:rsidRDefault="00C07241" w:rsidP="009575BD">
      <w:r>
        <w:separator/>
      </w:r>
    </w:p>
  </w:endnote>
  <w:endnote w:type="continuationSeparator" w:id="0">
    <w:p w14:paraId="4403FBE9" w14:textId="77777777" w:rsidR="00C07241" w:rsidRDefault="00C07241" w:rsidP="00957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䥻"/>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abon">
    <w:altName w:val="Cambria"/>
    <w:panose1 w:val="020B0604020202020204"/>
    <w:charset w:val="00"/>
    <w:family w:val="roman"/>
    <w:pitch w:val="default"/>
  </w:font>
  <w:font w:name="TimesNewRoman">
    <w:altName w:val="Times New Roman"/>
    <w:panose1 w:val="020B0604020202020204"/>
    <w:charset w:val="00"/>
    <w:family w:val="auto"/>
    <w:notTrueType/>
    <w:pitch w:val="default"/>
    <w:sig w:usb0="00000003" w:usb1="00000000" w:usb2="00000000" w:usb3="00000000" w:csb0="00000001" w:csb1="00000000"/>
  </w:font>
  <w:font w:name="TimesNewRoman,Italic">
    <w:panose1 w:val="020B0604020202020204"/>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Narrow">
    <w:altName w:val="﷽﷽﷽﷽﷽﷽﷽﷽rrow"/>
    <w:panose1 w:val="020B0606020202030204"/>
    <w:charset w:val="00"/>
    <w:family w:val="swiss"/>
    <w:pitch w:val="variable"/>
    <w:sig w:usb0="00000287" w:usb1="00000800" w:usb2="00000000" w:usb3="00000000" w:csb0="0000009F" w:csb1="00000000"/>
  </w:font>
  <w:font w:name="Times-Roman">
    <w:panose1 w:val="00000500000000020000"/>
    <w:charset w:val="00"/>
    <w:family w:val="auto"/>
    <w:pitch w:val="variable"/>
    <w:sig w:usb0="E00002FF" w:usb1="5000205A" w:usb2="00000000" w:usb3="00000000" w:csb0="0000019F" w:csb1="00000000"/>
  </w:font>
  <w:font w:name="Times-Italic">
    <w:panose1 w:val="00000500000000090000"/>
    <w:charset w:val="00"/>
    <w:family w:val="auto"/>
    <w:pitch w:val="variable"/>
    <w:sig w:usb0="E00002FF" w:usb1="5000205A" w:usb2="00000000" w:usb3="00000000" w:csb0="0000019F" w:csb1="00000000"/>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8118741"/>
      <w:docPartObj>
        <w:docPartGallery w:val="Page Numbers (Bottom of Page)"/>
        <w:docPartUnique/>
      </w:docPartObj>
    </w:sdtPr>
    <w:sdtContent>
      <w:p w14:paraId="7BEB21E2" w14:textId="70C55FD3" w:rsidR="00C71D9C" w:rsidRDefault="00C71D9C" w:rsidP="00F864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7DA9E1" w14:textId="77777777" w:rsidR="00C71D9C" w:rsidRDefault="00C71D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A9DEA" w14:textId="47162FE4" w:rsidR="00C71D9C" w:rsidRDefault="00C71D9C" w:rsidP="00BD0FDD">
    <w:pPr>
      <w:pStyle w:val="Footer"/>
      <w:framePr w:wrap="none" w:vAnchor="text" w:hAnchor="margin" w:xAlign="center" w:y="1"/>
      <w:rPr>
        <w:rStyle w:val="PageNumber"/>
      </w:rPr>
    </w:pPr>
  </w:p>
  <w:p w14:paraId="274552B9" w14:textId="29835D92" w:rsidR="00C71D9C" w:rsidRDefault="00C71D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9010691"/>
      <w:docPartObj>
        <w:docPartGallery w:val="Page Numbers (Bottom of Page)"/>
        <w:docPartUnique/>
      </w:docPartObj>
    </w:sdtPr>
    <w:sdtContent>
      <w:p w14:paraId="67BA8336" w14:textId="1B952D65" w:rsidR="00C71D9C" w:rsidRDefault="00C71D9C" w:rsidP="00F864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xxx</w:t>
        </w:r>
        <w:r>
          <w:rPr>
            <w:rStyle w:val="PageNumber"/>
          </w:rPr>
          <w:fldChar w:fldCharType="end"/>
        </w:r>
      </w:p>
    </w:sdtContent>
  </w:sdt>
  <w:p w14:paraId="7948A141" w14:textId="1A6B25C8" w:rsidR="00C71D9C" w:rsidRDefault="00C71D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65133488"/>
      <w:docPartObj>
        <w:docPartGallery w:val="Page Numbers (Bottom of Page)"/>
        <w:docPartUnique/>
      </w:docPartObj>
    </w:sdtPr>
    <w:sdtContent>
      <w:p w14:paraId="4C34287B" w14:textId="77777777" w:rsidR="00C71D9C" w:rsidRDefault="00C71D9C" w:rsidP="00BD0F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xxx</w:t>
        </w:r>
        <w:r>
          <w:rPr>
            <w:rStyle w:val="PageNumber"/>
          </w:rPr>
          <w:fldChar w:fldCharType="end"/>
        </w:r>
      </w:p>
    </w:sdtContent>
  </w:sdt>
  <w:p w14:paraId="0801D4CC" w14:textId="77777777" w:rsidR="00C71D9C" w:rsidRDefault="00C71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980CB" w14:textId="77777777" w:rsidR="00C07241" w:rsidRDefault="00C07241" w:rsidP="009575BD">
      <w:r>
        <w:separator/>
      </w:r>
    </w:p>
  </w:footnote>
  <w:footnote w:type="continuationSeparator" w:id="0">
    <w:p w14:paraId="0A6BFF33" w14:textId="77777777" w:rsidR="00C07241" w:rsidRDefault="00C07241" w:rsidP="009575BD">
      <w:r>
        <w:continuationSeparator/>
      </w:r>
    </w:p>
  </w:footnote>
  <w:footnote w:id="1">
    <w:p w14:paraId="461F504F" w14:textId="77777777" w:rsidR="00C71D9C" w:rsidRPr="00543331" w:rsidRDefault="00C71D9C" w:rsidP="00B339A1">
      <w:pPr>
        <w:ind w:left="142" w:hanging="142"/>
        <w:rPr>
          <w:rFonts w:ascii="Times" w:hAnsi="Times"/>
          <w:sz w:val="20"/>
          <w:szCs w:val="20"/>
        </w:rPr>
      </w:pPr>
      <w:r w:rsidRPr="00543331">
        <w:rPr>
          <w:rStyle w:val="FootnoteReference"/>
          <w:rFonts w:ascii="Times" w:hAnsi="Times"/>
          <w:sz w:val="20"/>
          <w:szCs w:val="20"/>
        </w:rPr>
        <w:footnoteRef/>
      </w:r>
      <w:r w:rsidRPr="00543331">
        <w:rPr>
          <w:rFonts w:ascii="Times" w:hAnsi="Times"/>
          <w:sz w:val="20"/>
          <w:szCs w:val="20"/>
        </w:rPr>
        <w:t xml:space="preserve"> </w:t>
      </w:r>
      <w:r w:rsidRPr="00543331">
        <w:rPr>
          <w:rFonts w:ascii="Times" w:hAnsi="Times" w:cs="Arial"/>
          <w:color w:val="222222"/>
          <w:sz w:val="20"/>
          <w:szCs w:val="20"/>
          <w:shd w:val="clear" w:color="auto" w:fill="FFFFFF"/>
        </w:rPr>
        <w:t>Newbold, B., Pottie, K., Dam, H., Ratnayake, A., &amp; Brisson, N. (2012). Health and Healthcare: Promising Practices.</w:t>
      </w:r>
      <w:r w:rsidRPr="00543331">
        <w:rPr>
          <w:rStyle w:val="apple-converted-space"/>
          <w:rFonts w:ascii="Times" w:hAnsi="Times" w:cs="Arial"/>
          <w:color w:val="222222"/>
          <w:sz w:val="20"/>
          <w:szCs w:val="20"/>
          <w:shd w:val="clear" w:color="auto" w:fill="FFFFFF"/>
        </w:rPr>
        <w:t> </w:t>
      </w:r>
      <w:r w:rsidRPr="00543331">
        <w:rPr>
          <w:rFonts w:ascii="Times" w:hAnsi="Times" w:cs="Arial"/>
          <w:i/>
          <w:iCs/>
          <w:color w:val="222222"/>
          <w:sz w:val="20"/>
          <w:szCs w:val="20"/>
        </w:rPr>
        <w:t>Analysis of LIP Strategic Plans: Promising Practices</w:t>
      </w:r>
      <w:r w:rsidRPr="00543331">
        <w:rPr>
          <w:rFonts w:ascii="Times" w:hAnsi="Times" w:cs="Arial"/>
          <w:color w:val="222222"/>
          <w:sz w:val="20"/>
          <w:szCs w:val="20"/>
          <w:shd w:val="clear" w:color="auto" w:fill="FFFFFF"/>
        </w:rPr>
        <w:t>, 92.</w:t>
      </w:r>
    </w:p>
    <w:p w14:paraId="1A791D09" w14:textId="3A58C75B" w:rsidR="00C71D9C" w:rsidRPr="00B339A1" w:rsidRDefault="00C71D9C">
      <w:pPr>
        <w:pStyle w:val="FootnoteText"/>
        <w:rPr>
          <w:lang w:val="en-CA"/>
        </w:rPr>
      </w:pPr>
    </w:p>
  </w:footnote>
  <w:footnote w:id="2">
    <w:p w14:paraId="72F63A34" w14:textId="77777777" w:rsidR="00C71D9C" w:rsidRPr="00771C2E" w:rsidRDefault="00C71D9C" w:rsidP="000B44FF">
      <w:pPr>
        <w:rPr>
          <w:rFonts w:ascii="Times" w:hAnsi="Times" w:cstheme="minorHAnsi"/>
          <w:sz w:val="20"/>
          <w:szCs w:val="20"/>
        </w:rPr>
      </w:pPr>
      <w:r w:rsidRPr="00771C2E">
        <w:rPr>
          <w:rStyle w:val="FootnoteReference"/>
          <w:rFonts w:ascii="Times" w:eastAsiaTheme="minorHAnsi" w:hAnsi="Times" w:cstheme="minorHAnsi"/>
          <w:sz w:val="20"/>
          <w:szCs w:val="20"/>
        </w:rPr>
        <w:footnoteRef/>
      </w:r>
      <w:r w:rsidRPr="00771C2E">
        <w:rPr>
          <w:rFonts w:ascii="Times" w:hAnsi="Times" w:cstheme="minorHAnsi"/>
          <w:sz w:val="20"/>
          <w:szCs w:val="20"/>
        </w:rPr>
        <w:t xml:space="preserve"> ‘Recent immigrant’ refers to a person who obtained a landed immigrant or permanent resident status up to five years prior to a given census year. In the 2016 Census, this period is January 1, 2011, to May 10, 2016 (STATS CAN 2019).</w:t>
      </w:r>
    </w:p>
    <w:p w14:paraId="6B23C2DE" w14:textId="77777777" w:rsidR="00C71D9C" w:rsidRPr="00771C2E" w:rsidRDefault="00C71D9C" w:rsidP="000B44FF">
      <w:pPr>
        <w:pStyle w:val="FootnoteText"/>
        <w:rPr>
          <w:rFonts w:ascii="Times" w:hAnsi="Times"/>
        </w:rPr>
      </w:pPr>
    </w:p>
  </w:footnote>
  <w:footnote w:id="3">
    <w:p w14:paraId="02099EBC" w14:textId="77777777" w:rsidR="00C71D9C" w:rsidRPr="00005D7B" w:rsidRDefault="00C71D9C" w:rsidP="00BF6FBF">
      <w:pPr>
        <w:pStyle w:val="FootnoteText"/>
        <w:rPr>
          <w:lang w:val="en-CA"/>
        </w:rPr>
      </w:pPr>
      <w:r>
        <w:rPr>
          <w:rStyle w:val="FootnoteReference"/>
        </w:rPr>
        <w:footnoteRef/>
      </w:r>
      <w:r>
        <w:t xml:space="preserve"> </w:t>
      </w:r>
      <w:r>
        <w:rPr>
          <w:rFonts w:ascii="Times" w:hAnsi="Times" w:cs="Arial"/>
          <w:sz w:val="20"/>
          <w:szCs w:val="20"/>
          <w:lang w:val="en-CA"/>
        </w:rPr>
        <w:t>T</w:t>
      </w:r>
      <w:r w:rsidRPr="00005D7B">
        <w:rPr>
          <w:rFonts w:ascii="Times" w:hAnsi="Times" w:cs="Arial"/>
          <w:sz w:val="20"/>
          <w:szCs w:val="20"/>
          <w:lang w:val="en-CA"/>
        </w:rPr>
        <w:t>he shadow state is</w:t>
      </w:r>
      <w:r>
        <w:rPr>
          <w:rFonts w:ascii="Times" w:hAnsi="Times" w:cs="Arial"/>
          <w:sz w:val="20"/>
          <w:szCs w:val="20"/>
          <w:lang w:val="en-CA"/>
        </w:rPr>
        <w:t xml:space="preserve"> “</w:t>
      </w:r>
      <w:r w:rsidRPr="00005D7B">
        <w:rPr>
          <w:rFonts w:ascii="Times" w:hAnsi="Times" w:cs="Arial"/>
          <w:sz w:val="20"/>
          <w:szCs w:val="20"/>
          <w:lang w:val="en-CA"/>
        </w:rPr>
        <w:t xml:space="preserve">a para-state apparatus comprised of multiple voluntary sector organizations, administered outside of traditional democratic politics and charged with major collective service responsibilities previously shouldered by the public sector, yet remaining within the purview of state </w:t>
      </w:r>
      <w:r w:rsidRPr="008C0050">
        <w:rPr>
          <w:rFonts w:ascii="Times" w:hAnsi="Times" w:cs="Arial"/>
          <w:sz w:val="20"/>
          <w:szCs w:val="20"/>
          <w:lang w:val="en-CA"/>
        </w:rPr>
        <w:t>control” (Wolch</w:t>
      </w:r>
      <w:r w:rsidRPr="00005D7B">
        <w:rPr>
          <w:rFonts w:ascii="Times" w:hAnsi="Times" w:cs="Arial"/>
          <w:sz w:val="20"/>
          <w:szCs w:val="20"/>
          <w:lang w:val="en-CA"/>
        </w:rPr>
        <w:t xml:space="preserve"> 1990: xvi)</w:t>
      </w:r>
    </w:p>
  </w:footnote>
  <w:footnote w:id="4">
    <w:p w14:paraId="6173A686" w14:textId="3E7ABA90" w:rsidR="00C71D9C" w:rsidRPr="005E5757" w:rsidRDefault="00C71D9C" w:rsidP="005E5757">
      <w:pPr>
        <w:ind w:left="284" w:hanging="284"/>
        <w:contextualSpacing/>
        <w:rPr>
          <w:rFonts w:ascii="Times" w:hAnsi="Times"/>
          <w:sz w:val="20"/>
          <w:szCs w:val="20"/>
        </w:rPr>
      </w:pPr>
      <w:r w:rsidRPr="005E5757">
        <w:rPr>
          <w:rFonts w:ascii="Times" w:hAnsi="Times"/>
          <w:sz w:val="20"/>
          <w:szCs w:val="20"/>
          <w:vertAlign w:val="superscript"/>
        </w:rPr>
        <w:footnoteRef/>
      </w:r>
      <w:r w:rsidRPr="005E5757">
        <w:rPr>
          <w:rFonts w:ascii="Times" w:hAnsi="Times"/>
          <w:sz w:val="20"/>
          <w:szCs w:val="20"/>
        </w:rPr>
        <w:t xml:space="preserve"> Economic class immigrants include those outside of FSW, FST, and CEC. They include </w:t>
      </w:r>
      <w:r>
        <w:rPr>
          <w:rFonts w:ascii="Times" w:hAnsi="Times"/>
          <w:sz w:val="20"/>
          <w:szCs w:val="20"/>
        </w:rPr>
        <w:t>s</w:t>
      </w:r>
      <w:r w:rsidRPr="005E5757">
        <w:rPr>
          <w:rFonts w:ascii="Times" w:hAnsi="Times"/>
          <w:sz w:val="20"/>
          <w:szCs w:val="20"/>
        </w:rPr>
        <w:t xml:space="preserve">tart-up </w:t>
      </w:r>
      <w:r>
        <w:rPr>
          <w:rFonts w:ascii="Times" w:hAnsi="Times"/>
          <w:sz w:val="20"/>
          <w:szCs w:val="20"/>
        </w:rPr>
        <w:t>b</w:t>
      </w:r>
      <w:r w:rsidRPr="005E5757">
        <w:rPr>
          <w:rFonts w:ascii="Times" w:hAnsi="Times"/>
          <w:sz w:val="20"/>
          <w:szCs w:val="20"/>
        </w:rPr>
        <w:t xml:space="preserve">usiness, </w:t>
      </w:r>
      <w:r>
        <w:rPr>
          <w:rFonts w:ascii="Times" w:hAnsi="Times"/>
          <w:sz w:val="20"/>
          <w:szCs w:val="20"/>
        </w:rPr>
        <w:t>s</w:t>
      </w:r>
      <w:r w:rsidRPr="005E5757">
        <w:rPr>
          <w:rFonts w:ascii="Times" w:hAnsi="Times"/>
          <w:sz w:val="20"/>
          <w:szCs w:val="20"/>
        </w:rPr>
        <w:t>elf-</w:t>
      </w:r>
      <w:r>
        <w:rPr>
          <w:rFonts w:ascii="Times" w:hAnsi="Times"/>
          <w:sz w:val="20"/>
          <w:szCs w:val="20"/>
        </w:rPr>
        <w:t>e</w:t>
      </w:r>
      <w:r w:rsidRPr="005E5757">
        <w:rPr>
          <w:rFonts w:ascii="Times" w:hAnsi="Times"/>
          <w:sz w:val="20"/>
          <w:szCs w:val="20"/>
        </w:rPr>
        <w:t xml:space="preserve">mployed, </w:t>
      </w:r>
      <w:r>
        <w:rPr>
          <w:rFonts w:ascii="Times" w:hAnsi="Times"/>
          <w:sz w:val="20"/>
          <w:szCs w:val="20"/>
        </w:rPr>
        <w:t>i</w:t>
      </w:r>
      <w:r w:rsidRPr="005E5757">
        <w:rPr>
          <w:rFonts w:ascii="Times" w:hAnsi="Times"/>
          <w:sz w:val="20"/>
          <w:szCs w:val="20"/>
        </w:rPr>
        <w:t xml:space="preserve">nvestor </w:t>
      </w:r>
      <w:r>
        <w:rPr>
          <w:rFonts w:ascii="Times" w:hAnsi="Times"/>
          <w:sz w:val="20"/>
          <w:szCs w:val="20"/>
        </w:rPr>
        <w:t>e</w:t>
      </w:r>
      <w:r w:rsidRPr="005E5757">
        <w:rPr>
          <w:rFonts w:ascii="Times" w:hAnsi="Times"/>
          <w:sz w:val="20"/>
          <w:szCs w:val="20"/>
        </w:rPr>
        <w:t xml:space="preserve">ntrepreneurs, and </w:t>
      </w:r>
      <w:r>
        <w:rPr>
          <w:rFonts w:ascii="Times" w:hAnsi="Times"/>
          <w:sz w:val="20"/>
          <w:szCs w:val="20"/>
        </w:rPr>
        <w:t>c</w:t>
      </w:r>
      <w:r w:rsidRPr="005E5757">
        <w:rPr>
          <w:rFonts w:ascii="Times" w:hAnsi="Times"/>
          <w:sz w:val="20"/>
          <w:szCs w:val="20"/>
        </w:rPr>
        <w:t>aregivers</w:t>
      </w:r>
    </w:p>
  </w:footnote>
  <w:footnote w:id="5">
    <w:p w14:paraId="4B87DB8B" w14:textId="77777777" w:rsidR="00C71D9C" w:rsidRPr="005E5757" w:rsidRDefault="00C71D9C" w:rsidP="005E5757">
      <w:pPr>
        <w:pStyle w:val="NormalWeb"/>
        <w:spacing w:before="0" w:beforeAutospacing="0" w:after="0" w:afterAutospacing="0"/>
        <w:ind w:left="284" w:hanging="284"/>
        <w:rPr>
          <w:rFonts w:ascii="Times" w:hAnsi="Times"/>
          <w:sz w:val="20"/>
          <w:szCs w:val="20"/>
        </w:rPr>
      </w:pPr>
      <w:r w:rsidRPr="005E5757">
        <w:rPr>
          <w:rFonts w:ascii="Times" w:eastAsia="Times New Roman" w:hAnsi="Times"/>
          <w:sz w:val="20"/>
          <w:szCs w:val="20"/>
          <w:vertAlign w:val="superscript"/>
          <w:lang w:val="en-CA"/>
        </w:rPr>
        <w:footnoteRef/>
      </w:r>
      <w:r w:rsidRPr="005E5757">
        <w:rPr>
          <w:rFonts w:ascii="Times" w:eastAsia="Times New Roman" w:hAnsi="Times"/>
          <w:sz w:val="20"/>
          <w:szCs w:val="20"/>
          <w:vertAlign w:val="superscript"/>
          <w:lang w:val="en-CA"/>
        </w:rPr>
        <w:t xml:space="preserve"> </w:t>
      </w:r>
      <w:r w:rsidRPr="005E5757">
        <w:rPr>
          <w:rFonts w:ascii="Times" w:hAnsi="Times"/>
          <w:sz w:val="20"/>
          <w:szCs w:val="20"/>
        </w:rPr>
        <w:t xml:space="preserve">Data reflects total admission by principal applicant and does not include the admission of spouses or dependents. </w:t>
      </w:r>
    </w:p>
  </w:footnote>
  <w:footnote w:id="6">
    <w:p w14:paraId="35FE4E6B" w14:textId="77777777" w:rsidR="00C71D9C" w:rsidRPr="00496977" w:rsidRDefault="00C71D9C" w:rsidP="005E5757">
      <w:pPr>
        <w:pStyle w:val="NormalWeb"/>
        <w:spacing w:before="0" w:beforeAutospacing="0" w:after="0" w:afterAutospacing="0"/>
        <w:ind w:left="284" w:hanging="284"/>
        <w:rPr>
          <w:rFonts w:ascii="Candara" w:hAnsi="Candara"/>
          <w:color w:val="808080" w:themeColor="background1" w:themeShade="80"/>
          <w:sz w:val="14"/>
          <w:szCs w:val="14"/>
        </w:rPr>
      </w:pPr>
      <w:r w:rsidRPr="005E5757">
        <w:rPr>
          <w:rFonts w:ascii="Times" w:eastAsia="Times New Roman" w:hAnsi="Times"/>
          <w:sz w:val="20"/>
          <w:szCs w:val="20"/>
          <w:vertAlign w:val="superscript"/>
          <w:lang w:val="en-CA"/>
        </w:rPr>
        <w:footnoteRef/>
      </w:r>
      <w:r w:rsidRPr="005E5757">
        <w:rPr>
          <w:rFonts w:ascii="Times" w:eastAsia="Times New Roman" w:hAnsi="Times"/>
          <w:sz w:val="20"/>
          <w:szCs w:val="20"/>
          <w:vertAlign w:val="superscript"/>
          <w:lang w:val="en-CA"/>
        </w:rPr>
        <w:t xml:space="preserve"> </w:t>
      </w:r>
      <w:r w:rsidRPr="005E5757">
        <w:rPr>
          <w:rFonts w:ascii="Times" w:hAnsi="Times"/>
          <w:sz w:val="20"/>
          <w:szCs w:val="20"/>
        </w:rPr>
        <w:t>Due to privacy considerations, the figures in this column have been subjected to rounding. Because of this, data may not add up to the totals indicated.</w:t>
      </w:r>
    </w:p>
  </w:footnote>
  <w:footnote w:id="7">
    <w:p w14:paraId="75A01815" w14:textId="51A4807A" w:rsidR="00C71D9C" w:rsidRPr="00543331" w:rsidRDefault="00C71D9C" w:rsidP="00543331">
      <w:pPr>
        <w:pStyle w:val="NormalWeb"/>
        <w:tabs>
          <w:tab w:val="left" w:pos="1560"/>
        </w:tabs>
        <w:spacing w:before="0" w:beforeAutospacing="0" w:after="0" w:afterAutospacing="0"/>
        <w:ind w:left="142" w:hanging="142"/>
        <w:rPr>
          <w:rFonts w:ascii="Times" w:hAnsi="Times"/>
        </w:rPr>
      </w:pPr>
      <w:r>
        <w:rPr>
          <w:rStyle w:val="FootnoteReference"/>
        </w:rPr>
        <w:footnoteRef/>
      </w:r>
      <w:r>
        <w:t xml:space="preserve"> </w:t>
      </w:r>
      <w:r w:rsidRPr="00543331">
        <w:rPr>
          <w:rFonts w:ascii="Times" w:hAnsi="Times"/>
          <w:sz w:val="20"/>
          <w:szCs w:val="20"/>
        </w:rPr>
        <w:t>Gesler, W. M., &amp; Kearns, R. A. (2005). </w:t>
      </w:r>
      <w:r w:rsidRPr="00543331">
        <w:rPr>
          <w:rFonts w:ascii="Times" w:hAnsi="Times"/>
          <w:i/>
          <w:iCs/>
          <w:sz w:val="20"/>
          <w:szCs w:val="20"/>
        </w:rPr>
        <w:t>Culture, Place and Health</w:t>
      </w:r>
      <w:r w:rsidRPr="00543331">
        <w:rPr>
          <w:rFonts w:ascii="Times" w:hAnsi="Times"/>
          <w:sz w:val="20"/>
          <w:szCs w:val="20"/>
        </w:rPr>
        <w:t xml:space="preserve"> (Vol. 16, pg</w:t>
      </w:r>
      <w:r>
        <w:rPr>
          <w:rFonts w:ascii="Times" w:hAnsi="Times"/>
          <w:sz w:val="20"/>
          <w:szCs w:val="20"/>
        </w:rPr>
        <w:t>.</w:t>
      </w:r>
      <w:r w:rsidRPr="00543331">
        <w:rPr>
          <w:rFonts w:ascii="Times" w:hAnsi="Times"/>
          <w:sz w:val="20"/>
          <w:szCs w:val="20"/>
        </w:rPr>
        <w:t xml:space="preserve"> 8). Routledge.</w:t>
      </w:r>
    </w:p>
  </w:footnote>
  <w:footnote w:id="8">
    <w:p w14:paraId="3BCFF3E2" w14:textId="660A2D1F" w:rsidR="00C71D9C" w:rsidRPr="004701A4" w:rsidRDefault="00C71D9C" w:rsidP="004701A4">
      <w:pPr>
        <w:pStyle w:val="FootnoteText"/>
        <w:ind w:left="142" w:hanging="142"/>
        <w:rPr>
          <w:rFonts w:ascii="Times" w:hAnsi="Times"/>
          <w:b/>
          <w:bCs/>
          <w:sz w:val="20"/>
          <w:szCs w:val="20"/>
          <w:lang w:val="en-CA"/>
        </w:rPr>
      </w:pPr>
      <w:r>
        <w:rPr>
          <w:rStyle w:val="FootnoteReference"/>
        </w:rPr>
        <w:footnoteRef/>
      </w:r>
      <w:r>
        <w:t xml:space="preserve"> </w:t>
      </w:r>
      <w:r w:rsidRPr="004701A4">
        <w:rPr>
          <w:rFonts w:ascii="Times" w:hAnsi="Times"/>
          <w:sz w:val="20"/>
          <w:szCs w:val="20"/>
        </w:rPr>
        <w:t xml:space="preserve">Weingarten Learning Resources Centre. (2017). </w:t>
      </w:r>
      <w:r w:rsidRPr="004701A4">
        <w:rPr>
          <w:rFonts w:ascii="Times" w:hAnsi="Times"/>
          <w:sz w:val="20"/>
          <w:szCs w:val="20"/>
          <w:lang w:val="en-CA"/>
        </w:rPr>
        <w:t>Writing Strategies: What’s Your Positionality?</w:t>
      </w:r>
      <w:r w:rsidRPr="004701A4">
        <w:rPr>
          <w:rFonts w:ascii="Times" w:hAnsi="Times"/>
          <w:sz w:val="20"/>
          <w:szCs w:val="20"/>
        </w:rPr>
        <w:t xml:space="preserve"> </w:t>
      </w:r>
      <w:r w:rsidRPr="004701A4">
        <w:rPr>
          <w:rFonts w:ascii="Times" w:hAnsi="Times"/>
          <w:sz w:val="20"/>
          <w:szCs w:val="20"/>
          <w:lang w:val="en-CA"/>
        </w:rPr>
        <w:t>https://weingartenlrc.wordpress.com/2017/01/09/research-writing-whats-your-positionality/</w:t>
      </w:r>
    </w:p>
    <w:p w14:paraId="3E865A8B" w14:textId="33CC06A9" w:rsidR="00C71D9C" w:rsidRPr="00543331" w:rsidRDefault="00C71D9C">
      <w:pPr>
        <w:pStyle w:val="FootnoteText"/>
        <w:rPr>
          <w:lang w:val="en-CA"/>
        </w:rPr>
      </w:pPr>
    </w:p>
  </w:footnote>
  <w:footnote w:id="9">
    <w:p w14:paraId="4A2F5FD2" w14:textId="6A4F0FAC" w:rsidR="00C71D9C" w:rsidRPr="00F217AA" w:rsidRDefault="00C71D9C" w:rsidP="00F217AA">
      <w:pPr>
        <w:pStyle w:val="FootnoteText"/>
        <w:ind w:left="142" w:hanging="142"/>
        <w:rPr>
          <w:lang w:val="en-CA"/>
        </w:rPr>
      </w:pPr>
      <w:r>
        <w:rPr>
          <w:rStyle w:val="FootnoteReference"/>
        </w:rPr>
        <w:footnoteRef/>
      </w:r>
      <w:r>
        <w:t xml:space="preserve"> </w:t>
      </w:r>
      <w:r w:rsidRPr="00F217AA">
        <w:rPr>
          <w:rFonts w:ascii="Times" w:hAnsi="Times"/>
          <w:sz w:val="20"/>
          <w:szCs w:val="20"/>
        </w:rPr>
        <w:t>School Men</w:t>
      </w:r>
      <w:r>
        <w:rPr>
          <w:rFonts w:ascii="Times" w:hAnsi="Times"/>
          <w:sz w:val="20"/>
          <w:szCs w:val="20"/>
        </w:rPr>
        <w:t>tal</w:t>
      </w:r>
      <w:r w:rsidRPr="00F217AA">
        <w:rPr>
          <w:rFonts w:ascii="Times" w:hAnsi="Times"/>
          <w:sz w:val="20"/>
          <w:szCs w:val="20"/>
        </w:rPr>
        <w:t xml:space="preserve"> Health Ontario. (2020). </w:t>
      </w:r>
      <w:r w:rsidRPr="00F217AA">
        <w:rPr>
          <w:rFonts w:ascii="Times" w:hAnsi="Times"/>
          <w:sz w:val="20"/>
          <w:szCs w:val="20"/>
          <w:lang w:val="en-CA"/>
        </w:rPr>
        <w:t>Think In Tiers and</w:t>
      </w:r>
      <w:r w:rsidRPr="00F217AA">
        <w:rPr>
          <w:sz w:val="20"/>
          <w:szCs w:val="20"/>
          <w:lang w:val="en-CA"/>
        </w:rPr>
        <w:t xml:space="preserve"> Focus on the Positive</w:t>
      </w:r>
      <w:r>
        <w:rPr>
          <w:sz w:val="20"/>
          <w:szCs w:val="20"/>
          <w:lang w:val="en-CA"/>
        </w:rPr>
        <w:t xml:space="preserve">. </w:t>
      </w:r>
      <w:r w:rsidRPr="00F217AA">
        <w:rPr>
          <w:sz w:val="20"/>
          <w:szCs w:val="20"/>
          <w:lang w:val="en-CA"/>
        </w:rPr>
        <w:t>https://smho-smso.ca/school-and-system-leaders/learn-more/mental-health-leadership-strategies/think-in-tiers-and-focus-on-the-positive/</w:t>
      </w:r>
    </w:p>
    <w:p w14:paraId="6D870FBE" w14:textId="167BE89D" w:rsidR="00C71D9C" w:rsidRPr="00F217AA" w:rsidRDefault="00C71D9C">
      <w:pPr>
        <w:pStyle w:val="FootnoteText"/>
        <w:rPr>
          <w:lang w:val="en-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64F15" w14:textId="7484B52A" w:rsidR="00C71D9C" w:rsidRPr="002C1A68" w:rsidRDefault="00C71D9C">
    <w:pPr>
      <w:pStyle w:val="Header"/>
      <w:rPr>
        <w:lang w:val="en-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D0434" w14:textId="0641C066" w:rsidR="00C71D9C" w:rsidRPr="002C1A68" w:rsidRDefault="00C71D9C">
    <w:pPr>
      <w:pStyle w:val="Header"/>
      <w:rPr>
        <w:lang w:val="en-CA"/>
      </w:rPr>
    </w:pPr>
    <w:r>
      <w:rPr>
        <w:lang w:val="en-CA"/>
      </w:rPr>
      <w:t>PhD Thesis – H. Dam                           McMaster – Geography and Earth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514927"/>
    <w:multiLevelType w:val="hybridMultilevel"/>
    <w:tmpl w:val="E4CE577E"/>
    <w:lvl w:ilvl="0" w:tplc="E206C58A">
      <w:start w:val="1"/>
      <w:numFmt w:val="decimal"/>
      <w:lvlText w:val="%1)"/>
      <w:lvlJc w:val="left"/>
      <w:pPr>
        <w:ind w:left="927" w:hanging="360"/>
      </w:pPr>
      <w:rPr>
        <w:rFonts w:hint="default"/>
        <w:i w:val="0"/>
        <w:i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460151C5"/>
    <w:multiLevelType w:val="hybridMultilevel"/>
    <w:tmpl w:val="6164B11E"/>
    <w:lvl w:ilvl="0" w:tplc="FF4A8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A43C3A"/>
    <w:multiLevelType w:val="hybridMultilevel"/>
    <w:tmpl w:val="6164B11E"/>
    <w:lvl w:ilvl="0" w:tplc="FF4A8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F14CFB"/>
    <w:multiLevelType w:val="hybridMultilevel"/>
    <w:tmpl w:val="CFFC7584"/>
    <w:lvl w:ilvl="0" w:tplc="13BC9A80">
      <w:start w:val="1"/>
      <w:numFmt w:val="decimal"/>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4" w15:restartNumberingAfterBreak="0">
    <w:nsid w:val="7731759B"/>
    <w:multiLevelType w:val="hybridMultilevel"/>
    <w:tmpl w:val="6164B11E"/>
    <w:lvl w:ilvl="0" w:tplc="FF4A81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B6A5CE4"/>
    <w:multiLevelType w:val="hybridMultilevel"/>
    <w:tmpl w:val="BED6D274"/>
    <w:lvl w:ilvl="0" w:tplc="AA109CEE">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6" w15:restartNumberingAfterBreak="0">
    <w:nsid w:val="7DFA3A04"/>
    <w:multiLevelType w:val="hybridMultilevel"/>
    <w:tmpl w:val="8D4E59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F164478"/>
    <w:multiLevelType w:val="hybridMultilevel"/>
    <w:tmpl w:val="F1502FE2"/>
    <w:lvl w:ilvl="0" w:tplc="7BA61A3C">
      <w:start w:val="1"/>
      <w:numFmt w:val="bullet"/>
      <w:lvlText w:val="•"/>
      <w:lvlJc w:val="left"/>
      <w:pPr>
        <w:tabs>
          <w:tab w:val="num" w:pos="720"/>
        </w:tabs>
        <w:ind w:left="720" w:hanging="360"/>
      </w:pPr>
      <w:rPr>
        <w:rFonts w:ascii="Times New Roman" w:hAnsi="Times New Roman" w:hint="default"/>
      </w:rPr>
    </w:lvl>
    <w:lvl w:ilvl="1" w:tplc="C6346DE0" w:tentative="1">
      <w:start w:val="1"/>
      <w:numFmt w:val="bullet"/>
      <w:lvlText w:val="•"/>
      <w:lvlJc w:val="left"/>
      <w:pPr>
        <w:tabs>
          <w:tab w:val="num" w:pos="1440"/>
        </w:tabs>
        <w:ind w:left="1440" w:hanging="360"/>
      </w:pPr>
      <w:rPr>
        <w:rFonts w:ascii="Times New Roman" w:hAnsi="Times New Roman" w:hint="default"/>
      </w:rPr>
    </w:lvl>
    <w:lvl w:ilvl="2" w:tplc="8834C55E" w:tentative="1">
      <w:start w:val="1"/>
      <w:numFmt w:val="bullet"/>
      <w:lvlText w:val="•"/>
      <w:lvlJc w:val="left"/>
      <w:pPr>
        <w:tabs>
          <w:tab w:val="num" w:pos="2160"/>
        </w:tabs>
        <w:ind w:left="2160" w:hanging="360"/>
      </w:pPr>
      <w:rPr>
        <w:rFonts w:ascii="Times New Roman" w:hAnsi="Times New Roman" w:hint="default"/>
      </w:rPr>
    </w:lvl>
    <w:lvl w:ilvl="3" w:tplc="44B442C4" w:tentative="1">
      <w:start w:val="1"/>
      <w:numFmt w:val="bullet"/>
      <w:lvlText w:val="•"/>
      <w:lvlJc w:val="left"/>
      <w:pPr>
        <w:tabs>
          <w:tab w:val="num" w:pos="2880"/>
        </w:tabs>
        <w:ind w:left="2880" w:hanging="360"/>
      </w:pPr>
      <w:rPr>
        <w:rFonts w:ascii="Times New Roman" w:hAnsi="Times New Roman" w:hint="default"/>
      </w:rPr>
    </w:lvl>
    <w:lvl w:ilvl="4" w:tplc="E2E4CEE6" w:tentative="1">
      <w:start w:val="1"/>
      <w:numFmt w:val="bullet"/>
      <w:lvlText w:val="•"/>
      <w:lvlJc w:val="left"/>
      <w:pPr>
        <w:tabs>
          <w:tab w:val="num" w:pos="3600"/>
        </w:tabs>
        <w:ind w:left="3600" w:hanging="360"/>
      </w:pPr>
      <w:rPr>
        <w:rFonts w:ascii="Times New Roman" w:hAnsi="Times New Roman" w:hint="default"/>
      </w:rPr>
    </w:lvl>
    <w:lvl w:ilvl="5" w:tplc="E7621D36" w:tentative="1">
      <w:start w:val="1"/>
      <w:numFmt w:val="bullet"/>
      <w:lvlText w:val="•"/>
      <w:lvlJc w:val="left"/>
      <w:pPr>
        <w:tabs>
          <w:tab w:val="num" w:pos="4320"/>
        </w:tabs>
        <w:ind w:left="4320" w:hanging="360"/>
      </w:pPr>
      <w:rPr>
        <w:rFonts w:ascii="Times New Roman" w:hAnsi="Times New Roman" w:hint="default"/>
      </w:rPr>
    </w:lvl>
    <w:lvl w:ilvl="6" w:tplc="2828CE9A" w:tentative="1">
      <w:start w:val="1"/>
      <w:numFmt w:val="bullet"/>
      <w:lvlText w:val="•"/>
      <w:lvlJc w:val="left"/>
      <w:pPr>
        <w:tabs>
          <w:tab w:val="num" w:pos="5040"/>
        </w:tabs>
        <w:ind w:left="5040" w:hanging="360"/>
      </w:pPr>
      <w:rPr>
        <w:rFonts w:ascii="Times New Roman" w:hAnsi="Times New Roman" w:hint="default"/>
      </w:rPr>
    </w:lvl>
    <w:lvl w:ilvl="7" w:tplc="8E02639E" w:tentative="1">
      <w:start w:val="1"/>
      <w:numFmt w:val="bullet"/>
      <w:lvlText w:val="•"/>
      <w:lvlJc w:val="left"/>
      <w:pPr>
        <w:tabs>
          <w:tab w:val="num" w:pos="5760"/>
        </w:tabs>
        <w:ind w:left="5760" w:hanging="360"/>
      </w:pPr>
      <w:rPr>
        <w:rFonts w:ascii="Times New Roman" w:hAnsi="Times New Roman" w:hint="default"/>
      </w:rPr>
    </w:lvl>
    <w:lvl w:ilvl="8" w:tplc="3DF2E032"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4"/>
  </w:num>
  <w:num w:numId="3">
    <w:abstractNumId w:val="7"/>
  </w:num>
  <w:num w:numId="4">
    <w:abstractNumId w:val="6"/>
  </w:num>
  <w:num w:numId="5">
    <w:abstractNumId w:val="3"/>
  </w:num>
  <w:num w:numId="6">
    <w:abstractNumId w:val="0"/>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6F9"/>
    <w:rsid w:val="0000050A"/>
    <w:rsid w:val="0000228B"/>
    <w:rsid w:val="000038B5"/>
    <w:rsid w:val="00003A69"/>
    <w:rsid w:val="000058DC"/>
    <w:rsid w:val="00005D7B"/>
    <w:rsid w:val="000071A0"/>
    <w:rsid w:val="000102AA"/>
    <w:rsid w:val="0001115B"/>
    <w:rsid w:val="00013140"/>
    <w:rsid w:val="000141F6"/>
    <w:rsid w:val="0001552C"/>
    <w:rsid w:val="000168F0"/>
    <w:rsid w:val="00016F44"/>
    <w:rsid w:val="0001746A"/>
    <w:rsid w:val="00021A61"/>
    <w:rsid w:val="0002258A"/>
    <w:rsid w:val="00022A96"/>
    <w:rsid w:val="000237A9"/>
    <w:rsid w:val="00023CDF"/>
    <w:rsid w:val="0002407C"/>
    <w:rsid w:val="0003583B"/>
    <w:rsid w:val="00041EF5"/>
    <w:rsid w:val="000434A9"/>
    <w:rsid w:val="00045E98"/>
    <w:rsid w:val="00046383"/>
    <w:rsid w:val="0004685E"/>
    <w:rsid w:val="00046D97"/>
    <w:rsid w:val="000534FC"/>
    <w:rsid w:val="00056516"/>
    <w:rsid w:val="00056F37"/>
    <w:rsid w:val="00062E17"/>
    <w:rsid w:val="0006442C"/>
    <w:rsid w:val="00070021"/>
    <w:rsid w:val="00071536"/>
    <w:rsid w:val="000727A8"/>
    <w:rsid w:val="000728A2"/>
    <w:rsid w:val="0007291D"/>
    <w:rsid w:val="00073C71"/>
    <w:rsid w:val="0007432A"/>
    <w:rsid w:val="00074BD2"/>
    <w:rsid w:val="00074D6B"/>
    <w:rsid w:val="00075A80"/>
    <w:rsid w:val="00075F97"/>
    <w:rsid w:val="0007626E"/>
    <w:rsid w:val="00076440"/>
    <w:rsid w:val="00076BB9"/>
    <w:rsid w:val="00076F75"/>
    <w:rsid w:val="000811CB"/>
    <w:rsid w:val="00081593"/>
    <w:rsid w:val="00081C84"/>
    <w:rsid w:val="00082219"/>
    <w:rsid w:val="00085E82"/>
    <w:rsid w:val="00086D52"/>
    <w:rsid w:val="00090320"/>
    <w:rsid w:val="00091942"/>
    <w:rsid w:val="00092B71"/>
    <w:rsid w:val="00094625"/>
    <w:rsid w:val="000972E9"/>
    <w:rsid w:val="000979A5"/>
    <w:rsid w:val="000A0820"/>
    <w:rsid w:val="000A11D5"/>
    <w:rsid w:val="000A20E7"/>
    <w:rsid w:val="000A29B2"/>
    <w:rsid w:val="000A3A2A"/>
    <w:rsid w:val="000A576B"/>
    <w:rsid w:val="000A5FD9"/>
    <w:rsid w:val="000A77C2"/>
    <w:rsid w:val="000B08D0"/>
    <w:rsid w:val="000B08EC"/>
    <w:rsid w:val="000B0CEB"/>
    <w:rsid w:val="000B196E"/>
    <w:rsid w:val="000B1ED7"/>
    <w:rsid w:val="000B3A40"/>
    <w:rsid w:val="000B3B43"/>
    <w:rsid w:val="000B3DC1"/>
    <w:rsid w:val="000B44FF"/>
    <w:rsid w:val="000B4FE0"/>
    <w:rsid w:val="000B5EBF"/>
    <w:rsid w:val="000B62F1"/>
    <w:rsid w:val="000B6AE8"/>
    <w:rsid w:val="000B6FAA"/>
    <w:rsid w:val="000B765E"/>
    <w:rsid w:val="000B7C4C"/>
    <w:rsid w:val="000C1164"/>
    <w:rsid w:val="000C1FCF"/>
    <w:rsid w:val="000C2662"/>
    <w:rsid w:val="000C2D83"/>
    <w:rsid w:val="000C558F"/>
    <w:rsid w:val="000C57F9"/>
    <w:rsid w:val="000C5E91"/>
    <w:rsid w:val="000C6A92"/>
    <w:rsid w:val="000C6B1D"/>
    <w:rsid w:val="000C7A90"/>
    <w:rsid w:val="000D1128"/>
    <w:rsid w:val="000D25C1"/>
    <w:rsid w:val="000D3516"/>
    <w:rsid w:val="000D373A"/>
    <w:rsid w:val="000D4445"/>
    <w:rsid w:val="000D4D31"/>
    <w:rsid w:val="000D4DB7"/>
    <w:rsid w:val="000D692E"/>
    <w:rsid w:val="000D6C90"/>
    <w:rsid w:val="000D7FEC"/>
    <w:rsid w:val="000E08A5"/>
    <w:rsid w:val="000E0FCD"/>
    <w:rsid w:val="000E152C"/>
    <w:rsid w:val="000E220F"/>
    <w:rsid w:val="000E50F1"/>
    <w:rsid w:val="000E65F9"/>
    <w:rsid w:val="000F0481"/>
    <w:rsid w:val="000F1523"/>
    <w:rsid w:val="000F249C"/>
    <w:rsid w:val="000F444C"/>
    <w:rsid w:val="000F654E"/>
    <w:rsid w:val="001003C8"/>
    <w:rsid w:val="001035BB"/>
    <w:rsid w:val="00103CA3"/>
    <w:rsid w:val="0010462E"/>
    <w:rsid w:val="001069FA"/>
    <w:rsid w:val="00110913"/>
    <w:rsid w:val="00111E82"/>
    <w:rsid w:val="001130B6"/>
    <w:rsid w:val="00113E5F"/>
    <w:rsid w:val="00117521"/>
    <w:rsid w:val="00117DAC"/>
    <w:rsid w:val="00117DB1"/>
    <w:rsid w:val="001203CD"/>
    <w:rsid w:val="00121C5A"/>
    <w:rsid w:val="001220A8"/>
    <w:rsid w:val="00126557"/>
    <w:rsid w:val="00130784"/>
    <w:rsid w:val="00130F1B"/>
    <w:rsid w:val="0013122A"/>
    <w:rsid w:val="00132593"/>
    <w:rsid w:val="00132E7B"/>
    <w:rsid w:val="00134F4F"/>
    <w:rsid w:val="00135B3D"/>
    <w:rsid w:val="001365EE"/>
    <w:rsid w:val="00136707"/>
    <w:rsid w:val="001406DB"/>
    <w:rsid w:val="00142657"/>
    <w:rsid w:val="0014369A"/>
    <w:rsid w:val="001442E3"/>
    <w:rsid w:val="00145510"/>
    <w:rsid w:val="001479B6"/>
    <w:rsid w:val="0015059F"/>
    <w:rsid w:val="00150CB1"/>
    <w:rsid w:val="00152514"/>
    <w:rsid w:val="001535EA"/>
    <w:rsid w:val="00153F86"/>
    <w:rsid w:val="001540BC"/>
    <w:rsid w:val="0015685C"/>
    <w:rsid w:val="00156D75"/>
    <w:rsid w:val="00157B4A"/>
    <w:rsid w:val="00160069"/>
    <w:rsid w:val="0016114E"/>
    <w:rsid w:val="00161935"/>
    <w:rsid w:val="00164A2B"/>
    <w:rsid w:val="001660AC"/>
    <w:rsid w:val="0016613C"/>
    <w:rsid w:val="0016772E"/>
    <w:rsid w:val="00167C05"/>
    <w:rsid w:val="00170F33"/>
    <w:rsid w:val="00172E0C"/>
    <w:rsid w:val="0017397E"/>
    <w:rsid w:val="00173A55"/>
    <w:rsid w:val="00173BD7"/>
    <w:rsid w:val="001752C0"/>
    <w:rsid w:val="0017532A"/>
    <w:rsid w:val="001767B1"/>
    <w:rsid w:val="001839D4"/>
    <w:rsid w:val="00192776"/>
    <w:rsid w:val="00192B98"/>
    <w:rsid w:val="00194FF6"/>
    <w:rsid w:val="00197B91"/>
    <w:rsid w:val="001A0D86"/>
    <w:rsid w:val="001A0E8F"/>
    <w:rsid w:val="001A17B9"/>
    <w:rsid w:val="001A1DE6"/>
    <w:rsid w:val="001A1E61"/>
    <w:rsid w:val="001A3B9D"/>
    <w:rsid w:val="001A3EEB"/>
    <w:rsid w:val="001A652D"/>
    <w:rsid w:val="001B1968"/>
    <w:rsid w:val="001B3312"/>
    <w:rsid w:val="001B3EE2"/>
    <w:rsid w:val="001B446E"/>
    <w:rsid w:val="001B5D00"/>
    <w:rsid w:val="001C0A7D"/>
    <w:rsid w:val="001C10AD"/>
    <w:rsid w:val="001C2CFE"/>
    <w:rsid w:val="001C2F78"/>
    <w:rsid w:val="001C4B7C"/>
    <w:rsid w:val="001C7D39"/>
    <w:rsid w:val="001D04D9"/>
    <w:rsid w:val="001D1FAD"/>
    <w:rsid w:val="001D63C3"/>
    <w:rsid w:val="001D6BD7"/>
    <w:rsid w:val="001D7947"/>
    <w:rsid w:val="001E054F"/>
    <w:rsid w:val="001E33BD"/>
    <w:rsid w:val="001E3F1F"/>
    <w:rsid w:val="001E4182"/>
    <w:rsid w:val="001E611B"/>
    <w:rsid w:val="001E795B"/>
    <w:rsid w:val="001E7F64"/>
    <w:rsid w:val="001F027D"/>
    <w:rsid w:val="001F0BF0"/>
    <w:rsid w:val="001F0F7D"/>
    <w:rsid w:val="001F0FF4"/>
    <w:rsid w:val="001F1198"/>
    <w:rsid w:val="001F138E"/>
    <w:rsid w:val="001F440B"/>
    <w:rsid w:val="001F4E10"/>
    <w:rsid w:val="001F5C2F"/>
    <w:rsid w:val="001F622A"/>
    <w:rsid w:val="001F63EC"/>
    <w:rsid w:val="001F6AD5"/>
    <w:rsid w:val="001F7318"/>
    <w:rsid w:val="0020124A"/>
    <w:rsid w:val="00204EAF"/>
    <w:rsid w:val="00206855"/>
    <w:rsid w:val="002144A0"/>
    <w:rsid w:val="00214C9F"/>
    <w:rsid w:val="002170BA"/>
    <w:rsid w:val="00217A17"/>
    <w:rsid w:val="002200D9"/>
    <w:rsid w:val="002219CC"/>
    <w:rsid w:val="00222C20"/>
    <w:rsid w:val="0022537F"/>
    <w:rsid w:val="00225457"/>
    <w:rsid w:val="00226E57"/>
    <w:rsid w:val="002270D8"/>
    <w:rsid w:val="00227C7F"/>
    <w:rsid w:val="00227CF9"/>
    <w:rsid w:val="00230033"/>
    <w:rsid w:val="00232098"/>
    <w:rsid w:val="002321BF"/>
    <w:rsid w:val="00232C64"/>
    <w:rsid w:val="00234963"/>
    <w:rsid w:val="0023566F"/>
    <w:rsid w:val="00244736"/>
    <w:rsid w:val="00245568"/>
    <w:rsid w:val="00246C21"/>
    <w:rsid w:val="00247732"/>
    <w:rsid w:val="002501FB"/>
    <w:rsid w:val="002507B7"/>
    <w:rsid w:val="00251DD9"/>
    <w:rsid w:val="00253FE9"/>
    <w:rsid w:val="00254680"/>
    <w:rsid w:val="00256724"/>
    <w:rsid w:val="002573CC"/>
    <w:rsid w:val="00260311"/>
    <w:rsid w:val="002658BF"/>
    <w:rsid w:val="0026655B"/>
    <w:rsid w:val="00266822"/>
    <w:rsid w:val="0026684B"/>
    <w:rsid w:val="00276D25"/>
    <w:rsid w:val="0027789C"/>
    <w:rsid w:val="00280192"/>
    <w:rsid w:val="00286231"/>
    <w:rsid w:val="0028665F"/>
    <w:rsid w:val="00287388"/>
    <w:rsid w:val="002900E3"/>
    <w:rsid w:val="002902A6"/>
    <w:rsid w:val="0029095F"/>
    <w:rsid w:val="00291C93"/>
    <w:rsid w:val="00292C20"/>
    <w:rsid w:val="00293FCE"/>
    <w:rsid w:val="0029438C"/>
    <w:rsid w:val="00294BC2"/>
    <w:rsid w:val="00294E2D"/>
    <w:rsid w:val="00297599"/>
    <w:rsid w:val="002A0F7D"/>
    <w:rsid w:val="002A2F27"/>
    <w:rsid w:val="002A5B26"/>
    <w:rsid w:val="002B17A0"/>
    <w:rsid w:val="002B47F1"/>
    <w:rsid w:val="002B4933"/>
    <w:rsid w:val="002B4F6E"/>
    <w:rsid w:val="002B4FDC"/>
    <w:rsid w:val="002B50FD"/>
    <w:rsid w:val="002B52B1"/>
    <w:rsid w:val="002B5AFC"/>
    <w:rsid w:val="002B6036"/>
    <w:rsid w:val="002B65AA"/>
    <w:rsid w:val="002B6F23"/>
    <w:rsid w:val="002B7CEE"/>
    <w:rsid w:val="002C0F41"/>
    <w:rsid w:val="002C1A68"/>
    <w:rsid w:val="002C328F"/>
    <w:rsid w:val="002C4278"/>
    <w:rsid w:val="002C493B"/>
    <w:rsid w:val="002C536D"/>
    <w:rsid w:val="002C6DC2"/>
    <w:rsid w:val="002C7292"/>
    <w:rsid w:val="002D338F"/>
    <w:rsid w:val="002D72AB"/>
    <w:rsid w:val="002D7ABC"/>
    <w:rsid w:val="002E2A02"/>
    <w:rsid w:val="002E2B8A"/>
    <w:rsid w:val="002E3BD5"/>
    <w:rsid w:val="002E3EC5"/>
    <w:rsid w:val="002E43DB"/>
    <w:rsid w:val="002E7322"/>
    <w:rsid w:val="002F24B4"/>
    <w:rsid w:val="002F2899"/>
    <w:rsid w:val="002F5064"/>
    <w:rsid w:val="002F7529"/>
    <w:rsid w:val="002F7987"/>
    <w:rsid w:val="002F7BE5"/>
    <w:rsid w:val="00300BDA"/>
    <w:rsid w:val="00306C8F"/>
    <w:rsid w:val="00310F91"/>
    <w:rsid w:val="003148E4"/>
    <w:rsid w:val="0031594C"/>
    <w:rsid w:val="0031658B"/>
    <w:rsid w:val="00317E4B"/>
    <w:rsid w:val="00320D35"/>
    <w:rsid w:val="00320D66"/>
    <w:rsid w:val="00321837"/>
    <w:rsid w:val="00324311"/>
    <w:rsid w:val="003264F7"/>
    <w:rsid w:val="00326C6D"/>
    <w:rsid w:val="00326C7C"/>
    <w:rsid w:val="00326D14"/>
    <w:rsid w:val="003271D4"/>
    <w:rsid w:val="00327711"/>
    <w:rsid w:val="00331205"/>
    <w:rsid w:val="00332214"/>
    <w:rsid w:val="00333830"/>
    <w:rsid w:val="00337E5E"/>
    <w:rsid w:val="003409FB"/>
    <w:rsid w:val="0034116D"/>
    <w:rsid w:val="00341E59"/>
    <w:rsid w:val="003427B6"/>
    <w:rsid w:val="00343493"/>
    <w:rsid w:val="00343EF2"/>
    <w:rsid w:val="00345955"/>
    <w:rsid w:val="00347790"/>
    <w:rsid w:val="00351DC6"/>
    <w:rsid w:val="00352D05"/>
    <w:rsid w:val="0035401B"/>
    <w:rsid w:val="003565BA"/>
    <w:rsid w:val="003613D8"/>
    <w:rsid w:val="00362FAB"/>
    <w:rsid w:val="00363846"/>
    <w:rsid w:val="003664A8"/>
    <w:rsid w:val="00366B63"/>
    <w:rsid w:val="00366C94"/>
    <w:rsid w:val="003676F4"/>
    <w:rsid w:val="0037059E"/>
    <w:rsid w:val="00374318"/>
    <w:rsid w:val="0037519A"/>
    <w:rsid w:val="00375577"/>
    <w:rsid w:val="003776C7"/>
    <w:rsid w:val="00381852"/>
    <w:rsid w:val="003819B5"/>
    <w:rsid w:val="00381C37"/>
    <w:rsid w:val="003821FF"/>
    <w:rsid w:val="003841C1"/>
    <w:rsid w:val="00385075"/>
    <w:rsid w:val="00385319"/>
    <w:rsid w:val="0038544C"/>
    <w:rsid w:val="00386919"/>
    <w:rsid w:val="003909AF"/>
    <w:rsid w:val="00390C75"/>
    <w:rsid w:val="00397384"/>
    <w:rsid w:val="003A1E17"/>
    <w:rsid w:val="003A2071"/>
    <w:rsid w:val="003A29C1"/>
    <w:rsid w:val="003A496D"/>
    <w:rsid w:val="003A5A43"/>
    <w:rsid w:val="003A77BD"/>
    <w:rsid w:val="003B0732"/>
    <w:rsid w:val="003B1B28"/>
    <w:rsid w:val="003B1C8F"/>
    <w:rsid w:val="003B1F52"/>
    <w:rsid w:val="003B42BB"/>
    <w:rsid w:val="003B5EB2"/>
    <w:rsid w:val="003B6FDB"/>
    <w:rsid w:val="003B724D"/>
    <w:rsid w:val="003C2518"/>
    <w:rsid w:val="003C2A44"/>
    <w:rsid w:val="003C3015"/>
    <w:rsid w:val="003C3755"/>
    <w:rsid w:val="003C4CD9"/>
    <w:rsid w:val="003C5E8D"/>
    <w:rsid w:val="003C6534"/>
    <w:rsid w:val="003C65B0"/>
    <w:rsid w:val="003C674C"/>
    <w:rsid w:val="003D0E88"/>
    <w:rsid w:val="003D1646"/>
    <w:rsid w:val="003D1E34"/>
    <w:rsid w:val="003D2529"/>
    <w:rsid w:val="003D2E79"/>
    <w:rsid w:val="003D35C6"/>
    <w:rsid w:val="003D4FDB"/>
    <w:rsid w:val="003D66D3"/>
    <w:rsid w:val="003D72B6"/>
    <w:rsid w:val="003E079D"/>
    <w:rsid w:val="003E20A6"/>
    <w:rsid w:val="003E463F"/>
    <w:rsid w:val="003E4D44"/>
    <w:rsid w:val="003E4FF7"/>
    <w:rsid w:val="003E5C1A"/>
    <w:rsid w:val="003E5E63"/>
    <w:rsid w:val="003E6123"/>
    <w:rsid w:val="003E6228"/>
    <w:rsid w:val="003F1D48"/>
    <w:rsid w:val="003F2360"/>
    <w:rsid w:val="003F2A75"/>
    <w:rsid w:val="003F3125"/>
    <w:rsid w:val="003F5B8D"/>
    <w:rsid w:val="003F5DAC"/>
    <w:rsid w:val="003F6B02"/>
    <w:rsid w:val="003F78CB"/>
    <w:rsid w:val="003F7BF6"/>
    <w:rsid w:val="00400800"/>
    <w:rsid w:val="00401F74"/>
    <w:rsid w:val="00404943"/>
    <w:rsid w:val="00412C73"/>
    <w:rsid w:val="004147DE"/>
    <w:rsid w:val="00424888"/>
    <w:rsid w:val="00424932"/>
    <w:rsid w:val="00430C12"/>
    <w:rsid w:val="00432769"/>
    <w:rsid w:val="00432F88"/>
    <w:rsid w:val="00433B21"/>
    <w:rsid w:val="0043604C"/>
    <w:rsid w:val="004361FB"/>
    <w:rsid w:val="00441C2B"/>
    <w:rsid w:val="00441E54"/>
    <w:rsid w:val="0044291E"/>
    <w:rsid w:val="00442ACA"/>
    <w:rsid w:val="00443377"/>
    <w:rsid w:val="00446CAD"/>
    <w:rsid w:val="00447462"/>
    <w:rsid w:val="00450524"/>
    <w:rsid w:val="00450800"/>
    <w:rsid w:val="00454102"/>
    <w:rsid w:val="00454B76"/>
    <w:rsid w:val="00455CBC"/>
    <w:rsid w:val="00456316"/>
    <w:rsid w:val="00456523"/>
    <w:rsid w:val="00457160"/>
    <w:rsid w:val="00461CF3"/>
    <w:rsid w:val="0046246C"/>
    <w:rsid w:val="00462645"/>
    <w:rsid w:val="00462D21"/>
    <w:rsid w:val="0046387C"/>
    <w:rsid w:val="00463D38"/>
    <w:rsid w:val="00464A74"/>
    <w:rsid w:val="00467285"/>
    <w:rsid w:val="00467DFA"/>
    <w:rsid w:val="004701A4"/>
    <w:rsid w:val="0047291A"/>
    <w:rsid w:val="004734E6"/>
    <w:rsid w:val="004745A2"/>
    <w:rsid w:val="00474BB2"/>
    <w:rsid w:val="004753A0"/>
    <w:rsid w:val="004755E7"/>
    <w:rsid w:val="004758A2"/>
    <w:rsid w:val="00475F0F"/>
    <w:rsid w:val="0047793A"/>
    <w:rsid w:val="00477B49"/>
    <w:rsid w:val="00480474"/>
    <w:rsid w:val="004817DF"/>
    <w:rsid w:val="004840F7"/>
    <w:rsid w:val="00484142"/>
    <w:rsid w:val="0048499A"/>
    <w:rsid w:val="0048502F"/>
    <w:rsid w:val="00491182"/>
    <w:rsid w:val="00493A3A"/>
    <w:rsid w:val="0049719E"/>
    <w:rsid w:val="004A2076"/>
    <w:rsid w:val="004A34AB"/>
    <w:rsid w:val="004A3FFD"/>
    <w:rsid w:val="004A57A4"/>
    <w:rsid w:val="004A5999"/>
    <w:rsid w:val="004A5B53"/>
    <w:rsid w:val="004A5C2B"/>
    <w:rsid w:val="004A65C8"/>
    <w:rsid w:val="004A74B7"/>
    <w:rsid w:val="004B128E"/>
    <w:rsid w:val="004B17C9"/>
    <w:rsid w:val="004B3934"/>
    <w:rsid w:val="004B3D0B"/>
    <w:rsid w:val="004B4B59"/>
    <w:rsid w:val="004B59A0"/>
    <w:rsid w:val="004B6F0B"/>
    <w:rsid w:val="004B7B8D"/>
    <w:rsid w:val="004C190A"/>
    <w:rsid w:val="004C4950"/>
    <w:rsid w:val="004C4962"/>
    <w:rsid w:val="004C49FB"/>
    <w:rsid w:val="004C63BA"/>
    <w:rsid w:val="004C7774"/>
    <w:rsid w:val="004D0A3E"/>
    <w:rsid w:val="004D25F5"/>
    <w:rsid w:val="004D3782"/>
    <w:rsid w:val="004D3B03"/>
    <w:rsid w:val="004D5268"/>
    <w:rsid w:val="004D6121"/>
    <w:rsid w:val="004D6F57"/>
    <w:rsid w:val="004E0EFB"/>
    <w:rsid w:val="004E11F5"/>
    <w:rsid w:val="004E143E"/>
    <w:rsid w:val="004E19CF"/>
    <w:rsid w:val="004E412B"/>
    <w:rsid w:val="004E4644"/>
    <w:rsid w:val="004E70F8"/>
    <w:rsid w:val="004E7F90"/>
    <w:rsid w:val="004F05AC"/>
    <w:rsid w:val="004F1A18"/>
    <w:rsid w:val="004F1DDD"/>
    <w:rsid w:val="004F2D3A"/>
    <w:rsid w:val="004F3CB3"/>
    <w:rsid w:val="004F3D1B"/>
    <w:rsid w:val="004F3F21"/>
    <w:rsid w:val="004F62EF"/>
    <w:rsid w:val="0050039E"/>
    <w:rsid w:val="00506735"/>
    <w:rsid w:val="00507905"/>
    <w:rsid w:val="005100D0"/>
    <w:rsid w:val="005115BC"/>
    <w:rsid w:val="00512A71"/>
    <w:rsid w:val="00513593"/>
    <w:rsid w:val="00513ABC"/>
    <w:rsid w:val="00516248"/>
    <w:rsid w:val="00522120"/>
    <w:rsid w:val="00525AD4"/>
    <w:rsid w:val="00527189"/>
    <w:rsid w:val="00530729"/>
    <w:rsid w:val="00530CCF"/>
    <w:rsid w:val="00532EF2"/>
    <w:rsid w:val="00537CEF"/>
    <w:rsid w:val="0054194B"/>
    <w:rsid w:val="0054293D"/>
    <w:rsid w:val="00543331"/>
    <w:rsid w:val="005433BC"/>
    <w:rsid w:val="00543C20"/>
    <w:rsid w:val="00543C9A"/>
    <w:rsid w:val="00546134"/>
    <w:rsid w:val="00552775"/>
    <w:rsid w:val="00553C9A"/>
    <w:rsid w:val="005549D7"/>
    <w:rsid w:val="00557D77"/>
    <w:rsid w:val="005615B3"/>
    <w:rsid w:val="00564234"/>
    <w:rsid w:val="0056572A"/>
    <w:rsid w:val="0056666C"/>
    <w:rsid w:val="005666C5"/>
    <w:rsid w:val="00567803"/>
    <w:rsid w:val="0057247D"/>
    <w:rsid w:val="00577E0F"/>
    <w:rsid w:val="00580653"/>
    <w:rsid w:val="00580767"/>
    <w:rsid w:val="0058097A"/>
    <w:rsid w:val="00580C11"/>
    <w:rsid w:val="00581499"/>
    <w:rsid w:val="0058232E"/>
    <w:rsid w:val="00583171"/>
    <w:rsid w:val="00583505"/>
    <w:rsid w:val="00583583"/>
    <w:rsid w:val="00587196"/>
    <w:rsid w:val="0058732B"/>
    <w:rsid w:val="005903D4"/>
    <w:rsid w:val="005920AD"/>
    <w:rsid w:val="00593C07"/>
    <w:rsid w:val="00593DE3"/>
    <w:rsid w:val="00594ACF"/>
    <w:rsid w:val="00597C27"/>
    <w:rsid w:val="005A00B5"/>
    <w:rsid w:val="005A040A"/>
    <w:rsid w:val="005A284D"/>
    <w:rsid w:val="005A705E"/>
    <w:rsid w:val="005A72BE"/>
    <w:rsid w:val="005A7B0E"/>
    <w:rsid w:val="005B0A8C"/>
    <w:rsid w:val="005B0F0F"/>
    <w:rsid w:val="005B208D"/>
    <w:rsid w:val="005B248B"/>
    <w:rsid w:val="005B6FB4"/>
    <w:rsid w:val="005B7DC1"/>
    <w:rsid w:val="005C0B1C"/>
    <w:rsid w:val="005C29E8"/>
    <w:rsid w:val="005C2A3F"/>
    <w:rsid w:val="005C3FFE"/>
    <w:rsid w:val="005C4728"/>
    <w:rsid w:val="005C52D8"/>
    <w:rsid w:val="005C5FD4"/>
    <w:rsid w:val="005D09BD"/>
    <w:rsid w:val="005D0D8D"/>
    <w:rsid w:val="005D2A6F"/>
    <w:rsid w:val="005D2F71"/>
    <w:rsid w:val="005D48CB"/>
    <w:rsid w:val="005D50A9"/>
    <w:rsid w:val="005D531D"/>
    <w:rsid w:val="005D5371"/>
    <w:rsid w:val="005D60E2"/>
    <w:rsid w:val="005D64E8"/>
    <w:rsid w:val="005D6EDB"/>
    <w:rsid w:val="005D7B33"/>
    <w:rsid w:val="005D7F5A"/>
    <w:rsid w:val="005E127F"/>
    <w:rsid w:val="005E1BA5"/>
    <w:rsid w:val="005E238D"/>
    <w:rsid w:val="005E3001"/>
    <w:rsid w:val="005E3AD8"/>
    <w:rsid w:val="005E5143"/>
    <w:rsid w:val="005E5418"/>
    <w:rsid w:val="005E5757"/>
    <w:rsid w:val="005E5E64"/>
    <w:rsid w:val="005E7E8E"/>
    <w:rsid w:val="005F0B55"/>
    <w:rsid w:val="005F0EC6"/>
    <w:rsid w:val="005F20AC"/>
    <w:rsid w:val="005F484F"/>
    <w:rsid w:val="005F48AB"/>
    <w:rsid w:val="005F5987"/>
    <w:rsid w:val="005F726C"/>
    <w:rsid w:val="005F798B"/>
    <w:rsid w:val="00600E09"/>
    <w:rsid w:val="006023AE"/>
    <w:rsid w:val="00604EFE"/>
    <w:rsid w:val="00605DCA"/>
    <w:rsid w:val="006076E2"/>
    <w:rsid w:val="00607705"/>
    <w:rsid w:val="00610B94"/>
    <w:rsid w:val="00615BDC"/>
    <w:rsid w:val="006161FD"/>
    <w:rsid w:val="00621619"/>
    <w:rsid w:val="00621D0F"/>
    <w:rsid w:val="00621FF8"/>
    <w:rsid w:val="00622539"/>
    <w:rsid w:val="006241D0"/>
    <w:rsid w:val="0062559D"/>
    <w:rsid w:val="00626562"/>
    <w:rsid w:val="00627462"/>
    <w:rsid w:val="006308B7"/>
    <w:rsid w:val="00630BCD"/>
    <w:rsid w:val="00631958"/>
    <w:rsid w:val="006335D8"/>
    <w:rsid w:val="006366F9"/>
    <w:rsid w:val="00637BA4"/>
    <w:rsid w:val="00637BFD"/>
    <w:rsid w:val="0064015D"/>
    <w:rsid w:val="006419E3"/>
    <w:rsid w:val="00644CDA"/>
    <w:rsid w:val="00650C71"/>
    <w:rsid w:val="00651C7F"/>
    <w:rsid w:val="00652AB2"/>
    <w:rsid w:val="006539E0"/>
    <w:rsid w:val="00653C2B"/>
    <w:rsid w:val="006546EF"/>
    <w:rsid w:val="00654EB1"/>
    <w:rsid w:val="00655761"/>
    <w:rsid w:val="00660430"/>
    <w:rsid w:val="006609B6"/>
    <w:rsid w:val="00661B54"/>
    <w:rsid w:val="00663BDC"/>
    <w:rsid w:val="00665286"/>
    <w:rsid w:val="006654BD"/>
    <w:rsid w:val="00666920"/>
    <w:rsid w:val="00666AC7"/>
    <w:rsid w:val="006679CE"/>
    <w:rsid w:val="00671738"/>
    <w:rsid w:val="0067295C"/>
    <w:rsid w:val="00673590"/>
    <w:rsid w:val="006743B0"/>
    <w:rsid w:val="0067463B"/>
    <w:rsid w:val="00674EE8"/>
    <w:rsid w:val="006768BD"/>
    <w:rsid w:val="00682210"/>
    <w:rsid w:val="0069141B"/>
    <w:rsid w:val="00693F25"/>
    <w:rsid w:val="00694033"/>
    <w:rsid w:val="006975B9"/>
    <w:rsid w:val="00697B82"/>
    <w:rsid w:val="006A081A"/>
    <w:rsid w:val="006A0A95"/>
    <w:rsid w:val="006A29A5"/>
    <w:rsid w:val="006A38D1"/>
    <w:rsid w:val="006A400B"/>
    <w:rsid w:val="006A450D"/>
    <w:rsid w:val="006A5C96"/>
    <w:rsid w:val="006A6835"/>
    <w:rsid w:val="006A72AE"/>
    <w:rsid w:val="006B152B"/>
    <w:rsid w:val="006B1B75"/>
    <w:rsid w:val="006B6235"/>
    <w:rsid w:val="006B645A"/>
    <w:rsid w:val="006B6A15"/>
    <w:rsid w:val="006C1FD2"/>
    <w:rsid w:val="006C2B5F"/>
    <w:rsid w:val="006C2C42"/>
    <w:rsid w:val="006C2D3C"/>
    <w:rsid w:val="006C2D69"/>
    <w:rsid w:val="006C5015"/>
    <w:rsid w:val="006C590B"/>
    <w:rsid w:val="006C66D9"/>
    <w:rsid w:val="006C6F35"/>
    <w:rsid w:val="006C7AFB"/>
    <w:rsid w:val="006D164B"/>
    <w:rsid w:val="006D17DC"/>
    <w:rsid w:val="006D2E8C"/>
    <w:rsid w:val="006D6D96"/>
    <w:rsid w:val="006E062E"/>
    <w:rsid w:val="006E0AAD"/>
    <w:rsid w:val="006E16C0"/>
    <w:rsid w:val="006E42DE"/>
    <w:rsid w:val="006E5207"/>
    <w:rsid w:val="006F3D03"/>
    <w:rsid w:val="006F431C"/>
    <w:rsid w:val="006F4E39"/>
    <w:rsid w:val="006F51B5"/>
    <w:rsid w:val="006F6B24"/>
    <w:rsid w:val="0070199C"/>
    <w:rsid w:val="007019E8"/>
    <w:rsid w:val="0070384A"/>
    <w:rsid w:val="00704805"/>
    <w:rsid w:val="0070492E"/>
    <w:rsid w:val="0070650E"/>
    <w:rsid w:val="007069DC"/>
    <w:rsid w:val="0071139E"/>
    <w:rsid w:val="00716321"/>
    <w:rsid w:val="00717C5E"/>
    <w:rsid w:val="00720661"/>
    <w:rsid w:val="007207AB"/>
    <w:rsid w:val="00723A86"/>
    <w:rsid w:val="00725FAF"/>
    <w:rsid w:val="007264C0"/>
    <w:rsid w:val="007309F0"/>
    <w:rsid w:val="007329D6"/>
    <w:rsid w:val="00733919"/>
    <w:rsid w:val="007341FE"/>
    <w:rsid w:val="00734BD8"/>
    <w:rsid w:val="0073572C"/>
    <w:rsid w:val="00735CB8"/>
    <w:rsid w:val="00736552"/>
    <w:rsid w:val="00736946"/>
    <w:rsid w:val="007410C7"/>
    <w:rsid w:val="00741855"/>
    <w:rsid w:val="00741C96"/>
    <w:rsid w:val="007446E5"/>
    <w:rsid w:val="00745B03"/>
    <w:rsid w:val="0074621C"/>
    <w:rsid w:val="0075026E"/>
    <w:rsid w:val="00750D36"/>
    <w:rsid w:val="007514E9"/>
    <w:rsid w:val="007535EC"/>
    <w:rsid w:val="00754538"/>
    <w:rsid w:val="00757B5F"/>
    <w:rsid w:val="00757E01"/>
    <w:rsid w:val="00761844"/>
    <w:rsid w:val="00761C08"/>
    <w:rsid w:val="00762E34"/>
    <w:rsid w:val="00767304"/>
    <w:rsid w:val="00767402"/>
    <w:rsid w:val="007678D9"/>
    <w:rsid w:val="00771714"/>
    <w:rsid w:val="0077458C"/>
    <w:rsid w:val="007750A6"/>
    <w:rsid w:val="00775A7F"/>
    <w:rsid w:val="00775BD0"/>
    <w:rsid w:val="007768B4"/>
    <w:rsid w:val="007769A3"/>
    <w:rsid w:val="0077727E"/>
    <w:rsid w:val="007813E3"/>
    <w:rsid w:val="00781C58"/>
    <w:rsid w:val="007829D6"/>
    <w:rsid w:val="00787216"/>
    <w:rsid w:val="007877C7"/>
    <w:rsid w:val="007917C0"/>
    <w:rsid w:val="00791BA1"/>
    <w:rsid w:val="00792BED"/>
    <w:rsid w:val="00792D4E"/>
    <w:rsid w:val="00793218"/>
    <w:rsid w:val="00793612"/>
    <w:rsid w:val="007943E8"/>
    <w:rsid w:val="0079473A"/>
    <w:rsid w:val="00796604"/>
    <w:rsid w:val="00796D65"/>
    <w:rsid w:val="007A0BC1"/>
    <w:rsid w:val="007A0BDC"/>
    <w:rsid w:val="007A1CF6"/>
    <w:rsid w:val="007A279C"/>
    <w:rsid w:val="007A503E"/>
    <w:rsid w:val="007A577A"/>
    <w:rsid w:val="007A670B"/>
    <w:rsid w:val="007A6EE1"/>
    <w:rsid w:val="007B0C72"/>
    <w:rsid w:val="007B15D9"/>
    <w:rsid w:val="007B1D09"/>
    <w:rsid w:val="007B1DB0"/>
    <w:rsid w:val="007B3106"/>
    <w:rsid w:val="007B5B32"/>
    <w:rsid w:val="007B6F3E"/>
    <w:rsid w:val="007B71F2"/>
    <w:rsid w:val="007B7B9E"/>
    <w:rsid w:val="007B7DA0"/>
    <w:rsid w:val="007C0BC3"/>
    <w:rsid w:val="007C3CCB"/>
    <w:rsid w:val="007C5EC0"/>
    <w:rsid w:val="007C6DA1"/>
    <w:rsid w:val="007D04C9"/>
    <w:rsid w:val="007D35C7"/>
    <w:rsid w:val="007D4178"/>
    <w:rsid w:val="007D441F"/>
    <w:rsid w:val="007D4A35"/>
    <w:rsid w:val="007D5265"/>
    <w:rsid w:val="007D6DCF"/>
    <w:rsid w:val="007D7AE1"/>
    <w:rsid w:val="007E0AE9"/>
    <w:rsid w:val="007E0D63"/>
    <w:rsid w:val="007E17FD"/>
    <w:rsid w:val="007E1DFD"/>
    <w:rsid w:val="007E2534"/>
    <w:rsid w:val="007E4FFF"/>
    <w:rsid w:val="007E63B6"/>
    <w:rsid w:val="007E7F89"/>
    <w:rsid w:val="007F1E56"/>
    <w:rsid w:val="007F2FEF"/>
    <w:rsid w:val="007F4565"/>
    <w:rsid w:val="007F5098"/>
    <w:rsid w:val="007F59A4"/>
    <w:rsid w:val="007F5D42"/>
    <w:rsid w:val="007F6DEC"/>
    <w:rsid w:val="007F735D"/>
    <w:rsid w:val="007F735E"/>
    <w:rsid w:val="00801808"/>
    <w:rsid w:val="00801E3E"/>
    <w:rsid w:val="00801ED1"/>
    <w:rsid w:val="00802AEA"/>
    <w:rsid w:val="008031F5"/>
    <w:rsid w:val="00805363"/>
    <w:rsid w:val="00806F10"/>
    <w:rsid w:val="00810605"/>
    <w:rsid w:val="008109E5"/>
    <w:rsid w:val="00812859"/>
    <w:rsid w:val="00816BCB"/>
    <w:rsid w:val="0082242D"/>
    <w:rsid w:val="0082332E"/>
    <w:rsid w:val="00823854"/>
    <w:rsid w:val="0082474A"/>
    <w:rsid w:val="00825E01"/>
    <w:rsid w:val="00825F83"/>
    <w:rsid w:val="008263D1"/>
    <w:rsid w:val="00826D03"/>
    <w:rsid w:val="00827683"/>
    <w:rsid w:val="00827C1A"/>
    <w:rsid w:val="008306B4"/>
    <w:rsid w:val="00833577"/>
    <w:rsid w:val="00833F33"/>
    <w:rsid w:val="008340EF"/>
    <w:rsid w:val="00835DD9"/>
    <w:rsid w:val="0083685D"/>
    <w:rsid w:val="00836D01"/>
    <w:rsid w:val="00836F4C"/>
    <w:rsid w:val="008378A1"/>
    <w:rsid w:val="00837E3A"/>
    <w:rsid w:val="00840033"/>
    <w:rsid w:val="0084091B"/>
    <w:rsid w:val="00841D14"/>
    <w:rsid w:val="00842176"/>
    <w:rsid w:val="0084469C"/>
    <w:rsid w:val="00845CC4"/>
    <w:rsid w:val="00845D3C"/>
    <w:rsid w:val="00846973"/>
    <w:rsid w:val="008475F7"/>
    <w:rsid w:val="00847F13"/>
    <w:rsid w:val="00851260"/>
    <w:rsid w:val="008528A4"/>
    <w:rsid w:val="0085367F"/>
    <w:rsid w:val="00853DCF"/>
    <w:rsid w:val="008545A3"/>
    <w:rsid w:val="00854E94"/>
    <w:rsid w:val="008557F7"/>
    <w:rsid w:val="008564DB"/>
    <w:rsid w:val="008565D9"/>
    <w:rsid w:val="00856C01"/>
    <w:rsid w:val="00860E51"/>
    <w:rsid w:val="008644A7"/>
    <w:rsid w:val="00864CD3"/>
    <w:rsid w:val="00865C64"/>
    <w:rsid w:val="00866C5C"/>
    <w:rsid w:val="00867246"/>
    <w:rsid w:val="008706F6"/>
    <w:rsid w:val="008742A8"/>
    <w:rsid w:val="00876D92"/>
    <w:rsid w:val="00877110"/>
    <w:rsid w:val="0087718D"/>
    <w:rsid w:val="0087724E"/>
    <w:rsid w:val="0087771A"/>
    <w:rsid w:val="00882A61"/>
    <w:rsid w:val="00884CAD"/>
    <w:rsid w:val="00885BE3"/>
    <w:rsid w:val="00885EBB"/>
    <w:rsid w:val="008868BD"/>
    <w:rsid w:val="00886E54"/>
    <w:rsid w:val="0089048C"/>
    <w:rsid w:val="0089134B"/>
    <w:rsid w:val="00891E64"/>
    <w:rsid w:val="008938B5"/>
    <w:rsid w:val="00893B1F"/>
    <w:rsid w:val="00893BE3"/>
    <w:rsid w:val="00893C17"/>
    <w:rsid w:val="00894DF7"/>
    <w:rsid w:val="00895C2A"/>
    <w:rsid w:val="008A1DC4"/>
    <w:rsid w:val="008A1FD6"/>
    <w:rsid w:val="008A40E3"/>
    <w:rsid w:val="008A4969"/>
    <w:rsid w:val="008A4C18"/>
    <w:rsid w:val="008A74B6"/>
    <w:rsid w:val="008B0456"/>
    <w:rsid w:val="008B10D1"/>
    <w:rsid w:val="008B1A09"/>
    <w:rsid w:val="008B1BD1"/>
    <w:rsid w:val="008B2D25"/>
    <w:rsid w:val="008B4064"/>
    <w:rsid w:val="008B4107"/>
    <w:rsid w:val="008B4BF7"/>
    <w:rsid w:val="008B55BA"/>
    <w:rsid w:val="008B606F"/>
    <w:rsid w:val="008C0050"/>
    <w:rsid w:val="008C01E2"/>
    <w:rsid w:val="008C05D7"/>
    <w:rsid w:val="008C0C3E"/>
    <w:rsid w:val="008C2581"/>
    <w:rsid w:val="008C27B8"/>
    <w:rsid w:val="008C411D"/>
    <w:rsid w:val="008C4C12"/>
    <w:rsid w:val="008C50CA"/>
    <w:rsid w:val="008D2A6D"/>
    <w:rsid w:val="008D2FA5"/>
    <w:rsid w:val="008D35D8"/>
    <w:rsid w:val="008E119A"/>
    <w:rsid w:val="008E1FCE"/>
    <w:rsid w:val="008E49E8"/>
    <w:rsid w:val="008E7903"/>
    <w:rsid w:val="008F0832"/>
    <w:rsid w:val="008F1477"/>
    <w:rsid w:val="008F1E98"/>
    <w:rsid w:val="008F353A"/>
    <w:rsid w:val="008F6B04"/>
    <w:rsid w:val="00904D3E"/>
    <w:rsid w:val="0090544B"/>
    <w:rsid w:val="0091014C"/>
    <w:rsid w:val="00911889"/>
    <w:rsid w:val="0091231B"/>
    <w:rsid w:val="00912F78"/>
    <w:rsid w:val="00915CE0"/>
    <w:rsid w:val="00917467"/>
    <w:rsid w:val="00917809"/>
    <w:rsid w:val="009200CC"/>
    <w:rsid w:val="009205D8"/>
    <w:rsid w:val="00922D33"/>
    <w:rsid w:val="009237B5"/>
    <w:rsid w:val="00924F40"/>
    <w:rsid w:val="00925409"/>
    <w:rsid w:val="009257F5"/>
    <w:rsid w:val="0092640F"/>
    <w:rsid w:val="00930A95"/>
    <w:rsid w:val="009318F5"/>
    <w:rsid w:val="009326BB"/>
    <w:rsid w:val="009327D1"/>
    <w:rsid w:val="009335F3"/>
    <w:rsid w:val="00934313"/>
    <w:rsid w:val="00935086"/>
    <w:rsid w:val="00936E04"/>
    <w:rsid w:val="0093739A"/>
    <w:rsid w:val="00940188"/>
    <w:rsid w:val="009417E8"/>
    <w:rsid w:val="00944479"/>
    <w:rsid w:val="0094627E"/>
    <w:rsid w:val="00947464"/>
    <w:rsid w:val="00952E15"/>
    <w:rsid w:val="00956594"/>
    <w:rsid w:val="00956D10"/>
    <w:rsid w:val="009575BD"/>
    <w:rsid w:val="00957B6A"/>
    <w:rsid w:val="009618D5"/>
    <w:rsid w:val="00964432"/>
    <w:rsid w:val="00965A02"/>
    <w:rsid w:val="009667AB"/>
    <w:rsid w:val="00970082"/>
    <w:rsid w:val="0097023E"/>
    <w:rsid w:val="00971471"/>
    <w:rsid w:val="0097238F"/>
    <w:rsid w:val="00972C9C"/>
    <w:rsid w:val="0097307E"/>
    <w:rsid w:val="0097342D"/>
    <w:rsid w:val="00973C7A"/>
    <w:rsid w:val="00974159"/>
    <w:rsid w:val="00976F54"/>
    <w:rsid w:val="00977B72"/>
    <w:rsid w:val="00982BA5"/>
    <w:rsid w:val="00982D28"/>
    <w:rsid w:val="00982D5B"/>
    <w:rsid w:val="0098436A"/>
    <w:rsid w:val="00984401"/>
    <w:rsid w:val="009871D1"/>
    <w:rsid w:val="009902CF"/>
    <w:rsid w:val="00991F11"/>
    <w:rsid w:val="00992F3A"/>
    <w:rsid w:val="009936F9"/>
    <w:rsid w:val="00994706"/>
    <w:rsid w:val="00995B55"/>
    <w:rsid w:val="009971A7"/>
    <w:rsid w:val="0099725E"/>
    <w:rsid w:val="009A0A52"/>
    <w:rsid w:val="009A24BE"/>
    <w:rsid w:val="009A4520"/>
    <w:rsid w:val="009B05A4"/>
    <w:rsid w:val="009B0A4E"/>
    <w:rsid w:val="009B0BE1"/>
    <w:rsid w:val="009B1287"/>
    <w:rsid w:val="009B3D98"/>
    <w:rsid w:val="009B5288"/>
    <w:rsid w:val="009B61AE"/>
    <w:rsid w:val="009C17E0"/>
    <w:rsid w:val="009C1979"/>
    <w:rsid w:val="009C465B"/>
    <w:rsid w:val="009C620D"/>
    <w:rsid w:val="009C6FD4"/>
    <w:rsid w:val="009D1935"/>
    <w:rsid w:val="009D1E25"/>
    <w:rsid w:val="009D3191"/>
    <w:rsid w:val="009E11D8"/>
    <w:rsid w:val="009E3A8A"/>
    <w:rsid w:val="009E5A90"/>
    <w:rsid w:val="009E5BC2"/>
    <w:rsid w:val="009E6096"/>
    <w:rsid w:val="009E6E4B"/>
    <w:rsid w:val="009E7BF5"/>
    <w:rsid w:val="009F4686"/>
    <w:rsid w:val="009F7177"/>
    <w:rsid w:val="00A0164E"/>
    <w:rsid w:val="00A02FDA"/>
    <w:rsid w:val="00A03C92"/>
    <w:rsid w:val="00A04BA6"/>
    <w:rsid w:val="00A058E9"/>
    <w:rsid w:val="00A11E31"/>
    <w:rsid w:val="00A137EA"/>
    <w:rsid w:val="00A13B89"/>
    <w:rsid w:val="00A13EB2"/>
    <w:rsid w:val="00A15213"/>
    <w:rsid w:val="00A15592"/>
    <w:rsid w:val="00A15795"/>
    <w:rsid w:val="00A15E48"/>
    <w:rsid w:val="00A16E3F"/>
    <w:rsid w:val="00A20AB3"/>
    <w:rsid w:val="00A21386"/>
    <w:rsid w:val="00A21BCA"/>
    <w:rsid w:val="00A23797"/>
    <w:rsid w:val="00A247B7"/>
    <w:rsid w:val="00A24CF5"/>
    <w:rsid w:val="00A25780"/>
    <w:rsid w:val="00A30109"/>
    <w:rsid w:val="00A301D9"/>
    <w:rsid w:val="00A31411"/>
    <w:rsid w:val="00A3158C"/>
    <w:rsid w:val="00A31981"/>
    <w:rsid w:val="00A3221E"/>
    <w:rsid w:val="00A3401D"/>
    <w:rsid w:val="00A3501E"/>
    <w:rsid w:val="00A354AC"/>
    <w:rsid w:val="00A36808"/>
    <w:rsid w:val="00A3696B"/>
    <w:rsid w:val="00A37E15"/>
    <w:rsid w:val="00A42C06"/>
    <w:rsid w:val="00A42C32"/>
    <w:rsid w:val="00A43650"/>
    <w:rsid w:val="00A43A7B"/>
    <w:rsid w:val="00A43C23"/>
    <w:rsid w:val="00A4445B"/>
    <w:rsid w:val="00A45F1F"/>
    <w:rsid w:val="00A46D5A"/>
    <w:rsid w:val="00A47443"/>
    <w:rsid w:val="00A4744B"/>
    <w:rsid w:val="00A50ABD"/>
    <w:rsid w:val="00A5175A"/>
    <w:rsid w:val="00A544CE"/>
    <w:rsid w:val="00A54A52"/>
    <w:rsid w:val="00A555F3"/>
    <w:rsid w:val="00A55805"/>
    <w:rsid w:val="00A56FA9"/>
    <w:rsid w:val="00A60009"/>
    <w:rsid w:val="00A62912"/>
    <w:rsid w:val="00A646A0"/>
    <w:rsid w:val="00A676D7"/>
    <w:rsid w:val="00A67997"/>
    <w:rsid w:val="00A67EDB"/>
    <w:rsid w:val="00A7176A"/>
    <w:rsid w:val="00A72D55"/>
    <w:rsid w:val="00A74AD7"/>
    <w:rsid w:val="00A751BE"/>
    <w:rsid w:val="00A75DC8"/>
    <w:rsid w:val="00A76096"/>
    <w:rsid w:val="00A766A6"/>
    <w:rsid w:val="00A8282F"/>
    <w:rsid w:val="00A82E64"/>
    <w:rsid w:val="00A8369D"/>
    <w:rsid w:val="00A83929"/>
    <w:rsid w:val="00A83CD1"/>
    <w:rsid w:val="00A87067"/>
    <w:rsid w:val="00A90D26"/>
    <w:rsid w:val="00A90F79"/>
    <w:rsid w:val="00A91A69"/>
    <w:rsid w:val="00A91C1A"/>
    <w:rsid w:val="00A934D0"/>
    <w:rsid w:val="00A9682C"/>
    <w:rsid w:val="00A96AB1"/>
    <w:rsid w:val="00A97828"/>
    <w:rsid w:val="00A9798C"/>
    <w:rsid w:val="00AA1006"/>
    <w:rsid w:val="00AA10D3"/>
    <w:rsid w:val="00AA1EED"/>
    <w:rsid w:val="00AA2DC9"/>
    <w:rsid w:val="00AA3B10"/>
    <w:rsid w:val="00AA5507"/>
    <w:rsid w:val="00AA798A"/>
    <w:rsid w:val="00AB08FD"/>
    <w:rsid w:val="00AB24B9"/>
    <w:rsid w:val="00AB2A94"/>
    <w:rsid w:val="00AB3A38"/>
    <w:rsid w:val="00AB5057"/>
    <w:rsid w:val="00AB57EC"/>
    <w:rsid w:val="00AB5A97"/>
    <w:rsid w:val="00AB5E06"/>
    <w:rsid w:val="00AB7BFA"/>
    <w:rsid w:val="00AC50D1"/>
    <w:rsid w:val="00AC7D68"/>
    <w:rsid w:val="00AD0C6F"/>
    <w:rsid w:val="00AD1F5B"/>
    <w:rsid w:val="00AD3A03"/>
    <w:rsid w:val="00AD487C"/>
    <w:rsid w:val="00AD48CA"/>
    <w:rsid w:val="00AD4A3E"/>
    <w:rsid w:val="00AD580B"/>
    <w:rsid w:val="00AD706B"/>
    <w:rsid w:val="00AD78A0"/>
    <w:rsid w:val="00AE03FE"/>
    <w:rsid w:val="00AE2220"/>
    <w:rsid w:val="00AE2725"/>
    <w:rsid w:val="00AE328D"/>
    <w:rsid w:val="00AE532A"/>
    <w:rsid w:val="00AE5645"/>
    <w:rsid w:val="00AE583E"/>
    <w:rsid w:val="00AE6119"/>
    <w:rsid w:val="00AF040C"/>
    <w:rsid w:val="00AF1CE5"/>
    <w:rsid w:val="00AF28A3"/>
    <w:rsid w:val="00AF2A7D"/>
    <w:rsid w:val="00AF3226"/>
    <w:rsid w:val="00AF42D2"/>
    <w:rsid w:val="00AF6212"/>
    <w:rsid w:val="00AF6E76"/>
    <w:rsid w:val="00AF7E11"/>
    <w:rsid w:val="00AF7E65"/>
    <w:rsid w:val="00B016F7"/>
    <w:rsid w:val="00B01E4D"/>
    <w:rsid w:val="00B02F53"/>
    <w:rsid w:val="00B03B24"/>
    <w:rsid w:val="00B07887"/>
    <w:rsid w:val="00B07A72"/>
    <w:rsid w:val="00B10391"/>
    <w:rsid w:val="00B11FEB"/>
    <w:rsid w:val="00B15B12"/>
    <w:rsid w:val="00B16565"/>
    <w:rsid w:val="00B1697B"/>
    <w:rsid w:val="00B17566"/>
    <w:rsid w:val="00B20134"/>
    <w:rsid w:val="00B20B6A"/>
    <w:rsid w:val="00B20CE7"/>
    <w:rsid w:val="00B22159"/>
    <w:rsid w:val="00B23934"/>
    <w:rsid w:val="00B25B67"/>
    <w:rsid w:val="00B2637D"/>
    <w:rsid w:val="00B275A0"/>
    <w:rsid w:val="00B30F61"/>
    <w:rsid w:val="00B33672"/>
    <w:rsid w:val="00B339A1"/>
    <w:rsid w:val="00B3410F"/>
    <w:rsid w:val="00B34777"/>
    <w:rsid w:val="00B371C3"/>
    <w:rsid w:val="00B371D3"/>
    <w:rsid w:val="00B378D5"/>
    <w:rsid w:val="00B42934"/>
    <w:rsid w:val="00B4328B"/>
    <w:rsid w:val="00B434F2"/>
    <w:rsid w:val="00B4472B"/>
    <w:rsid w:val="00B45C83"/>
    <w:rsid w:val="00B463FD"/>
    <w:rsid w:val="00B47D54"/>
    <w:rsid w:val="00B501D8"/>
    <w:rsid w:val="00B53BFE"/>
    <w:rsid w:val="00B548D5"/>
    <w:rsid w:val="00B557E4"/>
    <w:rsid w:val="00B62BFA"/>
    <w:rsid w:val="00B62E00"/>
    <w:rsid w:val="00B63A02"/>
    <w:rsid w:val="00B63CB0"/>
    <w:rsid w:val="00B65A4D"/>
    <w:rsid w:val="00B677CF"/>
    <w:rsid w:val="00B7090A"/>
    <w:rsid w:val="00B71995"/>
    <w:rsid w:val="00B72506"/>
    <w:rsid w:val="00B728EA"/>
    <w:rsid w:val="00B72D85"/>
    <w:rsid w:val="00B73BD1"/>
    <w:rsid w:val="00B73E8D"/>
    <w:rsid w:val="00B778DD"/>
    <w:rsid w:val="00B77A12"/>
    <w:rsid w:val="00B80A1B"/>
    <w:rsid w:val="00B80D47"/>
    <w:rsid w:val="00B82C96"/>
    <w:rsid w:val="00B85C08"/>
    <w:rsid w:val="00B8620B"/>
    <w:rsid w:val="00B87121"/>
    <w:rsid w:val="00B87B36"/>
    <w:rsid w:val="00B90B7B"/>
    <w:rsid w:val="00B91F5A"/>
    <w:rsid w:val="00B92B9D"/>
    <w:rsid w:val="00B92C64"/>
    <w:rsid w:val="00B93409"/>
    <w:rsid w:val="00B9363A"/>
    <w:rsid w:val="00B938A5"/>
    <w:rsid w:val="00B94F99"/>
    <w:rsid w:val="00B95ACE"/>
    <w:rsid w:val="00B97EF0"/>
    <w:rsid w:val="00BA08C4"/>
    <w:rsid w:val="00BA0A18"/>
    <w:rsid w:val="00BA11BA"/>
    <w:rsid w:val="00BA1A84"/>
    <w:rsid w:val="00BA29B6"/>
    <w:rsid w:val="00BA2DF5"/>
    <w:rsid w:val="00BA3824"/>
    <w:rsid w:val="00BA427D"/>
    <w:rsid w:val="00BA4FC3"/>
    <w:rsid w:val="00BA59C5"/>
    <w:rsid w:val="00BA5F6E"/>
    <w:rsid w:val="00BB020D"/>
    <w:rsid w:val="00BB324B"/>
    <w:rsid w:val="00BB497A"/>
    <w:rsid w:val="00BB6332"/>
    <w:rsid w:val="00BC118F"/>
    <w:rsid w:val="00BC13CA"/>
    <w:rsid w:val="00BC1E1C"/>
    <w:rsid w:val="00BC2822"/>
    <w:rsid w:val="00BC2C36"/>
    <w:rsid w:val="00BC4F0F"/>
    <w:rsid w:val="00BC6FB5"/>
    <w:rsid w:val="00BD0FDD"/>
    <w:rsid w:val="00BD13E7"/>
    <w:rsid w:val="00BD1ED6"/>
    <w:rsid w:val="00BD2EBF"/>
    <w:rsid w:val="00BD323B"/>
    <w:rsid w:val="00BD3475"/>
    <w:rsid w:val="00BD4113"/>
    <w:rsid w:val="00BD506F"/>
    <w:rsid w:val="00BD5406"/>
    <w:rsid w:val="00BD7F4B"/>
    <w:rsid w:val="00BE1245"/>
    <w:rsid w:val="00BE35C4"/>
    <w:rsid w:val="00BE3D52"/>
    <w:rsid w:val="00BE4658"/>
    <w:rsid w:val="00BE46B3"/>
    <w:rsid w:val="00BF274A"/>
    <w:rsid w:val="00BF6FBF"/>
    <w:rsid w:val="00C00247"/>
    <w:rsid w:val="00C00575"/>
    <w:rsid w:val="00C039ED"/>
    <w:rsid w:val="00C0485C"/>
    <w:rsid w:val="00C04DAE"/>
    <w:rsid w:val="00C07241"/>
    <w:rsid w:val="00C0726C"/>
    <w:rsid w:val="00C07D16"/>
    <w:rsid w:val="00C07EAE"/>
    <w:rsid w:val="00C100DD"/>
    <w:rsid w:val="00C122B5"/>
    <w:rsid w:val="00C14AC4"/>
    <w:rsid w:val="00C15C50"/>
    <w:rsid w:val="00C20418"/>
    <w:rsid w:val="00C2077C"/>
    <w:rsid w:val="00C20BA7"/>
    <w:rsid w:val="00C20E11"/>
    <w:rsid w:val="00C20E4C"/>
    <w:rsid w:val="00C2206B"/>
    <w:rsid w:val="00C23189"/>
    <w:rsid w:val="00C2453A"/>
    <w:rsid w:val="00C2461B"/>
    <w:rsid w:val="00C24B8C"/>
    <w:rsid w:val="00C30CD3"/>
    <w:rsid w:val="00C31480"/>
    <w:rsid w:val="00C34AA2"/>
    <w:rsid w:val="00C35D94"/>
    <w:rsid w:val="00C36797"/>
    <w:rsid w:val="00C401F0"/>
    <w:rsid w:val="00C40D24"/>
    <w:rsid w:val="00C40FAE"/>
    <w:rsid w:val="00C4288A"/>
    <w:rsid w:val="00C43E0F"/>
    <w:rsid w:val="00C445EE"/>
    <w:rsid w:val="00C4568C"/>
    <w:rsid w:val="00C46D38"/>
    <w:rsid w:val="00C46FAA"/>
    <w:rsid w:val="00C50B64"/>
    <w:rsid w:val="00C50DFA"/>
    <w:rsid w:val="00C51D70"/>
    <w:rsid w:val="00C54003"/>
    <w:rsid w:val="00C5578A"/>
    <w:rsid w:val="00C5769C"/>
    <w:rsid w:val="00C57F55"/>
    <w:rsid w:val="00C61A27"/>
    <w:rsid w:val="00C61E89"/>
    <w:rsid w:val="00C63109"/>
    <w:rsid w:val="00C6380B"/>
    <w:rsid w:val="00C63F11"/>
    <w:rsid w:val="00C640EA"/>
    <w:rsid w:val="00C641BC"/>
    <w:rsid w:val="00C64C21"/>
    <w:rsid w:val="00C671D7"/>
    <w:rsid w:val="00C70034"/>
    <w:rsid w:val="00C71D9C"/>
    <w:rsid w:val="00C7325B"/>
    <w:rsid w:val="00C754FC"/>
    <w:rsid w:val="00C77A88"/>
    <w:rsid w:val="00C806B2"/>
    <w:rsid w:val="00C80E29"/>
    <w:rsid w:val="00C82D0E"/>
    <w:rsid w:val="00C8349B"/>
    <w:rsid w:val="00C85F75"/>
    <w:rsid w:val="00C85F79"/>
    <w:rsid w:val="00C91522"/>
    <w:rsid w:val="00C93389"/>
    <w:rsid w:val="00CA1DDE"/>
    <w:rsid w:val="00CA4BD6"/>
    <w:rsid w:val="00CA5477"/>
    <w:rsid w:val="00CA551F"/>
    <w:rsid w:val="00CB1747"/>
    <w:rsid w:val="00CB34FB"/>
    <w:rsid w:val="00CB57AC"/>
    <w:rsid w:val="00CC06A0"/>
    <w:rsid w:val="00CC23AC"/>
    <w:rsid w:val="00CC248F"/>
    <w:rsid w:val="00CC252E"/>
    <w:rsid w:val="00CC2746"/>
    <w:rsid w:val="00CC3CD3"/>
    <w:rsid w:val="00CC58C4"/>
    <w:rsid w:val="00CC66AB"/>
    <w:rsid w:val="00CD18A9"/>
    <w:rsid w:val="00CD351B"/>
    <w:rsid w:val="00CD44E7"/>
    <w:rsid w:val="00CD4A2E"/>
    <w:rsid w:val="00CD712E"/>
    <w:rsid w:val="00CE2511"/>
    <w:rsid w:val="00CE50AC"/>
    <w:rsid w:val="00CE7136"/>
    <w:rsid w:val="00CF0292"/>
    <w:rsid w:val="00CF0873"/>
    <w:rsid w:val="00CF14CF"/>
    <w:rsid w:val="00CF50B2"/>
    <w:rsid w:val="00CF57EF"/>
    <w:rsid w:val="00D036F8"/>
    <w:rsid w:val="00D07CBE"/>
    <w:rsid w:val="00D1030C"/>
    <w:rsid w:val="00D10BC5"/>
    <w:rsid w:val="00D1307D"/>
    <w:rsid w:val="00D131C1"/>
    <w:rsid w:val="00D1338A"/>
    <w:rsid w:val="00D1709E"/>
    <w:rsid w:val="00D173BA"/>
    <w:rsid w:val="00D17C3B"/>
    <w:rsid w:val="00D219FE"/>
    <w:rsid w:val="00D21EA3"/>
    <w:rsid w:val="00D22188"/>
    <w:rsid w:val="00D25479"/>
    <w:rsid w:val="00D25E56"/>
    <w:rsid w:val="00D2610B"/>
    <w:rsid w:val="00D26E8E"/>
    <w:rsid w:val="00D32091"/>
    <w:rsid w:val="00D32C37"/>
    <w:rsid w:val="00D32F2F"/>
    <w:rsid w:val="00D3396E"/>
    <w:rsid w:val="00D35DAF"/>
    <w:rsid w:val="00D35E43"/>
    <w:rsid w:val="00D41620"/>
    <w:rsid w:val="00D43380"/>
    <w:rsid w:val="00D44B84"/>
    <w:rsid w:val="00D45528"/>
    <w:rsid w:val="00D50608"/>
    <w:rsid w:val="00D51447"/>
    <w:rsid w:val="00D52EAC"/>
    <w:rsid w:val="00D53503"/>
    <w:rsid w:val="00D56316"/>
    <w:rsid w:val="00D56476"/>
    <w:rsid w:val="00D56B42"/>
    <w:rsid w:val="00D57740"/>
    <w:rsid w:val="00D6361B"/>
    <w:rsid w:val="00D63BD7"/>
    <w:rsid w:val="00D64169"/>
    <w:rsid w:val="00D6556B"/>
    <w:rsid w:val="00D72FC3"/>
    <w:rsid w:val="00D73245"/>
    <w:rsid w:val="00D80A51"/>
    <w:rsid w:val="00D82D38"/>
    <w:rsid w:val="00D84387"/>
    <w:rsid w:val="00D85B39"/>
    <w:rsid w:val="00D85E8D"/>
    <w:rsid w:val="00D86D86"/>
    <w:rsid w:val="00D873A0"/>
    <w:rsid w:val="00D87AD8"/>
    <w:rsid w:val="00D87B23"/>
    <w:rsid w:val="00D87D9F"/>
    <w:rsid w:val="00D9132F"/>
    <w:rsid w:val="00D91861"/>
    <w:rsid w:val="00D9304F"/>
    <w:rsid w:val="00D96EC1"/>
    <w:rsid w:val="00D97436"/>
    <w:rsid w:val="00D97A3B"/>
    <w:rsid w:val="00DA03D9"/>
    <w:rsid w:val="00DA1B50"/>
    <w:rsid w:val="00DA3396"/>
    <w:rsid w:val="00DA36ED"/>
    <w:rsid w:val="00DA604F"/>
    <w:rsid w:val="00DA6C64"/>
    <w:rsid w:val="00DA7E04"/>
    <w:rsid w:val="00DB0D5C"/>
    <w:rsid w:val="00DB0E27"/>
    <w:rsid w:val="00DB102B"/>
    <w:rsid w:val="00DB152F"/>
    <w:rsid w:val="00DB2C8E"/>
    <w:rsid w:val="00DB5EAD"/>
    <w:rsid w:val="00DB7FAD"/>
    <w:rsid w:val="00DC192F"/>
    <w:rsid w:val="00DC293C"/>
    <w:rsid w:val="00DC513A"/>
    <w:rsid w:val="00DC5453"/>
    <w:rsid w:val="00DC5B3D"/>
    <w:rsid w:val="00DC720C"/>
    <w:rsid w:val="00DD20D6"/>
    <w:rsid w:val="00DD2803"/>
    <w:rsid w:val="00DD2840"/>
    <w:rsid w:val="00DD29B8"/>
    <w:rsid w:val="00DD3336"/>
    <w:rsid w:val="00DD5360"/>
    <w:rsid w:val="00DE1FD4"/>
    <w:rsid w:val="00DE2888"/>
    <w:rsid w:val="00DE3330"/>
    <w:rsid w:val="00DE3A5E"/>
    <w:rsid w:val="00DE452E"/>
    <w:rsid w:val="00DE47FD"/>
    <w:rsid w:val="00DE64B0"/>
    <w:rsid w:val="00DE7733"/>
    <w:rsid w:val="00DE77D2"/>
    <w:rsid w:val="00DF0781"/>
    <w:rsid w:val="00DF0E7F"/>
    <w:rsid w:val="00DF2181"/>
    <w:rsid w:val="00DF3723"/>
    <w:rsid w:val="00DF4127"/>
    <w:rsid w:val="00DF5107"/>
    <w:rsid w:val="00DF545B"/>
    <w:rsid w:val="00DF561B"/>
    <w:rsid w:val="00DF6A76"/>
    <w:rsid w:val="00DF6C64"/>
    <w:rsid w:val="00DF7A20"/>
    <w:rsid w:val="00E012E2"/>
    <w:rsid w:val="00E01C8C"/>
    <w:rsid w:val="00E04691"/>
    <w:rsid w:val="00E0492B"/>
    <w:rsid w:val="00E0607E"/>
    <w:rsid w:val="00E124AA"/>
    <w:rsid w:val="00E1396E"/>
    <w:rsid w:val="00E17265"/>
    <w:rsid w:val="00E172D0"/>
    <w:rsid w:val="00E178E0"/>
    <w:rsid w:val="00E20700"/>
    <w:rsid w:val="00E22291"/>
    <w:rsid w:val="00E25BB8"/>
    <w:rsid w:val="00E27644"/>
    <w:rsid w:val="00E30CA0"/>
    <w:rsid w:val="00E30D87"/>
    <w:rsid w:val="00E32305"/>
    <w:rsid w:val="00E327D2"/>
    <w:rsid w:val="00E33946"/>
    <w:rsid w:val="00E33D36"/>
    <w:rsid w:val="00E3757B"/>
    <w:rsid w:val="00E377A9"/>
    <w:rsid w:val="00E37AF9"/>
    <w:rsid w:val="00E400D2"/>
    <w:rsid w:val="00E401D0"/>
    <w:rsid w:val="00E40505"/>
    <w:rsid w:val="00E4084C"/>
    <w:rsid w:val="00E4219D"/>
    <w:rsid w:val="00E42926"/>
    <w:rsid w:val="00E42C23"/>
    <w:rsid w:val="00E439AA"/>
    <w:rsid w:val="00E45C71"/>
    <w:rsid w:val="00E46281"/>
    <w:rsid w:val="00E476F7"/>
    <w:rsid w:val="00E516EC"/>
    <w:rsid w:val="00E5189A"/>
    <w:rsid w:val="00E521D6"/>
    <w:rsid w:val="00E53DC9"/>
    <w:rsid w:val="00E56457"/>
    <w:rsid w:val="00E60FA3"/>
    <w:rsid w:val="00E61C55"/>
    <w:rsid w:val="00E6304E"/>
    <w:rsid w:val="00E63C01"/>
    <w:rsid w:val="00E64A7B"/>
    <w:rsid w:val="00E64ECA"/>
    <w:rsid w:val="00E65593"/>
    <w:rsid w:val="00E65D54"/>
    <w:rsid w:val="00E70301"/>
    <w:rsid w:val="00E73195"/>
    <w:rsid w:val="00E73C69"/>
    <w:rsid w:val="00E74BA5"/>
    <w:rsid w:val="00E752A2"/>
    <w:rsid w:val="00E75465"/>
    <w:rsid w:val="00E7578B"/>
    <w:rsid w:val="00E76C0B"/>
    <w:rsid w:val="00E80092"/>
    <w:rsid w:val="00E8039F"/>
    <w:rsid w:val="00E80431"/>
    <w:rsid w:val="00E80AAE"/>
    <w:rsid w:val="00E811A0"/>
    <w:rsid w:val="00E813FC"/>
    <w:rsid w:val="00E82366"/>
    <w:rsid w:val="00E83847"/>
    <w:rsid w:val="00E85325"/>
    <w:rsid w:val="00E85B06"/>
    <w:rsid w:val="00E865A5"/>
    <w:rsid w:val="00E8669F"/>
    <w:rsid w:val="00E86AEF"/>
    <w:rsid w:val="00E91CDE"/>
    <w:rsid w:val="00E93AEA"/>
    <w:rsid w:val="00E93F6E"/>
    <w:rsid w:val="00E95A3E"/>
    <w:rsid w:val="00E95C3D"/>
    <w:rsid w:val="00E97BDA"/>
    <w:rsid w:val="00EA0532"/>
    <w:rsid w:val="00EA12B7"/>
    <w:rsid w:val="00EA19FF"/>
    <w:rsid w:val="00EA2BF9"/>
    <w:rsid w:val="00EA3050"/>
    <w:rsid w:val="00EA6767"/>
    <w:rsid w:val="00EA74C0"/>
    <w:rsid w:val="00EB2827"/>
    <w:rsid w:val="00EB427E"/>
    <w:rsid w:val="00EB4974"/>
    <w:rsid w:val="00EB5D00"/>
    <w:rsid w:val="00EB620B"/>
    <w:rsid w:val="00EB6474"/>
    <w:rsid w:val="00EB78AC"/>
    <w:rsid w:val="00EB7DE6"/>
    <w:rsid w:val="00EC0308"/>
    <w:rsid w:val="00EC106E"/>
    <w:rsid w:val="00EC11FC"/>
    <w:rsid w:val="00EC14CD"/>
    <w:rsid w:val="00EC1EE4"/>
    <w:rsid w:val="00EC393D"/>
    <w:rsid w:val="00EC3DC5"/>
    <w:rsid w:val="00EC5128"/>
    <w:rsid w:val="00EC51D4"/>
    <w:rsid w:val="00EC58F4"/>
    <w:rsid w:val="00EC61E8"/>
    <w:rsid w:val="00EC7441"/>
    <w:rsid w:val="00ED008F"/>
    <w:rsid w:val="00ED1995"/>
    <w:rsid w:val="00ED2632"/>
    <w:rsid w:val="00ED4235"/>
    <w:rsid w:val="00ED52D2"/>
    <w:rsid w:val="00ED5B39"/>
    <w:rsid w:val="00ED60F2"/>
    <w:rsid w:val="00EE0872"/>
    <w:rsid w:val="00EE0C42"/>
    <w:rsid w:val="00EE0D9C"/>
    <w:rsid w:val="00EE16D5"/>
    <w:rsid w:val="00EE230F"/>
    <w:rsid w:val="00EE2471"/>
    <w:rsid w:val="00EE34FD"/>
    <w:rsid w:val="00EE53AB"/>
    <w:rsid w:val="00EE64EF"/>
    <w:rsid w:val="00EE7086"/>
    <w:rsid w:val="00EE70EA"/>
    <w:rsid w:val="00EF099D"/>
    <w:rsid w:val="00EF1BBA"/>
    <w:rsid w:val="00EF2912"/>
    <w:rsid w:val="00EF2FF9"/>
    <w:rsid w:val="00EF36D4"/>
    <w:rsid w:val="00EF5EB2"/>
    <w:rsid w:val="00EF6E9B"/>
    <w:rsid w:val="00F007CF"/>
    <w:rsid w:val="00F0293A"/>
    <w:rsid w:val="00F0325B"/>
    <w:rsid w:val="00F04E40"/>
    <w:rsid w:val="00F0541F"/>
    <w:rsid w:val="00F05617"/>
    <w:rsid w:val="00F05EC4"/>
    <w:rsid w:val="00F06B87"/>
    <w:rsid w:val="00F10B9A"/>
    <w:rsid w:val="00F1257D"/>
    <w:rsid w:val="00F12C62"/>
    <w:rsid w:val="00F13B8E"/>
    <w:rsid w:val="00F15393"/>
    <w:rsid w:val="00F179C9"/>
    <w:rsid w:val="00F201D7"/>
    <w:rsid w:val="00F20DE6"/>
    <w:rsid w:val="00F20F65"/>
    <w:rsid w:val="00F215B1"/>
    <w:rsid w:val="00F216CA"/>
    <w:rsid w:val="00F217AA"/>
    <w:rsid w:val="00F22AE3"/>
    <w:rsid w:val="00F24458"/>
    <w:rsid w:val="00F245AD"/>
    <w:rsid w:val="00F24672"/>
    <w:rsid w:val="00F25164"/>
    <w:rsid w:val="00F25846"/>
    <w:rsid w:val="00F31477"/>
    <w:rsid w:val="00F31D24"/>
    <w:rsid w:val="00F32546"/>
    <w:rsid w:val="00F32863"/>
    <w:rsid w:val="00F35E28"/>
    <w:rsid w:val="00F363ED"/>
    <w:rsid w:val="00F36D93"/>
    <w:rsid w:val="00F404B7"/>
    <w:rsid w:val="00F415DC"/>
    <w:rsid w:val="00F42D71"/>
    <w:rsid w:val="00F455F1"/>
    <w:rsid w:val="00F46663"/>
    <w:rsid w:val="00F50EDC"/>
    <w:rsid w:val="00F53FCA"/>
    <w:rsid w:val="00F545B0"/>
    <w:rsid w:val="00F55109"/>
    <w:rsid w:val="00F5538F"/>
    <w:rsid w:val="00F55569"/>
    <w:rsid w:val="00F63314"/>
    <w:rsid w:val="00F64394"/>
    <w:rsid w:val="00F655BF"/>
    <w:rsid w:val="00F66C72"/>
    <w:rsid w:val="00F67614"/>
    <w:rsid w:val="00F7231F"/>
    <w:rsid w:val="00F725E7"/>
    <w:rsid w:val="00F729AC"/>
    <w:rsid w:val="00F731DC"/>
    <w:rsid w:val="00F734CB"/>
    <w:rsid w:val="00F76039"/>
    <w:rsid w:val="00F766F4"/>
    <w:rsid w:val="00F77478"/>
    <w:rsid w:val="00F80EBB"/>
    <w:rsid w:val="00F81A5B"/>
    <w:rsid w:val="00F81D9B"/>
    <w:rsid w:val="00F81DBA"/>
    <w:rsid w:val="00F83CB5"/>
    <w:rsid w:val="00F85BE6"/>
    <w:rsid w:val="00F86430"/>
    <w:rsid w:val="00F873ED"/>
    <w:rsid w:val="00F90714"/>
    <w:rsid w:val="00F90DCB"/>
    <w:rsid w:val="00F910AB"/>
    <w:rsid w:val="00F91421"/>
    <w:rsid w:val="00F93268"/>
    <w:rsid w:val="00F93A40"/>
    <w:rsid w:val="00F94C87"/>
    <w:rsid w:val="00F9647F"/>
    <w:rsid w:val="00FA04EB"/>
    <w:rsid w:val="00FA05A2"/>
    <w:rsid w:val="00FA096B"/>
    <w:rsid w:val="00FA11C2"/>
    <w:rsid w:val="00FA125D"/>
    <w:rsid w:val="00FA631F"/>
    <w:rsid w:val="00FB0145"/>
    <w:rsid w:val="00FB18B4"/>
    <w:rsid w:val="00FB1D48"/>
    <w:rsid w:val="00FB4307"/>
    <w:rsid w:val="00FB6089"/>
    <w:rsid w:val="00FB6A63"/>
    <w:rsid w:val="00FB6CDC"/>
    <w:rsid w:val="00FB7501"/>
    <w:rsid w:val="00FC21CA"/>
    <w:rsid w:val="00FC250E"/>
    <w:rsid w:val="00FC3D95"/>
    <w:rsid w:val="00FC7210"/>
    <w:rsid w:val="00FC7E42"/>
    <w:rsid w:val="00FD10A3"/>
    <w:rsid w:val="00FD1BF8"/>
    <w:rsid w:val="00FD2E31"/>
    <w:rsid w:val="00FD44A7"/>
    <w:rsid w:val="00FD4A80"/>
    <w:rsid w:val="00FD4FAB"/>
    <w:rsid w:val="00FD5108"/>
    <w:rsid w:val="00FD648A"/>
    <w:rsid w:val="00FD6699"/>
    <w:rsid w:val="00FD754D"/>
    <w:rsid w:val="00FE0163"/>
    <w:rsid w:val="00FE20B8"/>
    <w:rsid w:val="00FE4108"/>
    <w:rsid w:val="00FE638E"/>
    <w:rsid w:val="00FE7B67"/>
    <w:rsid w:val="00FF20EA"/>
    <w:rsid w:val="00FF24C5"/>
    <w:rsid w:val="00FF2767"/>
    <w:rsid w:val="00FF2975"/>
    <w:rsid w:val="00FF2A13"/>
    <w:rsid w:val="00FF2CEF"/>
    <w:rsid w:val="00FF3E00"/>
    <w:rsid w:val="00FF4340"/>
    <w:rsid w:val="00FF45C0"/>
    <w:rsid w:val="00FF5114"/>
    <w:rsid w:val="00FF51A9"/>
    <w:rsid w:val="00FF6ABC"/>
    <w:rsid w:val="00FF7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880C3"/>
  <w15:chartTrackingRefBased/>
  <w15:docId w15:val="{51B1326C-8689-5949-83C2-8A2E3B69D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B2C8E"/>
    <w:rPr>
      <w:rFonts w:ascii="Times New Roman" w:eastAsia="Times New Roman" w:hAnsi="Times New Roman"/>
      <w:sz w:val="24"/>
      <w:szCs w:val="24"/>
      <w:lang w:val="en-CA"/>
    </w:rPr>
  </w:style>
  <w:style w:type="paragraph" w:styleId="Heading1">
    <w:name w:val="heading 1"/>
    <w:basedOn w:val="Normal"/>
    <w:next w:val="Normal"/>
    <w:link w:val="Heading1Char"/>
    <w:uiPriority w:val="9"/>
    <w:qFormat/>
    <w:rsid w:val="00AB57EC"/>
    <w:pPr>
      <w:keepNext/>
      <w:keepLines/>
      <w:spacing w:before="240" w:line="259" w:lineRule="auto"/>
      <w:outlineLvl w:val="0"/>
    </w:pPr>
    <w:rPr>
      <w:rFonts w:ascii="Calibri Light" w:hAnsi="Calibri Light"/>
      <w:b/>
      <w:color w:val="4F81BD"/>
      <w:sz w:val="32"/>
      <w:szCs w:val="32"/>
      <w:lang w:val="en-US"/>
    </w:rPr>
  </w:style>
  <w:style w:type="paragraph" w:styleId="Heading2">
    <w:name w:val="heading 2"/>
    <w:basedOn w:val="Normal"/>
    <w:next w:val="Normal"/>
    <w:link w:val="Heading2Char"/>
    <w:uiPriority w:val="9"/>
    <w:unhideWhenUsed/>
    <w:qFormat/>
    <w:rsid w:val="00AB57EC"/>
    <w:pPr>
      <w:keepNext/>
      <w:keepLines/>
      <w:spacing w:before="40" w:line="259" w:lineRule="auto"/>
      <w:outlineLvl w:val="1"/>
    </w:pPr>
    <w:rPr>
      <w:rFonts w:ascii="Calibri Light" w:hAnsi="Calibri Light"/>
      <w:b/>
      <w:sz w:val="26"/>
      <w:szCs w:val="26"/>
      <w:lang w:val="en-US"/>
    </w:rPr>
  </w:style>
  <w:style w:type="paragraph" w:styleId="Heading3">
    <w:name w:val="heading 3"/>
    <w:basedOn w:val="Normal"/>
    <w:next w:val="Normal"/>
    <w:link w:val="Heading3Char"/>
    <w:uiPriority w:val="9"/>
    <w:unhideWhenUsed/>
    <w:qFormat/>
    <w:rsid w:val="00AB57EC"/>
    <w:pPr>
      <w:keepNext/>
      <w:keepLines/>
      <w:spacing w:before="200" w:line="259" w:lineRule="auto"/>
      <w:outlineLvl w:val="2"/>
    </w:pPr>
    <w:rPr>
      <w:rFonts w:ascii="Calibri Light" w:hAnsi="Calibri Light"/>
      <w:b/>
      <w:bCs/>
      <w:color w:val="4F81BD"/>
      <w:sz w:val="20"/>
      <w:szCs w:val="20"/>
      <w:lang w:val="en-US"/>
    </w:rPr>
  </w:style>
  <w:style w:type="paragraph" w:styleId="Heading4">
    <w:name w:val="heading 4"/>
    <w:basedOn w:val="Normal"/>
    <w:next w:val="Normal"/>
    <w:link w:val="Heading4Char"/>
    <w:uiPriority w:val="9"/>
    <w:semiHidden/>
    <w:unhideWhenUsed/>
    <w:qFormat/>
    <w:rsid w:val="002E2B8A"/>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2E2B8A"/>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E2B8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B57EC"/>
    <w:rPr>
      <w:rFonts w:ascii="Calibri Light" w:eastAsia="Times New Roman" w:hAnsi="Calibri Light"/>
      <w:b/>
      <w:color w:val="4F81BD"/>
      <w:sz w:val="32"/>
      <w:szCs w:val="32"/>
    </w:rPr>
  </w:style>
  <w:style w:type="character" w:customStyle="1" w:styleId="Heading2Char">
    <w:name w:val="Heading 2 Char"/>
    <w:link w:val="Heading2"/>
    <w:uiPriority w:val="9"/>
    <w:rsid w:val="00AB57EC"/>
    <w:rPr>
      <w:rFonts w:ascii="Calibri Light" w:eastAsia="Times New Roman" w:hAnsi="Calibri Light"/>
      <w:b/>
      <w:sz w:val="26"/>
      <w:szCs w:val="26"/>
    </w:rPr>
  </w:style>
  <w:style w:type="character" w:customStyle="1" w:styleId="Heading3Char">
    <w:name w:val="Heading 3 Char"/>
    <w:link w:val="Heading3"/>
    <w:uiPriority w:val="9"/>
    <w:rsid w:val="00AB57EC"/>
    <w:rPr>
      <w:rFonts w:ascii="Calibri Light" w:eastAsia="Times New Roman" w:hAnsi="Calibri Light"/>
      <w:b/>
      <w:bCs/>
      <w:color w:val="4F81BD"/>
    </w:rPr>
  </w:style>
  <w:style w:type="paragraph" w:styleId="TOC1">
    <w:name w:val="toc 1"/>
    <w:basedOn w:val="Normal"/>
    <w:next w:val="Normal"/>
    <w:autoRedefine/>
    <w:uiPriority w:val="39"/>
    <w:unhideWhenUsed/>
    <w:qFormat/>
    <w:rsid w:val="00310F91"/>
    <w:pPr>
      <w:tabs>
        <w:tab w:val="left" w:pos="480"/>
        <w:tab w:val="right" w:leader="dot" w:pos="7920"/>
      </w:tabs>
      <w:spacing w:line="360" w:lineRule="auto"/>
    </w:pPr>
    <w:rPr>
      <w:rFonts w:asciiTheme="minorHAnsi" w:hAnsiTheme="minorHAnsi"/>
      <w:b/>
      <w:bCs/>
      <w:caps/>
      <w:sz w:val="20"/>
      <w:szCs w:val="20"/>
    </w:rPr>
  </w:style>
  <w:style w:type="paragraph" w:styleId="TOC2">
    <w:name w:val="toc 2"/>
    <w:basedOn w:val="Normal"/>
    <w:next w:val="Normal"/>
    <w:autoRedefine/>
    <w:uiPriority w:val="39"/>
    <w:unhideWhenUsed/>
    <w:qFormat/>
    <w:rsid w:val="00A3501E"/>
    <w:pPr>
      <w:tabs>
        <w:tab w:val="right" w:leader="dot" w:pos="7920"/>
      </w:tabs>
      <w:ind w:left="284"/>
    </w:pPr>
    <w:rPr>
      <w:rFonts w:ascii="Times" w:hAnsi="Times" w:cs="Arial"/>
      <w:bCs/>
      <w:noProof/>
    </w:rPr>
  </w:style>
  <w:style w:type="paragraph" w:styleId="TOC3">
    <w:name w:val="toc 3"/>
    <w:basedOn w:val="Normal"/>
    <w:next w:val="Normal"/>
    <w:autoRedefine/>
    <w:uiPriority w:val="39"/>
    <w:unhideWhenUsed/>
    <w:qFormat/>
    <w:rsid w:val="008C50CA"/>
    <w:pPr>
      <w:ind w:left="480"/>
    </w:pPr>
    <w:rPr>
      <w:rFonts w:asciiTheme="minorHAnsi" w:hAnsiTheme="minorHAnsi"/>
      <w:i/>
      <w:iCs/>
      <w:sz w:val="20"/>
      <w:szCs w:val="20"/>
    </w:rPr>
  </w:style>
  <w:style w:type="paragraph" w:styleId="Title">
    <w:name w:val="Title"/>
    <w:basedOn w:val="Normal"/>
    <w:next w:val="Normal"/>
    <w:link w:val="TitleChar"/>
    <w:uiPriority w:val="10"/>
    <w:qFormat/>
    <w:rsid w:val="00AB57EC"/>
    <w:pPr>
      <w:contextualSpacing/>
    </w:pPr>
    <w:rPr>
      <w:rFonts w:ascii="Calibri Light" w:hAnsi="Calibri Light"/>
      <w:spacing w:val="-10"/>
      <w:kern w:val="28"/>
      <w:sz w:val="56"/>
      <w:szCs w:val="56"/>
      <w:lang w:val="en-US"/>
    </w:rPr>
  </w:style>
  <w:style w:type="character" w:customStyle="1" w:styleId="TitleChar">
    <w:name w:val="Title Char"/>
    <w:link w:val="Title"/>
    <w:uiPriority w:val="10"/>
    <w:rsid w:val="00AB57EC"/>
    <w:rPr>
      <w:rFonts w:ascii="Calibri Light" w:eastAsia="Times New Roman" w:hAnsi="Calibri Light"/>
      <w:spacing w:val="-10"/>
      <w:kern w:val="28"/>
      <w:sz w:val="56"/>
      <w:szCs w:val="56"/>
    </w:rPr>
  </w:style>
  <w:style w:type="paragraph" w:styleId="NoSpacing">
    <w:name w:val="No Spacing"/>
    <w:link w:val="NoSpacingChar"/>
    <w:uiPriority w:val="1"/>
    <w:qFormat/>
    <w:rsid w:val="00AB57EC"/>
  </w:style>
  <w:style w:type="character" w:customStyle="1" w:styleId="NoSpacingChar">
    <w:name w:val="No Spacing Char"/>
    <w:link w:val="NoSpacing"/>
    <w:uiPriority w:val="1"/>
    <w:rsid w:val="00AB57EC"/>
  </w:style>
  <w:style w:type="paragraph" w:styleId="ListParagraph">
    <w:name w:val="List Paragraph"/>
    <w:basedOn w:val="Normal"/>
    <w:uiPriority w:val="34"/>
    <w:qFormat/>
    <w:rsid w:val="00AB57EC"/>
    <w:pPr>
      <w:spacing w:after="160" w:line="259" w:lineRule="auto"/>
      <w:ind w:left="720"/>
      <w:contextualSpacing/>
    </w:pPr>
    <w:rPr>
      <w:rFonts w:ascii="Calibri" w:eastAsia="Calibri" w:hAnsi="Calibri"/>
      <w:szCs w:val="22"/>
    </w:rPr>
  </w:style>
  <w:style w:type="paragraph" w:styleId="TOCHeading">
    <w:name w:val="TOC Heading"/>
    <w:basedOn w:val="Heading1"/>
    <w:next w:val="Normal"/>
    <w:uiPriority w:val="39"/>
    <w:unhideWhenUsed/>
    <w:qFormat/>
    <w:rsid w:val="00AB57EC"/>
    <w:pPr>
      <w:spacing w:before="480" w:line="276" w:lineRule="auto"/>
      <w:outlineLvl w:val="9"/>
    </w:pPr>
    <w:rPr>
      <w:bCs/>
      <w:color w:val="365F91"/>
      <w:sz w:val="28"/>
      <w:szCs w:val="28"/>
      <w:lang w:eastAsia="ja-JP"/>
    </w:rPr>
  </w:style>
  <w:style w:type="paragraph" w:styleId="TOC4">
    <w:name w:val="toc 4"/>
    <w:basedOn w:val="Normal"/>
    <w:next w:val="Normal"/>
    <w:autoRedefine/>
    <w:uiPriority w:val="39"/>
    <w:unhideWhenUsed/>
    <w:rsid w:val="008C50CA"/>
    <w:pPr>
      <w:ind w:left="720"/>
    </w:pPr>
    <w:rPr>
      <w:rFonts w:asciiTheme="minorHAnsi" w:hAnsiTheme="minorHAnsi"/>
      <w:sz w:val="18"/>
      <w:szCs w:val="18"/>
    </w:rPr>
  </w:style>
  <w:style w:type="paragraph" w:styleId="TOC5">
    <w:name w:val="toc 5"/>
    <w:basedOn w:val="Normal"/>
    <w:next w:val="Normal"/>
    <w:autoRedefine/>
    <w:uiPriority w:val="39"/>
    <w:unhideWhenUsed/>
    <w:rsid w:val="008C50CA"/>
    <w:pPr>
      <w:ind w:left="960"/>
    </w:pPr>
    <w:rPr>
      <w:rFonts w:asciiTheme="minorHAnsi" w:hAnsiTheme="minorHAnsi"/>
      <w:sz w:val="18"/>
      <w:szCs w:val="18"/>
    </w:rPr>
  </w:style>
  <w:style w:type="paragraph" w:styleId="TOC6">
    <w:name w:val="toc 6"/>
    <w:basedOn w:val="Normal"/>
    <w:next w:val="Normal"/>
    <w:autoRedefine/>
    <w:uiPriority w:val="39"/>
    <w:unhideWhenUsed/>
    <w:rsid w:val="008C50CA"/>
    <w:pPr>
      <w:ind w:left="1200"/>
    </w:pPr>
    <w:rPr>
      <w:rFonts w:asciiTheme="minorHAnsi" w:hAnsiTheme="minorHAnsi"/>
      <w:sz w:val="18"/>
      <w:szCs w:val="18"/>
    </w:rPr>
  </w:style>
  <w:style w:type="paragraph" w:styleId="TOC7">
    <w:name w:val="toc 7"/>
    <w:basedOn w:val="Normal"/>
    <w:next w:val="Normal"/>
    <w:autoRedefine/>
    <w:uiPriority w:val="39"/>
    <w:unhideWhenUsed/>
    <w:rsid w:val="008C50CA"/>
    <w:pPr>
      <w:ind w:left="1440"/>
    </w:pPr>
    <w:rPr>
      <w:rFonts w:asciiTheme="minorHAnsi" w:hAnsiTheme="minorHAnsi"/>
      <w:sz w:val="18"/>
      <w:szCs w:val="18"/>
    </w:rPr>
  </w:style>
  <w:style w:type="paragraph" w:styleId="TOC8">
    <w:name w:val="toc 8"/>
    <w:basedOn w:val="Normal"/>
    <w:next w:val="Normal"/>
    <w:autoRedefine/>
    <w:uiPriority w:val="39"/>
    <w:unhideWhenUsed/>
    <w:rsid w:val="008C50CA"/>
    <w:pPr>
      <w:ind w:left="1680"/>
    </w:pPr>
    <w:rPr>
      <w:rFonts w:asciiTheme="minorHAnsi" w:hAnsiTheme="minorHAnsi"/>
      <w:sz w:val="18"/>
      <w:szCs w:val="18"/>
    </w:rPr>
  </w:style>
  <w:style w:type="paragraph" w:styleId="TOC9">
    <w:name w:val="toc 9"/>
    <w:basedOn w:val="Normal"/>
    <w:next w:val="Normal"/>
    <w:autoRedefine/>
    <w:uiPriority w:val="39"/>
    <w:unhideWhenUsed/>
    <w:rsid w:val="008C50CA"/>
    <w:pPr>
      <w:ind w:left="1920"/>
    </w:pPr>
    <w:rPr>
      <w:rFonts w:asciiTheme="minorHAnsi" w:hAnsiTheme="minorHAnsi"/>
      <w:sz w:val="18"/>
      <w:szCs w:val="18"/>
    </w:rPr>
  </w:style>
  <w:style w:type="character" w:styleId="Hyperlink">
    <w:name w:val="Hyperlink"/>
    <w:basedOn w:val="DefaultParagraphFont"/>
    <w:uiPriority w:val="99"/>
    <w:unhideWhenUsed/>
    <w:rsid w:val="008C50CA"/>
    <w:rPr>
      <w:color w:val="0563C1" w:themeColor="hyperlink"/>
      <w:u w:val="single"/>
    </w:rPr>
  </w:style>
  <w:style w:type="character" w:customStyle="1" w:styleId="apple-converted-space">
    <w:name w:val="apple-converted-space"/>
    <w:basedOn w:val="DefaultParagraphFont"/>
    <w:rsid w:val="007019E8"/>
  </w:style>
  <w:style w:type="table" w:styleId="TableGrid">
    <w:name w:val="Table Grid"/>
    <w:basedOn w:val="TableNormal"/>
    <w:rsid w:val="00701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9575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link w:val="SubtitleChar"/>
    <w:uiPriority w:val="11"/>
    <w:qFormat/>
    <w:rsid w:val="009575BD"/>
    <w:pPr>
      <w:numPr>
        <w:ilvl w:val="1"/>
      </w:numPr>
      <w:jc w:val="right"/>
    </w:pPr>
    <w:rPr>
      <w:rFonts w:eastAsiaTheme="minorEastAsia"/>
      <w:sz w:val="32"/>
      <w:lang w:val="en-US"/>
    </w:rPr>
  </w:style>
  <w:style w:type="character" w:customStyle="1" w:styleId="SubtitleChar">
    <w:name w:val="Subtitle Char"/>
    <w:basedOn w:val="DefaultParagraphFont"/>
    <w:link w:val="Subtitle"/>
    <w:uiPriority w:val="11"/>
    <w:rsid w:val="009575BD"/>
    <w:rPr>
      <w:rFonts w:ascii="Times New Roman" w:eastAsiaTheme="minorEastAsia" w:hAnsi="Times New Roman"/>
      <w:sz w:val="32"/>
      <w:szCs w:val="24"/>
    </w:rPr>
  </w:style>
  <w:style w:type="character" w:styleId="PlaceholderText">
    <w:name w:val="Placeholder Text"/>
    <w:basedOn w:val="DefaultParagraphFont"/>
    <w:uiPriority w:val="99"/>
    <w:semiHidden/>
    <w:rsid w:val="009575BD"/>
    <w:rPr>
      <w:color w:val="808080"/>
    </w:rPr>
  </w:style>
  <w:style w:type="paragraph" w:styleId="Date">
    <w:name w:val="Date"/>
    <w:basedOn w:val="Normal"/>
    <w:link w:val="DateChar"/>
    <w:uiPriority w:val="99"/>
    <w:unhideWhenUsed/>
    <w:qFormat/>
    <w:rsid w:val="009575BD"/>
    <w:pPr>
      <w:spacing w:after="40"/>
      <w:jc w:val="right"/>
    </w:pPr>
    <w:rPr>
      <w:rFonts w:eastAsiaTheme="minorHAnsi"/>
      <w:b/>
      <w:color w:val="4472C4" w:themeColor="accent1"/>
      <w:sz w:val="32"/>
      <w:lang w:val="en-US"/>
    </w:rPr>
  </w:style>
  <w:style w:type="character" w:customStyle="1" w:styleId="DateChar">
    <w:name w:val="Date Char"/>
    <w:basedOn w:val="DefaultParagraphFont"/>
    <w:link w:val="Date"/>
    <w:uiPriority w:val="99"/>
    <w:rsid w:val="009575BD"/>
    <w:rPr>
      <w:rFonts w:ascii="Times New Roman" w:eastAsiaTheme="minorHAnsi" w:hAnsi="Times New Roman"/>
      <w:b/>
      <w:color w:val="4472C4" w:themeColor="accent1"/>
      <w:sz w:val="32"/>
      <w:szCs w:val="24"/>
    </w:rPr>
  </w:style>
  <w:style w:type="paragraph" w:styleId="BlockText">
    <w:name w:val="Block Text"/>
    <w:basedOn w:val="Normal"/>
    <w:uiPriority w:val="99"/>
    <w:unhideWhenUsed/>
    <w:qFormat/>
    <w:rsid w:val="009575BD"/>
    <w:pPr>
      <w:spacing w:after="380" w:line="326" w:lineRule="auto"/>
    </w:pPr>
    <w:rPr>
      <w:rFonts w:eastAsiaTheme="minorEastAsia"/>
      <w:iCs/>
      <w:sz w:val="28"/>
      <w:lang w:val="en-US"/>
    </w:rPr>
  </w:style>
  <w:style w:type="paragraph" w:styleId="Quote">
    <w:name w:val="Quote"/>
    <w:basedOn w:val="Normal"/>
    <w:link w:val="QuoteChar"/>
    <w:uiPriority w:val="29"/>
    <w:qFormat/>
    <w:rsid w:val="009575BD"/>
    <w:pPr>
      <w:pBdr>
        <w:top w:val="single" w:sz="8" w:space="10" w:color="auto"/>
        <w:bottom w:val="single" w:sz="8" w:space="10" w:color="auto"/>
      </w:pBdr>
      <w:spacing w:after="240" w:line="312" w:lineRule="auto"/>
      <w:jc w:val="right"/>
    </w:pPr>
    <w:rPr>
      <w:rFonts w:eastAsiaTheme="minorHAnsi"/>
      <w:i/>
      <w:iCs/>
      <w:sz w:val="28"/>
      <w:lang w:val="en-US"/>
    </w:rPr>
  </w:style>
  <w:style w:type="character" w:customStyle="1" w:styleId="QuoteChar">
    <w:name w:val="Quote Char"/>
    <w:basedOn w:val="DefaultParagraphFont"/>
    <w:link w:val="Quote"/>
    <w:uiPriority w:val="29"/>
    <w:rsid w:val="009575BD"/>
    <w:rPr>
      <w:rFonts w:ascii="Times New Roman" w:eastAsiaTheme="minorHAnsi" w:hAnsi="Times New Roman"/>
      <w:i/>
      <w:iCs/>
      <w:sz w:val="28"/>
      <w:szCs w:val="24"/>
    </w:rPr>
  </w:style>
  <w:style w:type="paragraph" w:styleId="IntenseQuote">
    <w:name w:val="Intense Quote"/>
    <w:basedOn w:val="Normal"/>
    <w:link w:val="IntenseQuoteChar"/>
    <w:uiPriority w:val="30"/>
    <w:qFormat/>
    <w:rsid w:val="009575BD"/>
    <w:pPr>
      <w:pBdr>
        <w:top w:val="single" w:sz="8" w:space="10" w:color="50637D" w:themeColor="text2" w:themeTint="E6"/>
        <w:bottom w:val="single" w:sz="8" w:space="10" w:color="50637D" w:themeColor="text2" w:themeTint="E6"/>
      </w:pBdr>
      <w:spacing w:after="240" w:line="312" w:lineRule="auto"/>
      <w:jc w:val="right"/>
    </w:pPr>
    <w:rPr>
      <w:rFonts w:eastAsiaTheme="minorHAnsi"/>
      <w:b/>
      <w:i/>
      <w:iCs/>
      <w:sz w:val="28"/>
      <w:lang w:val="en-US"/>
    </w:rPr>
  </w:style>
  <w:style w:type="character" w:customStyle="1" w:styleId="IntenseQuoteChar">
    <w:name w:val="Intense Quote Char"/>
    <w:basedOn w:val="DefaultParagraphFont"/>
    <w:link w:val="IntenseQuote"/>
    <w:uiPriority w:val="30"/>
    <w:rsid w:val="009575BD"/>
    <w:rPr>
      <w:rFonts w:ascii="Times New Roman" w:eastAsiaTheme="minorHAnsi" w:hAnsi="Times New Roman"/>
      <w:b/>
      <w:i/>
      <w:iCs/>
      <w:sz w:val="28"/>
      <w:szCs w:val="24"/>
    </w:rPr>
  </w:style>
  <w:style w:type="paragraph" w:customStyle="1" w:styleId="Recipient">
    <w:name w:val="Recipient"/>
    <w:basedOn w:val="Normal"/>
    <w:uiPriority w:val="10"/>
    <w:qFormat/>
    <w:rsid w:val="009575BD"/>
    <w:pPr>
      <w:spacing w:before="1760"/>
      <w:ind w:left="2880"/>
    </w:pPr>
    <w:rPr>
      <w:rFonts w:eastAsiaTheme="minorHAnsi"/>
      <w:b/>
      <w:lang w:val="en-US"/>
    </w:rPr>
  </w:style>
  <w:style w:type="paragraph" w:customStyle="1" w:styleId="Address">
    <w:name w:val="Address"/>
    <w:basedOn w:val="Normal"/>
    <w:uiPriority w:val="10"/>
    <w:qFormat/>
    <w:rsid w:val="009575BD"/>
    <w:pPr>
      <w:ind w:left="2880"/>
      <w:contextualSpacing/>
    </w:pPr>
    <w:rPr>
      <w:rFonts w:eastAsiaTheme="minorHAnsi"/>
      <w:lang w:val="en-US"/>
    </w:rPr>
  </w:style>
  <w:style w:type="paragraph" w:customStyle="1" w:styleId="ContactInfo">
    <w:name w:val="Contact Info"/>
    <w:basedOn w:val="Normal"/>
    <w:uiPriority w:val="10"/>
    <w:qFormat/>
    <w:rsid w:val="009575BD"/>
    <w:pPr>
      <w:contextualSpacing/>
    </w:pPr>
    <w:rPr>
      <w:rFonts w:eastAsiaTheme="minorHAnsi"/>
      <w:lang w:val="en-US"/>
    </w:rPr>
  </w:style>
  <w:style w:type="paragraph" w:customStyle="1" w:styleId="Company">
    <w:name w:val="Company"/>
    <w:basedOn w:val="Normal"/>
    <w:uiPriority w:val="10"/>
    <w:qFormat/>
    <w:rsid w:val="009575BD"/>
    <w:pPr>
      <w:pBdr>
        <w:top w:val="single" w:sz="24" w:space="18" w:color="50637D" w:themeColor="text2" w:themeTint="E6"/>
      </w:pBdr>
    </w:pPr>
    <w:rPr>
      <w:rFonts w:eastAsiaTheme="minorHAnsi"/>
      <w:b/>
      <w:color w:val="4472C4" w:themeColor="accent1"/>
      <w:sz w:val="36"/>
      <w:lang w:val="en-US"/>
    </w:rPr>
  </w:style>
  <w:style w:type="paragraph" w:styleId="BalloonText">
    <w:name w:val="Balloon Text"/>
    <w:basedOn w:val="Normal"/>
    <w:link w:val="BalloonTextChar"/>
    <w:uiPriority w:val="99"/>
    <w:semiHidden/>
    <w:unhideWhenUsed/>
    <w:rsid w:val="009575BD"/>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9575BD"/>
    <w:rPr>
      <w:rFonts w:ascii="Segoe UI" w:eastAsiaTheme="minorHAnsi" w:hAnsi="Segoe UI" w:cs="Segoe UI"/>
      <w:sz w:val="18"/>
      <w:szCs w:val="18"/>
    </w:rPr>
  </w:style>
  <w:style w:type="paragraph" w:styleId="Header">
    <w:name w:val="header"/>
    <w:basedOn w:val="Normal"/>
    <w:link w:val="HeaderChar"/>
    <w:uiPriority w:val="99"/>
    <w:unhideWhenUsed/>
    <w:rsid w:val="009575BD"/>
    <w:rPr>
      <w:rFonts w:eastAsiaTheme="minorHAnsi"/>
      <w:lang w:val="en-US"/>
    </w:rPr>
  </w:style>
  <w:style w:type="character" w:customStyle="1" w:styleId="HeaderChar">
    <w:name w:val="Header Char"/>
    <w:basedOn w:val="DefaultParagraphFont"/>
    <w:link w:val="Header"/>
    <w:uiPriority w:val="99"/>
    <w:rsid w:val="009575BD"/>
    <w:rPr>
      <w:rFonts w:ascii="Times New Roman" w:eastAsiaTheme="minorHAnsi" w:hAnsi="Times New Roman"/>
      <w:sz w:val="24"/>
      <w:szCs w:val="24"/>
    </w:rPr>
  </w:style>
  <w:style w:type="paragraph" w:styleId="Footer">
    <w:name w:val="footer"/>
    <w:basedOn w:val="Normal"/>
    <w:link w:val="FooterChar"/>
    <w:uiPriority w:val="99"/>
    <w:unhideWhenUsed/>
    <w:rsid w:val="009575BD"/>
    <w:rPr>
      <w:rFonts w:eastAsiaTheme="minorHAnsi"/>
      <w:lang w:val="en-US"/>
    </w:rPr>
  </w:style>
  <w:style w:type="character" w:customStyle="1" w:styleId="FooterChar">
    <w:name w:val="Footer Char"/>
    <w:basedOn w:val="DefaultParagraphFont"/>
    <w:link w:val="Footer"/>
    <w:uiPriority w:val="99"/>
    <w:rsid w:val="009575BD"/>
    <w:rPr>
      <w:rFonts w:ascii="Times New Roman" w:eastAsiaTheme="minorHAnsi" w:hAnsi="Times New Roman"/>
      <w:sz w:val="24"/>
      <w:szCs w:val="24"/>
    </w:rPr>
  </w:style>
  <w:style w:type="paragraph" w:customStyle="1" w:styleId="Introduction">
    <w:name w:val="Introduction"/>
    <w:basedOn w:val="Normal"/>
    <w:link w:val="IntroductionChar"/>
    <w:uiPriority w:val="3"/>
    <w:qFormat/>
    <w:rsid w:val="009575BD"/>
    <w:pPr>
      <w:spacing w:after="380" w:line="319" w:lineRule="auto"/>
    </w:pPr>
    <w:rPr>
      <w:rFonts w:eastAsiaTheme="minorHAnsi"/>
      <w:sz w:val="28"/>
      <w:lang w:val="en-US"/>
    </w:rPr>
  </w:style>
  <w:style w:type="character" w:customStyle="1" w:styleId="IntroductionChar">
    <w:name w:val="Introduction Char"/>
    <w:basedOn w:val="DefaultParagraphFont"/>
    <w:link w:val="Introduction"/>
    <w:uiPriority w:val="3"/>
    <w:rsid w:val="009575BD"/>
    <w:rPr>
      <w:rFonts w:ascii="Times New Roman" w:eastAsiaTheme="minorHAnsi" w:hAnsi="Times New Roman"/>
      <w:sz w:val="28"/>
      <w:szCs w:val="24"/>
    </w:rPr>
  </w:style>
  <w:style w:type="paragraph" w:customStyle="1" w:styleId="p1">
    <w:name w:val="p1"/>
    <w:basedOn w:val="Normal"/>
    <w:rsid w:val="009575BD"/>
    <w:rPr>
      <w:rFonts w:ascii="Helvetica" w:eastAsiaTheme="minorHAnsi" w:hAnsi="Helvetica"/>
      <w:sz w:val="14"/>
      <w:szCs w:val="14"/>
      <w:lang w:val="en-US"/>
    </w:rPr>
  </w:style>
  <w:style w:type="paragraph" w:customStyle="1" w:styleId="p2">
    <w:name w:val="p2"/>
    <w:basedOn w:val="Normal"/>
    <w:rsid w:val="009575BD"/>
    <w:rPr>
      <w:rFonts w:ascii="Helvetica" w:eastAsiaTheme="minorHAnsi" w:hAnsi="Helvetica"/>
      <w:color w:val="F76D45"/>
      <w:sz w:val="14"/>
      <w:szCs w:val="14"/>
      <w:lang w:val="en-US"/>
    </w:rPr>
  </w:style>
  <w:style w:type="character" w:customStyle="1" w:styleId="s1">
    <w:name w:val="s1"/>
    <w:basedOn w:val="DefaultParagraphFont"/>
    <w:rsid w:val="009575BD"/>
    <w:rPr>
      <w:color w:val="000000"/>
    </w:rPr>
  </w:style>
  <w:style w:type="character" w:customStyle="1" w:styleId="s2">
    <w:name w:val="s2"/>
    <w:basedOn w:val="DefaultParagraphFont"/>
    <w:rsid w:val="009575BD"/>
    <w:rPr>
      <w:color w:val="F76D45"/>
    </w:rPr>
  </w:style>
  <w:style w:type="character" w:styleId="Strong">
    <w:name w:val="Strong"/>
    <w:basedOn w:val="DefaultParagraphFont"/>
    <w:uiPriority w:val="22"/>
    <w:qFormat/>
    <w:rsid w:val="009575BD"/>
    <w:rPr>
      <w:b/>
      <w:bCs/>
    </w:rPr>
  </w:style>
  <w:style w:type="paragraph" w:styleId="CommentText">
    <w:name w:val="annotation text"/>
    <w:basedOn w:val="Normal"/>
    <w:link w:val="CommentTextChar"/>
    <w:uiPriority w:val="99"/>
    <w:unhideWhenUsed/>
    <w:rsid w:val="009575BD"/>
    <w:rPr>
      <w:color w:val="000000"/>
      <w:sz w:val="20"/>
      <w:szCs w:val="20"/>
      <w:lang w:val="en-US"/>
    </w:rPr>
  </w:style>
  <w:style w:type="character" w:customStyle="1" w:styleId="CommentTextChar">
    <w:name w:val="Comment Text Char"/>
    <w:basedOn w:val="DefaultParagraphFont"/>
    <w:link w:val="CommentText"/>
    <w:uiPriority w:val="99"/>
    <w:rsid w:val="009575BD"/>
    <w:rPr>
      <w:rFonts w:ascii="Times New Roman" w:eastAsia="Times New Roman" w:hAnsi="Times New Roman"/>
      <w:color w:val="000000"/>
    </w:rPr>
  </w:style>
  <w:style w:type="character" w:styleId="CommentReference">
    <w:name w:val="annotation reference"/>
    <w:basedOn w:val="DefaultParagraphFont"/>
    <w:uiPriority w:val="99"/>
    <w:semiHidden/>
    <w:unhideWhenUsed/>
    <w:rsid w:val="009575BD"/>
    <w:rPr>
      <w:sz w:val="16"/>
      <w:szCs w:val="16"/>
    </w:rPr>
  </w:style>
  <w:style w:type="paragraph" w:styleId="NormalWeb">
    <w:name w:val="Normal (Web)"/>
    <w:basedOn w:val="Normal"/>
    <w:uiPriority w:val="99"/>
    <w:unhideWhenUsed/>
    <w:rsid w:val="009575BD"/>
    <w:pPr>
      <w:spacing w:before="100" w:beforeAutospacing="1" w:after="100" w:afterAutospacing="1"/>
    </w:pPr>
    <w:rPr>
      <w:rFonts w:eastAsiaTheme="minorHAnsi"/>
      <w:lang w:val="en-US"/>
    </w:rPr>
  </w:style>
  <w:style w:type="paragraph" w:styleId="CommentSubject">
    <w:name w:val="annotation subject"/>
    <w:basedOn w:val="CommentText"/>
    <w:next w:val="CommentText"/>
    <w:link w:val="CommentSubjectChar"/>
    <w:uiPriority w:val="99"/>
    <w:semiHidden/>
    <w:unhideWhenUsed/>
    <w:rsid w:val="009575BD"/>
    <w:rPr>
      <w:rFonts w:eastAsiaTheme="minorHAnsi"/>
      <w:b/>
      <w:bCs/>
      <w:color w:val="auto"/>
    </w:rPr>
  </w:style>
  <w:style w:type="character" w:customStyle="1" w:styleId="CommentSubjectChar">
    <w:name w:val="Comment Subject Char"/>
    <w:basedOn w:val="CommentTextChar"/>
    <w:link w:val="CommentSubject"/>
    <w:uiPriority w:val="99"/>
    <w:semiHidden/>
    <w:rsid w:val="009575BD"/>
    <w:rPr>
      <w:rFonts w:ascii="Times New Roman" w:eastAsiaTheme="minorHAnsi" w:hAnsi="Times New Roman"/>
      <w:b/>
      <w:bCs/>
      <w:color w:val="000000"/>
    </w:rPr>
  </w:style>
  <w:style w:type="paragraph" w:styleId="FootnoteText">
    <w:name w:val="footnote text"/>
    <w:basedOn w:val="Normal"/>
    <w:link w:val="FootnoteTextChar"/>
    <w:uiPriority w:val="99"/>
    <w:unhideWhenUsed/>
    <w:rsid w:val="009575BD"/>
    <w:rPr>
      <w:rFonts w:eastAsiaTheme="minorHAnsi"/>
      <w:lang w:val="en-US"/>
    </w:rPr>
  </w:style>
  <w:style w:type="character" w:customStyle="1" w:styleId="FootnoteTextChar">
    <w:name w:val="Footnote Text Char"/>
    <w:basedOn w:val="DefaultParagraphFont"/>
    <w:link w:val="FootnoteText"/>
    <w:uiPriority w:val="99"/>
    <w:rsid w:val="009575BD"/>
    <w:rPr>
      <w:rFonts w:ascii="Times New Roman" w:eastAsiaTheme="minorHAnsi" w:hAnsi="Times New Roman"/>
      <w:sz w:val="24"/>
      <w:szCs w:val="24"/>
    </w:rPr>
  </w:style>
  <w:style w:type="character" w:styleId="FootnoteReference">
    <w:name w:val="footnote reference"/>
    <w:basedOn w:val="DefaultParagraphFont"/>
    <w:uiPriority w:val="99"/>
    <w:unhideWhenUsed/>
    <w:rsid w:val="009575BD"/>
    <w:rPr>
      <w:vertAlign w:val="superscript"/>
    </w:rPr>
  </w:style>
  <w:style w:type="table" w:customStyle="1" w:styleId="ListTable6Colorful-Accent61">
    <w:name w:val="List Table 6 Colorful - Accent 61"/>
    <w:basedOn w:val="TableNormal"/>
    <w:uiPriority w:val="51"/>
    <w:rsid w:val="009575BD"/>
    <w:pPr>
      <w:ind w:firstLine="360"/>
    </w:pPr>
    <w:rPr>
      <w:rFonts w:asciiTheme="minorHAnsi" w:eastAsiaTheme="minorEastAsia" w:hAnsiTheme="minorHAnsi" w:cstheme="minorBidi"/>
      <w:color w:val="538135" w:themeColor="accent6" w:themeShade="BF"/>
      <w:sz w:val="22"/>
      <w:szCs w:val="22"/>
      <w:lang w:eastAsia="ja-JP"/>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Accent61">
    <w:name w:val="List Table 5 Dark - Accent 61"/>
    <w:basedOn w:val="TableNormal"/>
    <w:uiPriority w:val="50"/>
    <w:rsid w:val="009575BD"/>
    <w:rPr>
      <w:rFonts w:asciiTheme="minorHAnsi" w:eastAsiaTheme="minorHAnsi" w:hAnsiTheme="minorHAnsi" w:cstheme="minorBidi"/>
      <w:color w:val="FFFFFF" w:themeColor="background1"/>
      <w:sz w:val="24"/>
      <w:szCs w:val="24"/>
      <w:lang w:eastAsia="ja-JP"/>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1">
    <w:name w:val="List Table 4 - Accent 61"/>
    <w:basedOn w:val="TableNormal"/>
    <w:uiPriority w:val="49"/>
    <w:rsid w:val="009575BD"/>
    <w:rPr>
      <w:rFonts w:asciiTheme="minorHAnsi" w:eastAsiaTheme="minorHAnsi" w:hAnsiTheme="minorHAnsi" w:cstheme="minorBidi"/>
      <w:color w:val="50637D" w:themeColor="text2" w:themeTint="E6"/>
      <w:sz w:val="24"/>
      <w:szCs w:val="24"/>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9575BD"/>
    <w:rPr>
      <w:color w:val="954F72" w:themeColor="followedHyperlink"/>
      <w:u w:val="single"/>
    </w:rPr>
  </w:style>
  <w:style w:type="table" w:customStyle="1" w:styleId="GridTable4-Accent61">
    <w:name w:val="Grid Table 4 - Accent 61"/>
    <w:basedOn w:val="TableNormal"/>
    <w:uiPriority w:val="49"/>
    <w:rsid w:val="009575BD"/>
    <w:rPr>
      <w:rFonts w:asciiTheme="minorHAnsi" w:eastAsiaTheme="minorHAnsi" w:hAnsiTheme="minorHAnsi" w:cstheme="minorBidi"/>
      <w:color w:val="50637D" w:themeColor="text2" w:themeTint="E6"/>
      <w:sz w:val="24"/>
      <w:szCs w:val="24"/>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Emphasis">
    <w:name w:val="Emphasis"/>
    <w:basedOn w:val="DefaultParagraphFont"/>
    <w:uiPriority w:val="20"/>
    <w:qFormat/>
    <w:rsid w:val="009575BD"/>
    <w:rPr>
      <w:i/>
      <w:iCs/>
    </w:rPr>
  </w:style>
  <w:style w:type="character" w:styleId="HTMLKeyboard">
    <w:name w:val="HTML Keyboard"/>
    <w:basedOn w:val="DefaultParagraphFont"/>
    <w:uiPriority w:val="99"/>
    <w:semiHidden/>
    <w:unhideWhenUsed/>
    <w:rsid w:val="009575BD"/>
    <w:rPr>
      <w:rFonts w:ascii="Courier New" w:eastAsiaTheme="minorHAnsi" w:hAnsi="Courier New" w:cs="Courier New"/>
      <w:sz w:val="20"/>
      <w:szCs w:val="20"/>
    </w:rPr>
  </w:style>
  <w:style w:type="character" w:styleId="HTMLSample">
    <w:name w:val="HTML Sample"/>
    <w:basedOn w:val="DefaultParagraphFont"/>
    <w:uiPriority w:val="99"/>
    <w:semiHidden/>
    <w:unhideWhenUsed/>
    <w:rsid w:val="009575BD"/>
    <w:rPr>
      <w:rFonts w:ascii="Courier New" w:eastAsiaTheme="minorHAnsi" w:hAnsi="Courier New" w:cs="Courier New"/>
    </w:rPr>
  </w:style>
  <w:style w:type="character" w:customStyle="1" w:styleId="small">
    <w:name w:val="small"/>
    <w:basedOn w:val="DefaultParagraphFont"/>
    <w:rsid w:val="009575BD"/>
  </w:style>
  <w:style w:type="paragraph" w:customStyle="1" w:styleId="p3">
    <w:name w:val="p3"/>
    <w:basedOn w:val="Normal"/>
    <w:rsid w:val="009575BD"/>
    <w:rPr>
      <w:rFonts w:ascii="Helvetica" w:eastAsiaTheme="minorHAnsi" w:hAnsi="Helvetica"/>
      <w:sz w:val="11"/>
      <w:szCs w:val="11"/>
      <w:lang w:val="en-US"/>
    </w:rPr>
  </w:style>
  <w:style w:type="paragraph" w:customStyle="1" w:styleId="p4">
    <w:name w:val="p4"/>
    <w:basedOn w:val="Normal"/>
    <w:rsid w:val="009575BD"/>
    <w:rPr>
      <w:rFonts w:ascii="Helvetica" w:eastAsiaTheme="minorHAnsi" w:hAnsi="Helvetica"/>
      <w:color w:val="2F2A2B"/>
      <w:sz w:val="12"/>
      <w:szCs w:val="12"/>
      <w:lang w:val="en-US"/>
    </w:rPr>
  </w:style>
  <w:style w:type="paragraph" w:styleId="Revision">
    <w:name w:val="Revision"/>
    <w:hidden/>
    <w:uiPriority w:val="99"/>
    <w:semiHidden/>
    <w:rsid w:val="009575BD"/>
    <w:rPr>
      <w:rFonts w:ascii="Times New Roman" w:eastAsiaTheme="minorHAnsi" w:hAnsi="Times New Roman"/>
      <w:sz w:val="24"/>
      <w:szCs w:val="24"/>
    </w:rPr>
  </w:style>
  <w:style w:type="character" w:styleId="UnresolvedMention">
    <w:name w:val="Unresolved Mention"/>
    <w:basedOn w:val="DefaultParagraphFont"/>
    <w:uiPriority w:val="99"/>
    <w:rsid w:val="009575BD"/>
    <w:rPr>
      <w:color w:val="808080"/>
      <w:shd w:val="clear" w:color="auto" w:fill="E6E6E6"/>
    </w:rPr>
  </w:style>
  <w:style w:type="character" w:styleId="PageNumber">
    <w:name w:val="page number"/>
    <w:basedOn w:val="DefaultParagraphFont"/>
    <w:uiPriority w:val="99"/>
    <w:semiHidden/>
    <w:unhideWhenUsed/>
    <w:rsid w:val="009C17E0"/>
  </w:style>
  <w:style w:type="character" w:customStyle="1" w:styleId="Heading4Char">
    <w:name w:val="Heading 4 Char"/>
    <w:basedOn w:val="DefaultParagraphFont"/>
    <w:link w:val="Heading4"/>
    <w:uiPriority w:val="9"/>
    <w:semiHidden/>
    <w:rsid w:val="002E2B8A"/>
    <w:rPr>
      <w:rFonts w:ascii="Times New Roman" w:eastAsia="Times New Roman" w:hAnsi="Times New Roman"/>
      <w:b/>
      <w:sz w:val="24"/>
      <w:szCs w:val="24"/>
      <w:lang w:val="en-CA"/>
    </w:rPr>
  </w:style>
  <w:style w:type="character" w:customStyle="1" w:styleId="Heading5Char">
    <w:name w:val="Heading 5 Char"/>
    <w:basedOn w:val="DefaultParagraphFont"/>
    <w:link w:val="Heading5"/>
    <w:uiPriority w:val="9"/>
    <w:semiHidden/>
    <w:rsid w:val="002E2B8A"/>
    <w:rPr>
      <w:rFonts w:ascii="Times New Roman" w:eastAsia="Times New Roman" w:hAnsi="Times New Roman"/>
      <w:b/>
      <w:sz w:val="22"/>
      <w:szCs w:val="22"/>
      <w:lang w:val="en-CA"/>
    </w:rPr>
  </w:style>
  <w:style w:type="character" w:customStyle="1" w:styleId="Heading6Char">
    <w:name w:val="Heading 6 Char"/>
    <w:basedOn w:val="DefaultParagraphFont"/>
    <w:link w:val="Heading6"/>
    <w:uiPriority w:val="9"/>
    <w:semiHidden/>
    <w:rsid w:val="002E2B8A"/>
    <w:rPr>
      <w:rFonts w:ascii="Times New Roman" w:eastAsia="Times New Roman" w:hAnsi="Times New Roman"/>
      <w:b/>
      <w:lang w:val="en-CA"/>
    </w:rPr>
  </w:style>
  <w:style w:type="paragraph" w:styleId="BodyText">
    <w:name w:val="Body Text"/>
    <w:basedOn w:val="Normal"/>
    <w:link w:val="BodyTextChar"/>
    <w:rsid w:val="002E2B8A"/>
    <w:rPr>
      <w:i/>
      <w:iCs/>
      <w:sz w:val="32"/>
    </w:rPr>
  </w:style>
  <w:style w:type="character" w:customStyle="1" w:styleId="BodyTextChar">
    <w:name w:val="Body Text Char"/>
    <w:basedOn w:val="DefaultParagraphFont"/>
    <w:link w:val="BodyText"/>
    <w:rsid w:val="002E2B8A"/>
    <w:rPr>
      <w:rFonts w:ascii="Times New Roman" w:eastAsia="Times New Roman" w:hAnsi="Times New Roman"/>
      <w:i/>
      <w:iCs/>
      <w:sz w:val="32"/>
      <w:szCs w:val="24"/>
      <w:lang w:val="en-CA"/>
    </w:rPr>
  </w:style>
  <w:style w:type="character" w:customStyle="1" w:styleId="UnresolvedMention1">
    <w:name w:val="Unresolved Mention1"/>
    <w:basedOn w:val="DefaultParagraphFont"/>
    <w:uiPriority w:val="99"/>
    <w:unhideWhenUsed/>
    <w:rsid w:val="002E2B8A"/>
    <w:rPr>
      <w:color w:val="605E5C"/>
      <w:shd w:val="clear" w:color="auto" w:fill="E1DFDD"/>
    </w:rPr>
  </w:style>
  <w:style w:type="character" w:customStyle="1" w:styleId="UnresolvedMention2">
    <w:name w:val="Unresolved Mention2"/>
    <w:basedOn w:val="DefaultParagraphFont"/>
    <w:uiPriority w:val="99"/>
    <w:semiHidden/>
    <w:unhideWhenUsed/>
    <w:rsid w:val="002E2B8A"/>
    <w:rPr>
      <w:color w:val="605E5C"/>
      <w:shd w:val="clear" w:color="auto" w:fill="E1DFDD"/>
    </w:rPr>
  </w:style>
  <w:style w:type="paragraph" w:customStyle="1" w:styleId="page-range">
    <w:name w:val="page-range"/>
    <w:basedOn w:val="Normal"/>
    <w:rsid w:val="002E2B8A"/>
    <w:pPr>
      <w:spacing w:before="100" w:beforeAutospacing="1" w:after="100" w:afterAutospacing="1"/>
    </w:pPr>
  </w:style>
  <w:style w:type="paragraph" w:styleId="TableofFigures">
    <w:name w:val="table of figures"/>
    <w:basedOn w:val="Normal"/>
    <w:next w:val="Normal"/>
    <w:uiPriority w:val="99"/>
    <w:unhideWhenUsed/>
    <w:rsid w:val="00C806B2"/>
    <w:pPr>
      <w:ind w:left="480" w:hanging="480"/>
    </w:pPr>
    <w:rPr>
      <w:rFonts w:asciiTheme="minorHAnsi" w:hAnsiTheme="minorHAnsi"/>
      <w:smallCaps/>
      <w:sz w:val="20"/>
      <w:szCs w:val="20"/>
    </w:rPr>
  </w:style>
  <w:style w:type="character" w:customStyle="1" w:styleId="element-citation">
    <w:name w:val="element-citation"/>
    <w:basedOn w:val="DefaultParagraphFont"/>
    <w:rsid w:val="00812859"/>
  </w:style>
  <w:style w:type="character" w:customStyle="1" w:styleId="ref-journal">
    <w:name w:val="ref-journal"/>
    <w:basedOn w:val="DefaultParagraphFont"/>
    <w:rsid w:val="00812859"/>
  </w:style>
  <w:style w:type="character" w:customStyle="1" w:styleId="nowrap">
    <w:name w:val="nowrap"/>
    <w:basedOn w:val="DefaultParagraphFont"/>
    <w:rsid w:val="00812859"/>
  </w:style>
  <w:style w:type="character" w:customStyle="1" w:styleId="authors">
    <w:name w:val="authors"/>
    <w:basedOn w:val="DefaultParagraphFont"/>
    <w:rsid w:val="00812859"/>
  </w:style>
  <w:style w:type="character" w:customStyle="1" w:styleId="Date1">
    <w:name w:val="Date1"/>
    <w:basedOn w:val="DefaultParagraphFont"/>
    <w:rsid w:val="00812859"/>
  </w:style>
  <w:style w:type="character" w:customStyle="1" w:styleId="arttitle">
    <w:name w:val="art_title"/>
    <w:basedOn w:val="DefaultParagraphFont"/>
    <w:rsid w:val="00812859"/>
  </w:style>
  <w:style w:type="character" w:customStyle="1" w:styleId="serialtitle">
    <w:name w:val="serial_title"/>
    <w:basedOn w:val="DefaultParagraphFont"/>
    <w:rsid w:val="00812859"/>
  </w:style>
  <w:style w:type="character" w:customStyle="1" w:styleId="volumeissue">
    <w:name w:val="volume_issue"/>
    <w:basedOn w:val="DefaultParagraphFont"/>
    <w:rsid w:val="00812859"/>
  </w:style>
  <w:style w:type="character" w:customStyle="1" w:styleId="pagerange">
    <w:name w:val="page_range"/>
    <w:basedOn w:val="DefaultParagraphFont"/>
    <w:rsid w:val="00812859"/>
  </w:style>
  <w:style w:type="character" w:customStyle="1" w:styleId="doilink">
    <w:name w:val="doi_link"/>
    <w:basedOn w:val="DefaultParagraphFont"/>
    <w:rsid w:val="00812859"/>
  </w:style>
  <w:style w:type="character" w:customStyle="1" w:styleId="externalref">
    <w:name w:val="externalref"/>
    <w:basedOn w:val="DefaultParagraphFont"/>
    <w:rsid w:val="00812859"/>
  </w:style>
  <w:style w:type="character" w:customStyle="1" w:styleId="refsource">
    <w:name w:val="refsource"/>
    <w:basedOn w:val="DefaultParagraphFont"/>
    <w:rsid w:val="00812859"/>
  </w:style>
  <w:style w:type="paragraph" w:styleId="Caption">
    <w:name w:val="caption"/>
    <w:basedOn w:val="Normal"/>
    <w:next w:val="Normal"/>
    <w:uiPriority w:val="35"/>
    <w:unhideWhenUsed/>
    <w:qFormat/>
    <w:rsid w:val="0058732B"/>
    <w:pPr>
      <w:spacing w:after="120"/>
    </w:pPr>
    <w:rPr>
      <w:iCs/>
      <w:sz w:val="22"/>
      <w:szCs w:val="18"/>
    </w:rPr>
  </w:style>
  <w:style w:type="paragraph" w:customStyle="1" w:styleId="Default">
    <w:name w:val="Default"/>
    <w:uiPriority w:val="99"/>
    <w:rsid w:val="00ED60F2"/>
    <w:pPr>
      <w:autoSpaceDE w:val="0"/>
      <w:autoSpaceDN w:val="0"/>
      <w:adjustRightInd w:val="0"/>
    </w:pPr>
    <w:rPr>
      <w:rFonts w:ascii="Tahoma" w:hAnsi="Tahoma" w:cs="Tahoma"/>
      <w:color w:val="000000"/>
      <w:sz w:val="24"/>
      <w:szCs w:val="24"/>
    </w:rPr>
  </w:style>
  <w:style w:type="table" w:styleId="PlainTable1">
    <w:name w:val="Plain Table 1"/>
    <w:basedOn w:val="TableNormal"/>
    <w:uiPriority w:val="41"/>
    <w:rsid w:val="00AD580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1930">
      <w:bodyDiv w:val="1"/>
      <w:marLeft w:val="0"/>
      <w:marRight w:val="0"/>
      <w:marTop w:val="0"/>
      <w:marBottom w:val="0"/>
      <w:divBdr>
        <w:top w:val="none" w:sz="0" w:space="0" w:color="auto"/>
        <w:left w:val="none" w:sz="0" w:space="0" w:color="auto"/>
        <w:bottom w:val="none" w:sz="0" w:space="0" w:color="auto"/>
        <w:right w:val="none" w:sz="0" w:space="0" w:color="auto"/>
      </w:divBdr>
      <w:divsChild>
        <w:div w:id="100761385">
          <w:marLeft w:val="0"/>
          <w:marRight w:val="0"/>
          <w:marTop w:val="0"/>
          <w:marBottom w:val="0"/>
          <w:divBdr>
            <w:top w:val="none" w:sz="0" w:space="0" w:color="auto"/>
            <w:left w:val="none" w:sz="0" w:space="0" w:color="auto"/>
            <w:bottom w:val="none" w:sz="0" w:space="0" w:color="auto"/>
            <w:right w:val="none" w:sz="0" w:space="0" w:color="auto"/>
          </w:divBdr>
          <w:divsChild>
            <w:div w:id="95177356">
              <w:marLeft w:val="0"/>
              <w:marRight w:val="0"/>
              <w:marTop w:val="0"/>
              <w:marBottom w:val="0"/>
              <w:divBdr>
                <w:top w:val="none" w:sz="0" w:space="0" w:color="auto"/>
                <w:left w:val="none" w:sz="0" w:space="0" w:color="auto"/>
                <w:bottom w:val="none" w:sz="0" w:space="0" w:color="auto"/>
                <w:right w:val="none" w:sz="0" w:space="0" w:color="auto"/>
              </w:divBdr>
              <w:divsChild>
                <w:div w:id="1244681412">
                  <w:marLeft w:val="0"/>
                  <w:marRight w:val="0"/>
                  <w:marTop w:val="0"/>
                  <w:marBottom w:val="0"/>
                  <w:divBdr>
                    <w:top w:val="none" w:sz="0" w:space="0" w:color="auto"/>
                    <w:left w:val="none" w:sz="0" w:space="0" w:color="auto"/>
                    <w:bottom w:val="none" w:sz="0" w:space="0" w:color="auto"/>
                    <w:right w:val="none" w:sz="0" w:space="0" w:color="auto"/>
                  </w:divBdr>
                  <w:divsChild>
                    <w:div w:id="5431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6221">
      <w:bodyDiv w:val="1"/>
      <w:marLeft w:val="0"/>
      <w:marRight w:val="0"/>
      <w:marTop w:val="0"/>
      <w:marBottom w:val="0"/>
      <w:divBdr>
        <w:top w:val="none" w:sz="0" w:space="0" w:color="auto"/>
        <w:left w:val="none" w:sz="0" w:space="0" w:color="auto"/>
        <w:bottom w:val="none" w:sz="0" w:space="0" w:color="auto"/>
        <w:right w:val="none" w:sz="0" w:space="0" w:color="auto"/>
      </w:divBdr>
    </w:div>
    <w:div w:id="28578072">
      <w:bodyDiv w:val="1"/>
      <w:marLeft w:val="0"/>
      <w:marRight w:val="0"/>
      <w:marTop w:val="0"/>
      <w:marBottom w:val="0"/>
      <w:divBdr>
        <w:top w:val="none" w:sz="0" w:space="0" w:color="auto"/>
        <w:left w:val="none" w:sz="0" w:space="0" w:color="auto"/>
        <w:bottom w:val="none" w:sz="0" w:space="0" w:color="auto"/>
        <w:right w:val="none" w:sz="0" w:space="0" w:color="auto"/>
      </w:divBdr>
    </w:div>
    <w:div w:id="28920192">
      <w:bodyDiv w:val="1"/>
      <w:marLeft w:val="0"/>
      <w:marRight w:val="0"/>
      <w:marTop w:val="0"/>
      <w:marBottom w:val="0"/>
      <w:divBdr>
        <w:top w:val="none" w:sz="0" w:space="0" w:color="auto"/>
        <w:left w:val="none" w:sz="0" w:space="0" w:color="auto"/>
        <w:bottom w:val="none" w:sz="0" w:space="0" w:color="auto"/>
        <w:right w:val="none" w:sz="0" w:space="0" w:color="auto"/>
      </w:divBdr>
      <w:divsChild>
        <w:div w:id="1300496601">
          <w:marLeft w:val="0"/>
          <w:marRight w:val="0"/>
          <w:marTop w:val="0"/>
          <w:marBottom w:val="0"/>
          <w:divBdr>
            <w:top w:val="none" w:sz="0" w:space="0" w:color="auto"/>
            <w:left w:val="none" w:sz="0" w:space="0" w:color="auto"/>
            <w:bottom w:val="none" w:sz="0" w:space="0" w:color="auto"/>
            <w:right w:val="none" w:sz="0" w:space="0" w:color="auto"/>
          </w:divBdr>
          <w:divsChild>
            <w:div w:id="727923274">
              <w:marLeft w:val="0"/>
              <w:marRight w:val="0"/>
              <w:marTop w:val="0"/>
              <w:marBottom w:val="0"/>
              <w:divBdr>
                <w:top w:val="none" w:sz="0" w:space="0" w:color="auto"/>
                <w:left w:val="none" w:sz="0" w:space="0" w:color="auto"/>
                <w:bottom w:val="none" w:sz="0" w:space="0" w:color="auto"/>
                <w:right w:val="none" w:sz="0" w:space="0" w:color="auto"/>
              </w:divBdr>
              <w:divsChild>
                <w:div w:id="6279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7616">
      <w:bodyDiv w:val="1"/>
      <w:marLeft w:val="0"/>
      <w:marRight w:val="0"/>
      <w:marTop w:val="0"/>
      <w:marBottom w:val="0"/>
      <w:divBdr>
        <w:top w:val="none" w:sz="0" w:space="0" w:color="auto"/>
        <w:left w:val="none" w:sz="0" w:space="0" w:color="auto"/>
        <w:bottom w:val="none" w:sz="0" w:space="0" w:color="auto"/>
        <w:right w:val="none" w:sz="0" w:space="0" w:color="auto"/>
      </w:divBdr>
    </w:div>
    <w:div w:id="92554748">
      <w:bodyDiv w:val="1"/>
      <w:marLeft w:val="0"/>
      <w:marRight w:val="0"/>
      <w:marTop w:val="0"/>
      <w:marBottom w:val="0"/>
      <w:divBdr>
        <w:top w:val="none" w:sz="0" w:space="0" w:color="auto"/>
        <w:left w:val="none" w:sz="0" w:space="0" w:color="auto"/>
        <w:bottom w:val="none" w:sz="0" w:space="0" w:color="auto"/>
        <w:right w:val="none" w:sz="0" w:space="0" w:color="auto"/>
      </w:divBdr>
      <w:divsChild>
        <w:div w:id="309361112">
          <w:marLeft w:val="0"/>
          <w:marRight w:val="0"/>
          <w:marTop w:val="0"/>
          <w:marBottom w:val="0"/>
          <w:divBdr>
            <w:top w:val="none" w:sz="0" w:space="0" w:color="auto"/>
            <w:left w:val="none" w:sz="0" w:space="0" w:color="auto"/>
            <w:bottom w:val="none" w:sz="0" w:space="0" w:color="auto"/>
            <w:right w:val="none" w:sz="0" w:space="0" w:color="auto"/>
          </w:divBdr>
          <w:divsChild>
            <w:div w:id="1706177440">
              <w:marLeft w:val="0"/>
              <w:marRight w:val="0"/>
              <w:marTop w:val="0"/>
              <w:marBottom w:val="0"/>
              <w:divBdr>
                <w:top w:val="none" w:sz="0" w:space="0" w:color="auto"/>
                <w:left w:val="none" w:sz="0" w:space="0" w:color="auto"/>
                <w:bottom w:val="none" w:sz="0" w:space="0" w:color="auto"/>
                <w:right w:val="none" w:sz="0" w:space="0" w:color="auto"/>
              </w:divBdr>
              <w:divsChild>
                <w:div w:id="9724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5137">
      <w:bodyDiv w:val="1"/>
      <w:marLeft w:val="0"/>
      <w:marRight w:val="0"/>
      <w:marTop w:val="0"/>
      <w:marBottom w:val="0"/>
      <w:divBdr>
        <w:top w:val="none" w:sz="0" w:space="0" w:color="auto"/>
        <w:left w:val="none" w:sz="0" w:space="0" w:color="auto"/>
        <w:bottom w:val="none" w:sz="0" w:space="0" w:color="auto"/>
        <w:right w:val="none" w:sz="0" w:space="0" w:color="auto"/>
      </w:divBdr>
    </w:div>
    <w:div w:id="127628373">
      <w:bodyDiv w:val="1"/>
      <w:marLeft w:val="0"/>
      <w:marRight w:val="0"/>
      <w:marTop w:val="0"/>
      <w:marBottom w:val="0"/>
      <w:divBdr>
        <w:top w:val="none" w:sz="0" w:space="0" w:color="auto"/>
        <w:left w:val="none" w:sz="0" w:space="0" w:color="auto"/>
        <w:bottom w:val="none" w:sz="0" w:space="0" w:color="auto"/>
        <w:right w:val="none" w:sz="0" w:space="0" w:color="auto"/>
      </w:divBdr>
    </w:div>
    <w:div w:id="154079601">
      <w:bodyDiv w:val="1"/>
      <w:marLeft w:val="0"/>
      <w:marRight w:val="0"/>
      <w:marTop w:val="0"/>
      <w:marBottom w:val="0"/>
      <w:divBdr>
        <w:top w:val="none" w:sz="0" w:space="0" w:color="auto"/>
        <w:left w:val="none" w:sz="0" w:space="0" w:color="auto"/>
        <w:bottom w:val="none" w:sz="0" w:space="0" w:color="auto"/>
        <w:right w:val="none" w:sz="0" w:space="0" w:color="auto"/>
      </w:divBdr>
    </w:div>
    <w:div w:id="161898551">
      <w:bodyDiv w:val="1"/>
      <w:marLeft w:val="0"/>
      <w:marRight w:val="0"/>
      <w:marTop w:val="0"/>
      <w:marBottom w:val="0"/>
      <w:divBdr>
        <w:top w:val="none" w:sz="0" w:space="0" w:color="auto"/>
        <w:left w:val="none" w:sz="0" w:space="0" w:color="auto"/>
        <w:bottom w:val="none" w:sz="0" w:space="0" w:color="auto"/>
        <w:right w:val="none" w:sz="0" w:space="0" w:color="auto"/>
      </w:divBdr>
    </w:div>
    <w:div w:id="170612022">
      <w:bodyDiv w:val="1"/>
      <w:marLeft w:val="0"/>
      <w:marRight w:val="0"/>
      <w:marTop w:val="0"/>
      <w:marBottom w:val="0"/>
      <w:divBdr>
        <w:top w:val="none" w:sz="0" w:space="0" w:color="auto"/>
        <w:left w:val="none" w:sz="0" w:space="0" w:color="auto"/>
        <w:bottom w:val="none" w:sz="0" w:space="0" w:color="auto"/>
        <w:right w:val="none" w:sz="0" w:space="0" w:color="auto"/>
      </w:divBdr>
      <w:divsChild>
        <w:div w:id="81335728">
          <w:marLeft w:val="0"/>
          <w:marRight w:val="0"/>
          <w:marTop w:val="0"/>
          <w:marBottom w:val="0"/>
          <w:divBdr>
            <w:top w:val="none" w:sz="0" w:space="0" w:color="auto"/>
            <w:left w:val="none" w:sz="0" w:space="0" w:color="auto"/>
            <w:bottom w:val="none" w:sz="0" w:space="0" w:color="auto"/>
            <w:right w:val="none" w:sz="0" w:space="0" w:color="auto"/>
          </w:divBdr>
          <w:divsChild>
            <w:div w:id="1286428531">
              <w:marLeft w:val="0"/>
              <w:marRight w:val="0"/>
              <w:marTop w:val="0"/>
              <w:marBottom w:val="0"/>
              <w:divBdr>
                <w:top w:val="none" w:sz="0" w:space="0" w:color="auto"/>
                <w:left w:val="none" w:sz="0" w:space="0" w:color="auto"/>
                <w:bottom w:val="none" w:sz="0" w:space="0" w:color="auto"/>
                <w:right w:val="none" w:sz="0" w:space="0" w:color="auto"/>
              </w:divBdr>
              <w:divsChild>
                <w:div w:id="12755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3126">
      <w:bodyDiv w:val="1"/>
      <w:marLeft w:val="0"/>
      <w:marRight w:val="0"/>
      <w:marTop w:val="0"/>
      <w:marBottom w:val="0"/>
      <w:divBdr>
        <w:top w:val="none" w:sz="0" w:space="0" w:color="auto"/>
        <w:left w:val="none" w:sz="0" w:space="0" w:color="auto"/>
        <w:bottom w:val="none" w:sz="0" w:space="0" w:color="auto"/>
        <w:right w:val="none" w:sz="0" w:space="0" w:color="auto"/>
      </w:divBdr>
      <w:divsChild>
        <w:div w:id="864946824">
          <w:marLeft w:val="0"/>
          <w:marRight w:val="0"/>
          <w:marTop w:val="0"/>
          <w:marBottom w:val="0"/>
          <w:divBdr>
            <w:top w:val="none" w:sz="0" w:space="0" w:color="auto"/>
            <w:left w:val="none" w:sz="0" w:space="0" w:color="auto"/>
            <w:bottom w:val="none" w:sz="0" w:space="0" w:color="auto"/>
            <w:right w:val="none" w:sz="0" w:space="0" w:color="auto"/>
          </w:divBdr>
          <w:divsChild>
            <w:div w:id="1128939019">
              <w:marLeft w:val="0"/>
              <w:marRight w:val="0"/>
              <w:marTop w:val="0"/>
              <w:marBottom w:val="0"/>
              <w:divBdr>
                <w:top w:val="none" w:sz="0" w:space="0" w:color="auto"/>
                <w:left w:val="none" w:sz="0" w:space="0" w:color="auto"/>
                <w:bottom w:val="none" w:sz="0" w:space="0" w:color="auto"/>
                <w:right w:val="none" w:sz="0" w:space="0" w:color="auto"/>
              </w:divBdr>
              <w:divsChild>
                <w:div w:id="259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3327">
      <w:bodyDiv w:val="1"/>
      <w:marLeft w:val="0"/>
      <w:marRight w:val="0"/>
      <w:marTop w:val="0"/>
      <w:marBottom w:val="0"/>
      <w:divBdr>
        <w:top w:val="none" w:sz="0" w:space="0" w:color="auto"/>
        <w:left w:val="none" w:sz="0" w:space="0" w:color="auto"/>
        <w:bottom w:val="none" w:sz="0" w:space="0" w:color="auto"/>
        <w:right w:val="none" w:sz="0" w:space="0" w:color="auto"/>
      </w:divBdr>
      <w:divsChild>
        <w:div w:id="211115442">
          <w:marLeft w:val="0"/>
          <w:marRight w:val="0"/>
          <w:marTop w:val="0"/>
          <w:marBottom w:val="0"/>
          <w:divBdr>
            <w:top w:val="none" w:sz="0" w:space="0" w:color="auto"/>
            <w:left w:val="none" w:sz="0" w:space="0" w:color="auto"/>
            <w:bottom w:val="none" w:sz="0" w:space="0" w:color="auto"/>
            <w:right w:val="none" w:sz="0" w:space="0" w:color="auto"/>
          </w:divBdr>
          <w:divsChild>
            <w:div w:id="437212556">
              <w:marLeft w:val="0"/>
              <w:marRight w:val="0"/>
              <w:marTop w:val="0"/>
              <w:marBottom w:val="0"/>
              <w:divBdr>
                <w:top w:val="none" w:sz="0" w:space="0" w:color="auto"/>
                <w:left w:val="none" w:sz="0" w:space="0" w:color="auto"/>
                <w:bottom w:val="none" w:sz="0" w:space="0" w:color="auto"/>
                <w:right w:val="none" w:sz="0" w:space="0" w:color="auto"/>
              </w:divBdr>
              <w:divsChild>
                <w:div w:id="111104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658">
      <w:bodyDiv w:val="1"/>
      <w:marLeft w:val="0"/>
      <w:marRight w:val="0"/>
      <w:marTop w:val="0"/>
      <w:marBottom w:val="0"/>
      <w:divBdr>
        <w:top w:val="none" w:sz="0" w:space="0" w:color="auto"/>
        <w:left w:val="none" w:sz="0" w:space="0" w:color="auto"/>
        <w:bottom w:val="none" w:sz="0" w:space="0" w:color="auto"/>
        <w:right w:val="none" w:sz="0" w:space="0" w:color="auto"/>
      </w:divBdr>
      <w:divsChild>
        <w:div w:id="285746652">
          <w:marLeft w:val="0"/>
          <w:marRight w:val="0"/>
          <w:marTop w:val="0"/>
          <w:marBottom w:val="0"/>
          <w:divBdr>
            <w:top w:val="none" w:sz="0" w:space="0" w:color="auto"/>
            <w:left w:val="none" w:sz="0" w:space="0" w:color="auto"/>
            <w:bottom w:val="none" w:sz="0" w:space="0" w:color="auto"/>
            <w:right w:val="none" w:sz="0" w:space="0" w:color="auto"/>
          </w:divBdr>
          <w:divsChild>
            <w:div w:id="1805150372">
              <w:marLeft w:val="0"/>
              <w:marRight w:val="0"/>
              <w:marTop w:val="0"/>
              <w:marBottom w:val="0"/>
              <w:divBdr>
                <w:top w:val="none" w:sz="0" w:space="0" w:color="auto"/>
                <w:left w:val="none" w:sz="0" w:space="0" w:color="auto"/>
                <w:bottom w:val="none" w:sz="0" w:space="0" w:color="auto"/>
                <w:right w:val="none" w:sz="0" w:space="0" w:color="auto"/>
              </w:divBdr>
              <w:divsChild>
                <w:div w:id="637957891">
                  <w:marLeft w:val="0"/>
                  <w:marRight w:val="0"/>
                  <w:marTop w:val="0"/>
                  <w:marBottom w:val="0"/>
                  <w:divBdr>
                    <w:top w:val="none" w:sz="0" w:space="0" w:color="auto"/>
                    <w:left w:val="none" w:sz="0" w:space="0" w:color="auto"/>
                    <w:bottom w:val="none" w:sz="0" w:space="0" w:color="auto"/>
                    <w:right w:val="none" w:sz="0" w:space="0" w:color="auto"/>
                  </w:divBdr>
                  <w:divsChild>
                    <w:div w:id="11848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99471">
      <w:bodyDiv w:val="1"/>
      <w:marLeft w:val="0"/>
      <w:marRight w:val="0"/>
      <w:marTop w:val="0"/>
      <w:marBottom w:val="0"/>
      <w:divBdr>
        <w:top w:val="none" w:sz="0" w:space="0" w:color="auto"/>
        <w:left w:val="none" w:sz="0" w:space="0" w:color="auto"/>
        <w:bottom w:val="none" w:sz="0" w:space="0" w:color="auto"/>
        <w:right w:val="none" w:sz="0" w:space="0" w:color="auto"/>
      </w:divBdr>
      <w:divsChild>
        <w:div w:id="817725132">
          <w:marLeft w:val="0"/>
          <w:marRight w:val="0"/>
          <w:marTop w:val="0"/>
          <w:marBottom w:val="0"/>
          <w:divBdr>
            <w:top w:val="none" w:sz="0" w:space="0" w:color="auto"/>
            <w:left w:val="none" w:sz="0" w:space="0" w:color="auto"/>
            <w:bottom w:val="none" w:sz="0" w:space="0" w:color="auto"/>
            <w:right w:val="none" w:sz="0" w:space="0" w:color="auto"/>
          </w:divBdr>
          <w:divsChild>
            <w:div w:id="485904030">
              <w:marLeft w:val="0"/>
              <w:marRight w:val="0"/>
              <w:marTop w:val="0"/>
              <w:marBottom w:val="0"/>
              <w:divBdr>
                <w:top w:val="none" w:sz="0" w:space="0" w:color="auto"/>
                <w:left w:val="none" w:sz="0" w:space="0" w:color="auto"/>
                <w:bottom w:val="none" w:sz="0" w:space="0" w:color="auto"/>
                <w:right w:val="none" w:sz="0" w:space="0" w:color="auto"/>
              </w:divBdr>
              <w:divsChild>
                <w:div w:id="12300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7161">
      <w:bodyDiv w:val="1"/>
      <w:marLeft w:val="0"/>
      <w:marRight w:val="0"/>
      <w:marTop w:val="0"/>
      <w:marBottom w:val="0"/>
      <w:divBdr>
        <w:top w:val="none" w:sz="0" w:space="0" w:color="auto"/>
        <w:left w:val="none" w:sz="0" w:space="0" w:color="auto"/>
        <w:bottom w:val="none" w:sz="0" w:space="0" w:color="auto"/>
        <w:right w:val="none" w:sz="0" w:space="0" w:color="auto"/>
      </w:divBdr>
    </w:div>
    <w:div w:id="207961054">
      <w:bodyDiv w:val="1"/>
      <w:marLeft w:val="0"/>
      <w:marRight w:val="0"/>
      <w:marTop w:val="0"/>
      <w:marBottom w:val="0"/>
      <w:divBdr>
        <w:top w:val="none" w:sz="0" w:space="0" w:color="auto"/>
        <w:left w:val="none" w:sz="0" w:space="0" w:color="auto"/>
        <w:bottom w:val="none" w:sz="0" w:space="0" w:color="auto"/>
        <w:right w:val="none" w:sz="0" w:space="0" w:color="auto"/>
      </w:divBdr>
      <w:divsChild>
        <w:div w:id="1820805666">
          <w:marLeft w:val="0"/>
          <w:marRight w:val="0"/>
          <w:marTop w:val="0"/>
          <w:marBottom w:val="0"/>
          <w:divBdr>
            <w:top w:val="none" w:sz="0" w:space="0" w:color="auto"/>
            <w:left w:val="none" w:sz="0" w:space="0" w:color="auto"/>
            <w:bottom w:val="none" w:sz="0" w:space="0" w:color="auto"/>
            <w:right w:val="none" w:sz="0" w:space="0" w:color="auto"/>
          </w:divBdr>
          <w:divsChild>
            <w:div w:id="10188164">
              <w:marLeft w:val="0"/>
              <w:marRight w:val="0"/>
              <w:marTop w:val="0"/>
              <w:marBottom w:val="0"/>
              <w:divBdr>
                <w:top w:val="none" w:sz="0" w:space="0" w:color="auto"/>
                <w:left w:val="none" w:sz="0" w:space="0" w:color="auto"/>
                <w:bottom w:val="none" w:sz="0" w:space="0" w:color="auto"/>
                <w:right w:val="none" w:sz="0" w:space="0" w:color="auto"/>
              </w:divBdr>
              <w:divsChild>
                <w:div w:id="196040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4131">
      <w:bodyDiv w:val="1"/>
      <w:marLeft w:val="0"/>
      <w:marRight w:val="0"/>
      <w:marTop w:val="0"/>
      <w:marBottom w:val="0"/>
      <w:divBdr>
        <w:top w:val="none" w:sz="0" w:space="0" w:color="auto"/>
        <w:left w:val="none" w:sz="0" w:space="0" w:color="auto"/>
        <w:bottom w:val="none" w:sz="0" w:space="0" w:color="auto"/>
        <w:right w:val="none" w:sz="0" w:space="0" w:color="auto"/>
      </w:divBdr>
      <w:divsChild>
        <w:div w:id="1643149324">
          <w:marLeft w:val="0"/>
          <w:marRight w:val="0"/>
          <w:marTop w:val="0"/>
          <w:marBottom w:val="0"/>
          <w:divBdr>
            <w:top w:val="none" w:sz="0" w:space="0" w:color="auto"/>
            <w:left w:val="none" w:sz="0" w:space="0" w:color="auto"/>
            <w:bottom w:val="none" w:sz="0" w:space="0" w:color="auto"/>
            <w:right w:val="none" w:sz="0" w:space="0" w:color="auto"/>
          </w:divBdr>
          <w:divsChild>
            <w:div w:id="1864899862">
              <w:marLeft w:val="0"/>
              <w:marRight w:val="0"/>
              <w:marTop w:val="0"/>
              <w:marBottom w:val="0"/>
              <w:divBdr>
                <w:top w:val="none" w:sz="0" w:space="0" w:color="auto"/>
                <w:left w:val="none" w:sz="0" w:space="0" w:color="auto"/>
                <w:bottom w:val="none" w:sz="0" w:space="0" w:color="auto"/>
                <w:right w:val="none" w:sz="0" w:space="0" w:color="auto"/>
              </w:divBdr>
              <w:divsChild>
                <w:div w:id="1597668313">
                  <w:marLeft w:val="0"/>
                  <w:marRight w:val="0"/>
                  <w:marTop w:val="0"/>
                  <w:marBottom w:val="0"/>
                  <w:divBdr>
                    <w:top w:val="none" w:sz="0" w:space="0" w:color="auto"/>
                    <w:left w:val="none" w:sz="0" w:space="0" w:color="auto"/>
                    <w:bottom w:val="none" w:sz="0" w:space="0" w:color="auto"/>
                    <w:right w:val="none" w:sz="0" w:space="0" w:color="auto"/>
                  </w:divBdr>
                  <w:divsChild>
                    <w:div w:id="21470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4885">
      <w:bodyDiv w:val="1"/>
      <w:marLeft w:val="0"/>
      <w:marRight w:val="0"/>
      <w:marTop w:val="0"/>
      <w:marBottom w:val="0"/>
      <w:divBdr>
        <w:top w:val="none" w:sz="0" w:space="0" w:color="auto"/>
        <w:left w:val="none" w:sz="0" w:space="0" w:color="auto"/>
        <w:bottom w:val="none" w:sz="0" w:space="0" w:color="auto"/>
        <w:right w:val="none" w:sz="0" w:space="0" w:color="auto"/>
      </w:divBdr>
      <w:divsChild>
        <w:div w:id="590241285">
          <w:marLeft w:val="0"/>
          <w:marRight w:val="0"/>
          <w:marTop w:val="0"/>
          <w:marBottom w:val="0"/>
          <w:divBdr>
            <w:top w:val="none" w:sz="0" w:space="0" w:color="auto"/>
            <w:left w:val="none" w:sz="0" w:space="0" w:color="auto"/>
            <w:bottom w:val="none" w:sz="0" w:space="0" w:color="auto"/>
            <w:right w:val="none" w:sz="0" w:space="0" w:color="auto"/>
          </w:divBdr>
          <w:divsChild>
            <w:div w:id="1027677814">
              <w:marLeft w:val="0"/>
              <w:marRight w:val="0"/>
              <w:marTop w:val="0"/>
              <w:marBottom w:val="0"/>
              <w:divBdr>
                <w:top w:val="none" w:sz="0" w:space="0" w:color="auto"/>
                <w:left w:val="none" w:sz="0" w:space="0" w:color="auto"/>
                <w:bottom w:val="none" w:sz="0" w:space="0" w:color="auto"/>
                <w:right w:val="none" w:sz="0" w:space="0" w:color="auto"/>
              </w:divBdr>
              <w:divsChild>
                <w:div w:id="9446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07639">
      <w:bodyDiv w:val="1"/>
      <w:marLeft w:val="0"/>
      <w:marRight w:val="0"/>
      <w:marTop w:val="0"/>
      <w:marBottom w:val="0"/>
      <w:divBdr>
        <w:top w:val="none" w:sz="0" w:space="0" w:color="auto"/>
        <w:left w:val="none" w:sz="0" w:space="0" w:color="auto"/>
        <w:bottom w:val="none" w:sz="0" w:space="0" w:color="auto"/>
        <w:right w:val="none" w:sz="0" w:space="0" w:color="auto"/>
      </w:divBdr>
    </w:div>
    <w:div w:id="234895599">
      <w:bodyDiv w:val="1"/>
      <w:marLeft w:val="0"/>
      <w:marRight w:val="0"/>
      <w:marTop w:val="0"/>
      <w:marBottom w:val="0"/>
      <w:divBdr>
        <w:top w:val="none" w:sz="0" w:space="0" w:color="auto"/>
        <w:left w:val="none" w:sz="0" w:space="0" w:color="auto"/>
        <w:bottom w:val="none" w:sz="0" w:space="0" w:color="auto"/>
        <w:right w:val="none" w:sz="0" w:space="0" w:color="auto"/>
      </w:divBdr>
      <w:divsChild>
        <w:div w:id="98915644">
          <w:marLeft w:val="0"/>
          <w:marRight w:val="0"/>
          <w:marTop w:val="0"/>
          <w:marBottom w:val="0"/>
          <w:divBdr>
            <w:top w:val="none" w:sz="0" w:space="0" w:color="auto"/>
            <w:left w:val="none" w:sz="0" w:space="0" w:color="auto"/>
            <w:bottom w:val="none" w:sz="0" w:space="0" w:color="auto"/>
            <w:right w:val="none" w:sz="0" w:space="0" w:color="auto"/>
          </w:divBdr>
          <w:divsChild>
            <w:div w:id="81605132">
              <w:marLeft w:val="0"/>
              <w:marRight w:val="0"/>
              <w:marTop w:val="0"/>
              <w:marBottom w:val="0"/>
              <w:divBdr>
                <w:top w:val="none" w:sz="0" w:space="0" w:color="auto"/>
                <w:left w:val="none" w:sz="0" w:space="0" w:color="auto"/>
                <w:bottom w:val="none" w:sz="0" w:space="0" w:color="auto"/>
                <w:right w:val="none" w:sz="0" w:space="0" w:color="auto"/>
              </w:divBdr>
              <w:divsChild>
                <w:div w:id="8679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07952">
      <w:bodyDiv w:val="1"/>
      <w:marLeft w:val="0"/>
      <w:marRight w:val="0"/>
      <w:marTop w:val="0"/>
      <w:marBottom w:val="0"/>
      <w:divBdr>
        <w:top w:val="none" w:sz="0" w:space="0" w:color="auto"/>
        <w:left w:val="none" w:sz="0" w:space="0" w:color="auto"/>
        <w:bottom w:val="none" w:sz="0" w:space="0" w:color="auto"/>
        <w:right w:val="none" w:sz="0" w:space="0" w:color="auto"/>
      </w:divBdr>
      <w:divsChild>
        <w:div w:id="14620354">
          <w:marLeft w:val="547"/>
          <w:marRight w:val="0"/>
          <w:marTop w:val="0"/>
          <w:marBottom w:val="0"/>
          <w:divBdr>
            <w:top w:val="none" w:sz="0" w:space="0" w:color="auto"/>
            <w:left w:val="none" w:sz="0" w:space="0" w:color="auto"/>
            <w:bottom w:val="none" w:sz="0" w:space="0" w:color="auto"/>
            <w:right w:val="none" w:sz="0" w:space="0" w:color="auto"/>
          </w:divBdr>
        </w:div>
        <w:div w:id="741605743">
          <w:marLeft w:val="547"/>
          <w:marRight w:val="0"/>
          <w:marTop w:val="0"/>
          <w:marBottom w:val="0"/>
          <w:divBdr>
            <w:top w:val="none" w:sz="0" w:space="0" w:color="auto"/>
            <w:left w:val="none" w:sz="0" w:space="0" w:color="auto"/>
            <w:bottom w:val="none" w:sz="0" w:space="0" w:color="auto"/>
            <w:right w:val="none" w:sz="0" w:space="0" w:color="auto"/>
          </w:divBdr>
        </w:div>
      </w:divsChild>
    </w:div>
    <w:div w:id="254556753">
      <w:bodyDiv w:val="1"/>
      <w:marLeft w:val="0"/>
      <w:marRight w:val="0"/>
      <w:marTop w:val="0"/>
      <w:marBottom w:val="0"/>
      <w:divBdr>
        <w:top w:val="none" w:sz="0" w:space="0" w:color="auto"/>
        <w:left w:val="none" w:sz="0" w:space="0" w:color="auto"/>
        <w:bottom w:val="none" w:sz="0" w:space="0" w:color="auto"/>
        <w:right w:val="none" w:sz="0" w:space="0" w:color="auto"/>
      </w:divBdr>
      <w:divsChild>
        <w:div w:id="299268502">
          <w:marLeft w:val="0"/>
          <w:marRight w:val="0"/>
          <w:marTop w:val="0"/>
          <w:marBottom w:val="0"/>
          <w:divBdr>
            <w:top w:val="none" w:sz="0" w:space="0" w:color="auto"/>
            <w:left w:val="none" w:sz="0" w:space="0" w:color="auto"/>
            <w:bottom w:val="none" w:sz="0" w:space="0" w:color="auto"/>
            <w:right w:val="none" w:sz="0" w:space="0" w:color="auto"/>
          </w:divBdr>
          <w:divsChild>
            <w:div w:id="1491827864">
              <w:marLeft w:val="0"/>
              <w:marRight w:val="0"/>
              <w:marTop w:val="0"/>
              <w:marBottom w:val="0"/>
              <w:divBdr>
                <w:top w:val="none" w:sz="0" w:space="0" w:color="auto"/>
                <w:left w:val="none" w:sz="0" w:space="0" w:color="auto"/>
                <w:bottom w:val="none" w:sz="0" w:space="0" w:color="auto"/>
                <w:right w:val="none" w:sz="0" w:space="0" w:color="auto"/>
              </w:divBdr>
              <w:divsChild>
                <w:div w:id="1215000156">
                  <w:marLeft w:val="0"/>
                  <w:marRight w:val="0"/>
                  <w:marTop w:val="0"/>
                  <w:marBottom w:val="0"/>
                  <w:divBdr>
                    <w:top w:val="none" w:sz="0" w:space="0" w:color="auto"/>
                    <w:left w:val="none" w:sz="0" w:space="0" w:color="auto"/>
                    <w:bottom w:val="none" w:sz="0" w:space="0" w:color="auto"/>
                    <w:right w:val="none" w:sz="0" w:space="0" w:color="auto"/>
                  </w:divBdr>
                  <w:divsChild>
                    <w:div w:id="100971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417061">
      <w:bodyDiv w:val="1"/>
      <w:marLeft w:val="0"/>
      <w:marRight w:val="0"/>
      <w:marTop w:val="0"/>
      <w:marBottom w:val="0"/>
      <w:divBdr>
        <w:top w:val="none" w:sz="0" w:space="0" w:color="auto"/>
        <w:left w:val="none" w:sz="0" w:space="0" w:color="auto"/>
        <w:bottom w:val="none" w:sz="0" w:space="0" w:color="auto"/>
        <w:right w:val="none" w:sz="0" w:space="0" w:color="auto"/>
      </w:divBdr>
      <w:divsChild>
        <w:div w:id="1409185477">
          <w:marLeft w:val="0"/>
          <w:marRight w:val="0"/>
          <w:marTop w:val="0"/>
          <w:marBottom w:val="0"/>
          <w:divBdr>
            <w:top w:val="none" w:sz="0" w:space="0" w:color="auto"/>
            <w:left w:val="none" w:sz="0" w:space="0" w:color="auto"/>
            <w:bottom w:val="none" w:sz="0" w:space="0" w:color="auto"/>
            <w:right w:val="none" w:sz="0" w:space="0" w:color="auto"/>
          </w:divBdr>
          <w:divsChild>
            <w:div w:id="1712000967">
              <w:marLeft w:val="0"/>
              <w:marRight w:val="0"/>
              <w:marTop w:val="0"/>
              <w:marBottom w:val="0"/>
              <w:divBdr>
                <w:top w:val="none" w:sz="0" w:space="0" w:color="auto"/>
                <w:left w:val="none" w:sz="0" w:space="0" w:color="auto"/>
                <w:bottom w:val="none" w:sz="0" w:space="0" w:color="auto"/>
                <w:right w:val="none" w:sz="0" w:space="0" w:color="auto"/>
              </w:divBdr>
              <w:divsChild>
                <w:div w:id="10172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1129">
      <w:bodyDiv w:val="1"/>
      <w:marLeft w:val="0"/>
      <w:marRight w:val="0"/>
      <w:marTop w:val="0"/>
      <w:marBottom w:val="0"/>
      <w:divBdr>
        <w:top w:val="none" w:sz="0" w:space="0" w:color="auto"/>
        <w:left w:val="none" w:sz="0" w:space="0" w:color="auto"/>
        <w:bottom w:val="none" w:sz="0" w:space="0" w:color="auto"/>
        <w:right w:val="none" w:sz="0" w:space="0" w:color="auto"/>
      </w:divBdr>
      <w:divsChild>
        <w:div w:id="1054543947">
          <w:marLeft w:val="0"/>
          <w:marRight w:val="0"/>
          <w:marTop w:val="0"/>
          <w:marBottom w:val="0"/>
          <w:divBdr>
            <w:top w:val="none" w:sz="0" w:space="0" w:color="auto"/>
            <w:left w:val="none" w:sz="0" w:space="0" w:color="auto"/>
            <w:bottom w:val="none" w:sz="0" w:space="0" w:color="auto"/>
            <w:right w:val="none" w:sz="0" w:space="0" w:color="auto"/>
          </w:divBdr>
          <w:divsChild>
            <w:div w:id="281956728">
              <w:marLeft w:val="0"/>
              <w:marRight w:val="0"/>
              <w:marTop w:val="0"/>
              <w:marBottom w:val="0"/>
              <w:divBdr>
                <w:top w:val="none" w:sz="0" w:space="0" w:color="auto"/>
                <w:left w:val="none" w:sz="0" w:space="0" w:color="auto"/>
                <w:bottom w:val="none" w:sz="0" w:space="0" w:color="auto"/>
                <w:right w:val="none" w:sz="0" w:space="0" w:color="auto"/>
              </w:divBdr>
              <w:divsChild>
                <w:div w:id="156386529">
                  <w:marLeft w:val="0"/>
                  <w:marRight w:val="0"/>
                  <w:marTop w:val="0"/>
                  <w:marBottom w:val="0"/>
                  <w:divBdr>
                    <w:top w:val="none" w:sz="0" w:space="0" w:color="auto"/>
                    <w:left w:val="none" w:sz="0" w:space="0" w:color="auto"/>
                    <w:bottom w:val="none" w:sz="0" w:space="0" w:color="auto"/>
                    <w:right w:val="none" w:sz="0" w:space="0" w:color="auto"/>
                  </w:divBdr>
                </w:div>
              </w:divsChild>
            </w:div>
            <w:div w:id="1777167326">
              <w:marLeft w:val="0"/>
              <w:marRight w:val="0"/>
              <w:marTop w:val="0"/>
              <w:marBottom w:val="0"/>
              <w:divBdr>
                <w:top w:val="none" w:sz="0" w:space="0" w:color="auto"/>
                <w:left w:val="none" w:sz="0" w:space="0" w:color="auto"/>
                <w:bottom w:val="none" w:sz="0" w:space="0" w:color="auto"/>
                <w:right w:val="none" w:sz="0" w:space="0" w:color="auto"/>
              </w:divBdr>
              <w:divsChild>
                <w:div w:id="1120680830">
                  <w:marLeft w:val="0"/>
                  <w:marRight w:val="0"/>
                  <w:marTop w:val="0"/>
                  <w:marBottom w:val="0"/>
                  <w:divBdr>
                    <w:top w:val="none" w:sz="0" w:space="0" w:color="auto"/>
                    <w:left w:val="none" w:sz="0" w:space="0" w:color="auto"/>
                    <w:bottom w:val="none" w:sz="0" w:space="0" w:color="auto"/>
                    <w:right w:val="none" w:sz="0" w:space="0" w:color="auto"/>
                  </w:divBdr>
                  <w:divsChild>
                    <w:div w:id="266893776">
                      <w:marLeft w:val="0"/>
                      <w:marRight w:val="0"/>
                      <w:marTop w:val="0"/>
                      <w:marBottom w:val="0"/>
                      <w:divBdr>
                        <w:top w:val="none" w:sz="0" w:space="0" w:color="auto"/>
                        <w:left w:val="none" w:sz="0" w:space="0" w:color="auto"/>
                        <w:bottom w:val="none" w:sz="0" w:space="0" w:color="auto"/>
                        <w:right w:val="none" w:sz="0" w:space="0" w:color="auto"/>
                      </w:divBdr>
                    </w:div>
                  </w:divsChild>
                </w:div>
                <w:div w:id="1835098721">
                  <w:marLeft w:val="0"/>
                  <w:marRight w:val="0"/>
                  <w:marTop w:val="0"/>
                  <w:marBottom w:val="0"/>
                  <w:divBdr>
                    <w:top w:val="none" w:sz="0" w:space="0" w:color="auto"/>
                    <w:left w:val="none" w:sz="0" w:space="0" w:color="auto"/>
                    <w:bottom w:val="none" w:sz="0" w:space="0" w:color="auto"/>
                    <w:right w:val="none" w:sz="0" w:space="0" w:color="auto"/>
                  </w:divBdr>
                  <w:divsChild>
                    <w:div w:id="1547060582">
                      <w:marLeft w:val="0"/>
                      <w:marRight w:val="0"/>
                      <w:marTop w:val="0"/>
                      <w:marBottom w:val="0"/>
                      <w:divBdr>
                        <w:top w:val="none" w:sz="0" w:space="0" w:color="auto"/>
                        <w:left w:val="none" w:sz="0" w:space="0" w:color="auto"/>
                        <w:bottom w:val="none" w:sz="0" w:space="0" w:color="auto"/>
                        <w:right w:val="none" w:sz="0" w:space="0" w:color="auto"/>
                      </w:divBdr>
                    </w:div>
                  </w:divsChild>
                </w:div>
                <w:div w:id="704135791">
                  <w:marLeft w:val="0"/>
                  <w:marRight w:val="0"/>
                  <w:marTop w:val="0"/>
                  <w:marBottom w:val="0"/>
                  <w:divBdr>
                    <w:top w:val="none" w:sz="0" w:space="0" w:color="auto"/>
                    <w:left w:val="none" w:sz="0" w:space="0" w:color="auto"/>
                    <w:bottom w:val="none" w:sz="0" w:space="0" w:color="auto"/>
                    <w:right w:val="none" w:sz="0" w:space="0" w:color="auto"/>
                  </w:divBdr>
                  <w:divsChild>
                    <w:div w:id="940718939">
                      <w:marLeft w:val="0"/>
                      <w:marRight w:val="0"/>
                      <w:marTop w:val="0"/>
                      <w:marBottom w:val="0"/>
                      <w:divBdr>
                        <w:top w:val="none" w:sz="0" w:space="0" w:color="auto"/>
                        <w:left w:val="none" w:sz="0" w:space="0" w:color="auto"/>
                        <w:bottom w:val="none" w:sz="0" w:space="0" w:color="auto"/>
                        <w:right w:val="none" w:sz="0" w:space="0" w:color="auto"/>
                      </w:divBdr>
                    </w:div>
                  </w:divsChild>
                </w:div>
                <w:div w:id="1835535340">
                  <w:marLeft w:val="0"/>
                  <w:marRight w:val="0"/>
                  <w:marTop w:val="0"/>
                  <w:marBottom w:val="0"/>
                  <w:divBdr>
                    <w:top w:val="none" w:sz="0" w:space="0" w:color="auto"/>
                    <w:left w:val="none" w:sz="0" w:space="0" w:color="auto"/>
                    <w:bottom w:val="none" w:sz="0" w:space="0" w:color="auto"/>
                    <w:right w:val="none" w:sz="0" w:space="0" w:color="auto"/>
                  </w:divBdr>
                  <w:divsChild>
                    <w:div w:id="1231622999">
                      <w:marLeft w:val="0"/>
                      <w:marRight w:val="0"/>
                      <w:marTop w:val="0"/>
                      <w:marBottom w:val="0"/>
                      <w:divBdr>
                        <w:top w:val="none" w:sz="0" w:space="0" w:color="auto"/>
                        <w:left w:val="none" w:sz="0" w:space="0" w:color="auto"/>
                        <w:bottom w:val="none" w:sz="0" w:space="0" w:color="auto"/>
                        <w:right w:val="none" w:sz="0" w:space="0" w:color="auto"/>
                      </w:divBdr>
                    </w:div>
                  </w:divsChild>
                </w:div>
                <w:div w:id="1526938019">
                  <w:marLeft w:val="0"/>
                  <w:marRight w:val="0"/>
                  <w:marTop w:val="0"/>
                  <w:marBottom w:val="0"/>
                  <w:divBdr>
                    <w:top w:val="none" w:sz="0" w:space="0" w:color="auto"/>
                    <w:left w:val="none" w:sz="0" w:space="0" w:color="auto"/>
                    <w:bottom w:val="none" w:sz="0" w:space="0" w:color="auto"/>
                    <w:right w:val="none" w:sz="0" w:space="0" w:color="auto"/>
                  </w:divBdr>
                  <w:divsChild>
                    <w:div w:id="1685984156">
                      <w:marLeft w:val="0"/>
                      <w:marRight w:val="0"/>
                      <w:marTop w:val="0"/>
                      <w:marBottom w:val="0"/>
                      <w:divBdr>
                        <w:top w:val="none" w:sz="0" w:space="0" w:color="auto"/>
                        <w:left w:val="none" w:sz="0" w:space="0" w:color="auto"/>
                        <w:bottom w:val="none" w:sz="0" w:space="0" w:color="auto"/>
                        <w:right w:val="none" w:sz="0" w:space="0" w:color="auto"/>
                      </w:divBdr>
                    </w:div>
                  </w:divsChild>
                </w:div>
                <w:div w:id="1395936211">
                  <w:marLeft w:val="0"/>
                  <w:marRight w:val="0"/>
                  <w:marTop w:val="0"/>
                  <w:marBottom w:val="0"/>
                  <w:divBdr>
                    <w:top w:val="none" w:sz="0" w:space="0" w:color="auto"/>
                    <w:left w:val="none" w:sz="0" w:space="0" w:color="auto"/>
                    <w:bottom w:val="none" w:sz="0" w:space="0" w:color="auto"/>
                    <w:right w:val="none" w:sz="0" w:space="0" w:color="auto"/>
                  </w:divBdr>
                  <w:divsChild>
                    <w:div w:id="831915060">
                      <w:marLeft w:val="0"/>
                      <w:marRight w:val="0"/>
                      <w:marTop w:val="0"/>
                      <w:marBottom w:val="0"/>
                      <w:divBdr>
                        <w:top w:val="none" w:sz="0" w:space="0" w:color="auto"/>
                        <w:left w:val="none" w:sz="0" w:space="0" w:color="auto"/>
                        <w:bottom w:val="none" w:sz="0" w:space="0" w:color="auto"/>
                        <w:right w:val="none" w:sz="0" w:space="0" w:color="auto"/>
                      </w:divBdr>
                    </w:div>
                  </w:divsChild>
                </w:div>
                <w:div w:id="1949969071">
                  <w:marLeft w:val="0"/>
                  <w:marRight w:val="0"/>
                  <w:marTop w:val="0"/>
                  <w:marBottom w:val="0"/>
                  <w:divBdr>
                    <w:top w:val="none" w:sz="0" w:space="0" w:color="auto"/>
                    <w:left w:val="none" w:sz="0" w:space="0" w:color="auto"/>
                    <w:bottom w:val="none" w:sz="0" w:space="0" w:color="auto"/>
                    <w:right w:val="none" w:sz="0" w:space="0" w:color="auto"/>
                  </w:divBdr>
                  <w:divsChild>
                    <w:div w:id="1944991707">
                      <w:marLeft w:val="0"/>
                      <w:marRight w:val="0"/>
                      <w:marTop w:val="0"/>
                      <w:marBottom w:val="0"/>
                      <w:divBdr>
                        <w:top w:val="none" w:sz="0" w:space="0" w:color="auto"/>
                        <w:left w:val="none" w:sz="0" w:space="0" w:color="auto"/>
                        <w:bottom w:val="none" w:sz="0" w:space="0" w:color="auto"/>
                        <w:right w:val="none" w:sz="0" w:space="0" w:color="auto"/>
                      </w:divBdr>
                    </w:div>
                  </w:divsChild>
                </w:div>
                <w:div w:id="989407253">
                  <w:marLeft w:val="0"/>
                  <w:marRight w:val="0"/>
                  <w:marTop w:val="0"/>
                  <w:marBottom w:val="0"/>
                  <w:divBdr>
                    <w:top w:val="none" w:sz="0" w:space="0" w:color="auto"/>
                    <w:left w:val="none" w:sz="0" w:space="0" w:color="auto"/>
                    <w:bottom w:val="none" w:sz="0" w:space="0" w:color="auto"/>
                    <w:right w:val="none" w:sz="0" w:space="0" w:color="auto"/>
                  </w:divBdr>
                  <w:divsChild>
                    <w:div w:id="388043265">
                      <w:marLeft w:val="0"/>
                      <w:marRight w:val="0"/>
                      <w:marTop w:val="0"/>
                      <w:marBottom w:val="0"/>
                      <w:divBdr>
                        <w:top w:val="none" w:sz="0" w:space="0" w:color="auto"/>
                        <w:left w:val="none" w:sz="0" w:space="0" w:color="auto"/>
                        <w:bottom w:val="none" w:sz="0" w:space="0" w:color="auto"/>
                        <w:right w:val="none" w:sz="0" w:space="0" w:color="auto"/>
                      </w:divBdr>
                    </w:div>
                  </w:divsChild>
                </w:div>
                <w:div w:id="2089379695">
                  <w:marLeft w:val="0"/>
                  <w:marRight w:val="0"/>
                  <w:marTop w:val="0"/>
                  <w:marBottom w:val="0"/>
                  <w:divBdr>
                    <w:top w:val="none" w:sz="0" w:space="0" w:color="auto"/>
                    <w:left w:val="none" w:sz="0" w:space="0" w:color="auto"/>
                    <w:bottom w:val="none" w:sz="0" w:space="0" w:color="auto"/>
                    <w:right w:val="none" w:sz="0" w:space="0" w:color="auto"/>
                  </w:divBdr>
                  <w:divsChild>
                    <w:div w:id="1001591976">
                      <w:marLeft w:val="0"/>
                      <w:marRight w:val="0"/>
                      <w:marTop w:val="0"/>
                      <w:marBottom w:val="0"/>
                      <w:divBdr>
                        <w:top w:val="none" w:sz="0" w:space="0" w:color="auto"/>
                        <w:left w:val="none" w:sz="0" w:space="0" w:color="auto"/>
                        <w:bottom w:val="none" w:sz="0" w:space="0" w:color="auto"/>
                        <w:right w:val="none" w:sz="0" w:space="0" w:color="auto"/>
                      </w:divBdr>
                    </w:div>
                  </w:divsChild>
                </w:div>
                <w:div w:id="854541856">
                  <w:marLeft w:val="0"/>
                  <w:marRight w:val="0"/>
                  <w:marTop w:val="0"/>
                  <w:marBottom w:val="0"/>
                  <w:divBdr>
                    <w:top w:val="none" w:sz="0" w:space="0" w:color="auto"/>
                    <w:left w:val="none" w:sz="0" w:space="0" w:color="auto"/>
                    <w:bottom w:val="none" w:sz="0" w:space="0" w:color="auto"/>
                    <w:right w:val="none" w:sz="0" w:space="0" w:color="auto"/>
                  </w:divBdr>
                  <w:divsChild>
                    <w:div w:id="855728566">
                      <w:marLeft w:val="0"/>
                      <w:marRight w:val="0"/>
                      <w:marTop w:val="0"/>
                      <w:marBottom w:val="0"/>
                      <w:divBdr>
                        <w:top w:val="none" w:sz="0" w:space="0" w:color="auto"/>
                        <w:left w:val="none" w:sz="0" w:space="0" w:color="auto"/>
                        <w:bottom w:val="none" w:sz="0" w:space="0" w:color="auto"/>
                        <w:right w:val="none" w:sz="0" w:space="0" w:color="auto"/>
                      </w:divBdr>
                    </w:div>
                  </w:divsChild>
                </w:div>
                <w:div w:id="1530794100">
                  <w:marLeft w:val="0"/>
                  <w:marRight w:val="0"/>
                  <w:marTop w:val="0"/>
                  <w:marBottom w:val="0"/>
                  <w:divBdr>
                    <w:top w:val="none" w:sz="0" w:space="0" w:color="auto"/>
                    <w:left w:val="none" w:sz="0" w:space="0" w:color="auto"/>
                    <w:bottom w:val="none" w:sz="0" w:space="0" w:color="auto"/>
                    <w:right w:val="none" w:sz="0" w:space="0" w:color="auto"/>
                  </w:divBdr>
                  <w:divsChild>
                    <w:div w:id="1614246295">
                      <w:marLeft w:val="0"/>
                      <w:marRight w:val="0"/>
                      <w:marTop w:val="0"/>
                      <w:marBottom w:val="0"/>
                      <w:divBdr>
                        <w:top w:val="none" w:sz="0" w:space="0" w:color="auto"/>
                        <w:left w:val="none" w:sz="0" w:space="0" w:color="auto"/>
                        <w:bottom w:val="none" w:sz="0" w:space="0" w:color="auto"/>
                        <w:right w:val="none" w:sz="0" w:space="0" w:color="auto"/>
                      </w:divBdr>
                    </w:div>
                  </w:divsChild>
                </w:div>
                <w:div w:id="514079738">
                  <w:marLeft w:val="0"/>
                  <w:marRight w:val="0"/>
                  <w:marTop w:val="0"/>
                  <w:marBottom w:val="0"/>
                  <w:divBdr>
                    <w:top w:val="none" w:sz="0" w:space="0" w:color="auto"/>
                    <w:left w:val="none" w:sz="0" w:space="0" w:color="auto"/>
                    <w:bottom w:val="none" w:sz="0" w:space="0" w:color="auto"/>
                    <w:right w:val="none" w:sz="0" w:space="0" w:color="auto"/>
                  </w:divBdr>
                  <w:divsChild>
                    <w:div w:id="836113230">
                      <w:marLeft w:val="0"/>
                      <w:marRight w:val="0"/>
                      <w:marTop w:val="0"/>
                      <w:marBottom w:val="0"/>
                      <w:divBdr>
                        <w:top w:val="none" w:sz="0" w:space="0" w:color="auto"/>
                        <w:left w:val="none" w:sz="0" w:space="0" w:color="auto"/>
                        <w:bottom w:val="none" w:sz="0" w:space="0" w:color="auto"/>
                        <w:right w:val="none" w:sz="0" w:space="0" w:color="auto"/>
                      </w:divBdr>
                    </w:div>
                  </w:divsChild>
                </w:div>
                <w:div w:id="742021412">
                  <w:marLeft w:val="0"/>
                  <w:marRight w:val="0"/>
                  <w:marTop w:val="0"/>
                  <w:marBottom w:val="0"/>
                  <w:divBdr>
                    <w:top w:val="none" w:sz="0" w:space="0" w:color="auto"/>
                    <w:left w:val="none" w:sz="0" w:space="0" w:color="auto"/>
                    <w:bottom w:val="none" w:sz="0" w:space="0" w:color="auto"/>
                    <w:right w:val="none" w:sz="0" w:space="0" w:color="auto"/>
                  </w:divBdr>
                  <w:divsChild>
                    <w:div w:id="255214358">
                      <w:marLeft w:val="0"/>
                      <w:marRight w:val="0"/>
                      <w:marTop w:val="0"/>
                      <w:marBottom w:val="0"/>
                      <w:divBdr>
                        <w:top w:val="none" w:sz="0" w:space="0" w:color="auto"/>
                        <w:left w:val="none" w:sz="0" w:space="0" w:color="auto"/>
                        <w:bottom w:val="none" w:sz="0" w:space="0" w:color="auto"/>
                        <w:right w:val="none" w:sz="0" w:space="0" w:color="auto"/>
                      </w:divBdr>
                    </w:div>
                  </w:divsChild>
                </w:div>
                <w:div w:id="1693067125">
                  <w:marLeft w:val="0"/>
                  <w:marRight w:val="0"/>
                  <w:marTop w:val="0"/>
                  <w:marBottom w:val="0"/>
                  <w:divBdr>
                    <w:top w:val="none" w:sz="0" w:space="0" w:color="auto"/>
                    <w:left w:val="none" w:sz="0" w:space="0" w:color="auto"/>
                    <w:bottom w:val="none" w:sz="0" w:space="0" w:color="auto"/>
                    <w:right w:val="none" w:sz="0" w:space="0" w:color="auto"/>
                  </w:divBdr>
                  <w:divsChild>
                    <w:div w:id="1580557285">
                      <w:marLeft w:val="0"/>
                      <w:marRight w:val="0"/>
                      <w:marTop w:val="0"/>
                      <w:marBottom w:val="0"/>
                      <w:divBdr>
                        <w:top w:val="none" w:sz="0" w:space="0" w:color="auto"/>
                        <w:left w:val="none" w:sz="0" w:space="0" w:color="auto"/>
                        <w:bottom w:val="none" w:sz="0" w:space="0" w:color="auto"/>
                        <w:right w:val="none" w:sz="0" w:space="0" w:color="auto"/>
                      </w:divBdr>
                    </w:div>
                  </w:divsChild>
                </w:div>
                <w:div w:id="2138255305">
                  <w:marLeft w:val="0"/>
                  <w:marRight w:val="0"/>
                  <w:marTop w:val="0"/>
                  <w:marBottom w:val="0"/>
                  <w:divBdr>
                    <w:top w:val="none" w:sz="0" w:space="0" w:color="auto"/>
                    <w:left w:val="none" w:sz="0" w:space="0" w:color="auto"/>
                    <w:bottom w:val="none" w:sz="0" w:space="0" w:color="auto"/>
                    <w:right w:val="none" w:sz="0" w:space="0" w:color="auto"/>
                  </w:divBdr>
                  <w:divsChild>
                    <w:div w:id="1150101223">
                      <w:marLeft w:val="0"/>
                      <w:marRight w:val="0"/>
                      <w:marTop w:val="0"/>
                      <w:marBottom w:val="0"/>
                      <w:divBdr>
                        <w:top w:val="none" w:sz="0" w:space="0" w:color="auto"/>
                        <w:left w:val="none" w:sz="0" w:space="0" w:color="auto"/>
                        <w:bottom w:val="none" w:sz="0" w:space="0" w:color="auto"/>
                        <w:right w:val="none" w:sz="0" w:space="0" w:color="auto"/>
                      </w:divBdr>
                    </w:div>
                  </w:divsChild>
                </w:div>
                <w:div w:id="136916467">
                  <w:marLeft w:val="0"/>
                  <w:marRight w:val="0"/>
                  <w:marTop w:val="0"/>
                  <w:marBottom w:val="0"/>
                  <w:divBdr>
                    <w:top w:val="none" w:sz="0" w:space="0" w:color="auto"/>
                    <w:left w:val="none" w:sz="0" w:space="0" w:color="auto"/>
                    <w:bottom w:val="none" w:sz="0" w:space="0" w:color="auto"/>
                    <w:right w:val="none" w:sz="0" w:space="0" w:color="auto"/>
                  </w:divBdr>
                  <w:divsChild>
                    <w:div w:id="1197308453">
                      <w:marLeft w:val="0"/>
                      <w:marRight w:val="0"/>
                      <w:marTop w:val="0"/>
                      <w:marBottom w:val="0"/>
                      <w:divBdr>
                        <w:top w:val="none" w:sz="0" w:space="0" w:color="auto"/>
                        <w:left w:val="none" w:sz="0" w:space="0" w:color="auto"/>
                        <w:bottom w:val="none" w:sz="0" w:space="0" w:color="auto"/>
                        <w:right w:val="none" w:sz="0" w:space="0" w:color="auto"/>
                      </w:divBdr>
                    </w:div>
                  </w:divsChild>
                </w:div>
                <w:div w:id="72433745">
                  <w:marLeft w:val="0"/>
                  <w:marRight w:val="0"/>
                  <w:marTop w:val="0"/>
                  <w:marBottom w:val="0"/>
                  <w:divBdr>
                    <w:top w:val="none" w:sz="0" w:space="0" w:color="auto"/>
                    <w:left w:val="none" w:sz="0" w:space="0" w:color="auto"/>
                    <w:bottom w:val="none" w:sz="0" w:space="0" w:color="auto"/>
                    <w:right w:val="none" w:sz="0" w:space="0" w:color="auto"/>
                  </w:divBdr>
                  <w:divsChild>
                    <w:div w:id="15026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5110">
              <w:marLeft w:val="0"/>
              <w:marRight w:val="0"/>
              <w:marTop w:val="0"/>
              <w:marBottom w:val="0"/>
              <w:divBdr>
                <w:top w:val="none" w:sz="0" w:space="0" w:color="auto"/>
                <w:left w:val="none" w:sz="0" w:space="0" w:color="auto"/>
                <w:bottom w:val="none" w:sz="0" w:space="0" w:color="auto"/>
                <w:right w:val="none" w:sz="0" w:space="0" w:color="auto"/>
              </w:divBdr>
              <w:divsChild>
                <w:div w:id="11156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0277">
      <w:bodyDiv w:val="1"/>
      <w:marLeft w:val="0"/>
      <w:marRight w:val="0"/>
      <w:marTop w:val="0"/>
      <w:marBottom w:val="0"/>
      <w:divBdr>
        <w:top w:val="none" w:sz="0" w:space="0" w:color="auto"/>
        <w:left w:val="none" w:sz="0" w:space="0" w:color="auto"/>
        <w:bottom w:val="none" w:sz="0" w:space="0" w:color="auto"/>
        <w:right w:val="none" w:sz="0" w:space="0" w:color="auto"/>
      </w:divBdr>
    </w:div>
    <w:div w:id="296105211">
      <w:bodyDiv w:val="1"/>
      <w:marLeft w:val="0"/>
      <w:marRight w:val="0"/>
      <w:marTop w:val="0"/>
      <w:marBottom w:val="0"/>
      <w:divBdr>
        <w:top w:val="none" w:sz="0" w:space="0" w:color="auto"/>
        <w:left w:val="none" w:sz="0" w:space="0" w:color="auto"/>
        <w:bottom w:val="none" w:sz="0" w:space="0" w:color="auto"/>
        <w:right w:val="none" w:sz="0" w:space="0" w:color="auto"/>
      </w:divBdr>
      <w:divsChild>
        <w:div w:id="1724672988">
          <w:marLeft w:val="0"/>
          <w:marRight w:val="0"/>
          <w:marTop w:val="0"/>
          <w:marBottom w:val="0"/>
          <w:divBdr>
            <w:top w:val="none" w:sz="0" w:space="0" w:color="auto"/>
            <w:left w:val="none" w:sz="0" w:space="0" w:color="auto"/>
            <w:bottom w:val="none" w:sz="0" w:space="0" w:color="auto"/>
            <w:right w:val="none" w:sz="0" w:space="0" w:color="auto"/>
          </w:divBdr>
          <w:divsChild>
            <w:div w:id="1427771462">
              <w:marLeft w:val="0"/>
              <w:marRight w:val="0"/>
              <w:marTop w:val="0"/>
              <w:marBottom w:val="0"/>
              <w:divBdr>
                <w:top w:val="none" w:sz="0" w:space="0" w:color="auto"/>
                <w:left w:val="none" w:sz="0" w:space="0" w:color="auto"/>
                <w:bottom w:val="none" w:sz="0" w:space="0" w:color="auto"/>
                <w:right w:val="none" w:sz="0" w:space="0" w:color="auto"/>
              </w:divBdr>
              <w:divsChild>
                <w:div w:id="8511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84190">
      <w:bodyDiv w:val="1"/>
      <w:marLeft w:val="0"/>
      <w:marRight w:val="0"/>
      <w:marTop w:val="0"/>
      <w:marBottom w:val="0"/>
      <w:divBdr>
        <w:top w:val="none" w:sz="0" w:space="0" w:color="auto"/>
        <w:left w:val="none" w:sz="0" w:space="0" w:color="auto"/>
        <w:bottom w:val="none" w:sz="0" w:space="0" w:color="auto"/>
        <w:right w:val="none" w:sz="0" w:space="0" w:color="auto"/>
      </w:divBdr>
      <w:divsChild>
        <w:div w:id="2053577256">
          <w:marLeft w:val="0"/>
          <w:marRight w:val="0"/>
          <w:marTop w:val="0"/>
          <w:marBottom w:val="0"/>
          <w:divBdr>
            <w:top w:val="none" w:sz="0" w:space="0" w:color="auto"/>
            <w:left w:val="none" w:sz="0" w:space="0" w:color="auto"/>
            <w:bottom w:val="none" w:sz="0" w:space="0" w:color="auto"/>
            <w:right w:val="none" w:sz="0" w:space="0" w:color="auto"/>
          </w:divBdr>
          <w:divsChild>
            <w:div w:id="1016468091">
              <w:marLeft w:val="0"/>
              <w:marRight w:val="0"/>
              <w:marTop w:val="0"/>
              <w:marBottom w:val="0"/>
              <w:divBdr>
                <w:top w:val="none" w:sz="0" w:space="0" w:color="auto"/>
                <w:left w:val="none" w:sz="0" w:space="0" w:color="auto"/>
                <w:bottom w:val="none" w:sz="0" w:space="0" w:color="auto"/>
                <w:right w:val="none" w:sz="0" w:space="0" w:color="auto"/>
              </w:divBdr>
              <w:divsChild>
                <w:div w:id="19461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933754">
      <w:bodyDiv w:val="1"/>
      <w:marLeft w:val="0"/>
      <w:marRight w:val="0"/>
      <w:marTop w:val="0"/>
      <w:marBottom w:val="0"/>
      <w:divBdr>
        <w:top w:val="none" w:sz="0" w:space="0" w:color="auto"/>
        <w:left w:val="none" w:sz="0" w:space="0" w:color="auto"/>
        <w:bottom w:val="none" w:sz="0" w:space="0" w:color="auto"/>
        <w:right w:val="none" w:sz="0" w:space="0" w:color="auto"/>
      </w:divBdr>
    </w:div>
    <w:div w:id="332728723">
      <w:bodyDiv w:val="1"/>
      <w:marLeft w:val="0"/>
      <w:marRight w:val="0"/>
      <w:marTop w:val="0"/>
      <w:marBottom w:val="0"/>
      <w:divBdr>
        <w:top w:val="none" w:sz="0" w:space="0" w:color="auto"/>
        <w:left w:val="none" w:sz="0" w:space="0" w:color="auto"/>
        <w:bottom w:val="none" w:sz="0" w:space="0" w:color="auto"/>
        <w:right w:val="none" w:sz="0" w:space="0" w:color="auto"/>
      </w:divBdr>
      <w:divsChild>
        <w:div w:id="310017644">
          <w:marLeft w:val="0"/>
          <w:marRight w:val="0"/>
          <w:marTop w:val="0"/>
          <w:marBottom w:val="0"/>
          <w:divBdr>
            <w:top w:val="none" w:sz="0" w:space="0" w:color="auto"/>
            <w:left w:val="none" w:sz="0" w:space="0" w:color="auto"/>
            <w:bottom w:val="none" w:sz="0" w:space="0" w:color="auto"/>
            <w:right w:val="none" w:sz="0" w:space="0" w:color="auto"/>
          </w:divBdr>
          <w:divsChild>
            <w:div w:id="1760367514">
              <w:marLeft w:val="0"/>
              <w:marRight w:val="0"/>
              <w:marTop w:val="0"/>
              <w:marBottom w:val="0"/>
              <w:divBdr>
                <w:top w:val="none" w:sz="0" w:space="0" w:color="auto"/>
                <w:left w:val="none" w:sz="0" w:space="0" w:color="auto"/>
                <w:bottom w:val="none" w:sz="0" w:space="0" w:color="auto"/>
                <w:right w:val="none" w:sz="0" w:space="0" w:color="auto"/>
              </w:divBdr>
              <w:divsChild>
                <w:div w:id="19870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5035">
      <w:bodyDiv w:val="1"/>
      <w:marLeft w:val="0"/>
      <w:marRight w:val="0"/>
      <w:marTop w:val="0"/>
      <w:marBottom w:val="0"/>
      <w:divBdr>
        <w:top w:val="none" w:sz="0" w:space="0" w:color="auto"/>
        <w:left w:val="none" w:sz="0" w:space="0" w:color="auto"/>
        <w:bottom w:val="none" w:sz="0" w:space="0" w:color="auto"/>
        <w:right w:val="none" w:sz="0" w:space="0" w:color="auto"/>
      </w:divBdr>
      <w:divsChild>
        <w:div w:id="2112585370">
          <w:marLeft w:val="0"/>
          <w:marRight w:val="0"/>
          <w:marTop w:val="0"/>
          <w:marBottom w:val="0"/>
          <w:divBdr>
            <w:top w:val="none" w:sz="0" w:space="0" w:color="auto"/>
            <w:left w:val="none" w:sz="0" w:space="0" w:color="auto"/>
            <w:bottom w:val="none" w:sz="0" w:space="0" w:color="auto"/>
            <w:right w:val="none" w:sz="0" w:space="0" w:color="auto"/>
          </w:divBdr>
          <w:divsChild>
            <w:div w:id="435250303">
              <w:marLeft w:val="0"/>
              <w:marRight w:val="0"/>
              <w:marTop w:val="0"/>
              <w:marBottom w:val="0"/>
              <w:divBdr>
                <w:top w:val="none" w:sz="0" w:space="0" w:color="auto"/>
                <w:left w:val="none" w:sz="0" w:space="0" w:color="auto"/>
                <w:bottom w:val="none" w:sz="0" w:space="0" w:color="auto"/>
                <w:right w:val="none" w:sz="0" w:space="0" w:color="auto"/>
              </w:divBdr>
              <w:divsChild>
                <w:div w:id="493684427">
                  <w:marLeft w:val="0"/>
                  <w:marRight w:val="0"/>
                  <w:marTop w:val="0"/>
                  <w:marBottom w:val="0"/>
                  <w:divBdr>
                    <w:top w:val="none" w:sz="0" w:space="0" w:color="auto"/>
                    <w:left w:val="none" w:sz="0" w:space="0" w:color="auto"/>
                    <w:bottom w:val="none" w:sz="0" w:space="0" w:color="auto"/>
                    <w:right w:val="none" w:sz="0" w:space="0" w:color="auto"/>
                  </w:divBdr>
                  <w:divsChild>
                    <w:div w:id="11773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844506">
      <w:bodyDiv w:val="1"/>
      <w:marLeft w:val="0"/>
      <w:marRight w:val="0"/>
      <w:marTop w:val="0"/>
      <w:marBottom w:val="0"/>
      <w:divBdr>
        <w:top w:val="none" w:sz="0" w:space="0" w:color="auto"/>
        <w:left w:val="none" w:sz="0" w:space="0" w:color="auto"/>
        <w:bottom w:val="none" w:sz="0" w:space="0" w:color="auto"/>
        <w:right w:val="none" w:sz="0" w:space="0" w:color="auto"/>
      </w:divBdr>
    </w:div>
    <w:div w:id="358357710">
      <w:bodyDiv w:val="1"/>
      <w:marLeft w:val="0"/>
      <w:marRight w:val="0"/>
      <w:marTop w:val="0"/>
      <w:marBottom w:val="0"/>
      <w:divBdr>
        <w:top w:val="none" w:sz="0" w:space="0" w:color="auto"/>
        <w:left w:val="none" w:sz="0" w:space="0" w:color="auto"/>
        <w:bottom w:val="none" w:sz="0" w:space="0" w:color="auto"/>
        <w:right w:val="none" w:sz="0" w:space="0" w:color="auto"/>
      </w:divBdr>
      <w:divsChild>
        <w:div w:id="1270817798">
          <w:marLeft w:val="0"/>
          <w:marRight w:val="0"/>
          <w:marTop w:val="0"/>
          <w:marBottom w:val="0"/>
          <w:divBdr>
            <w:top w:val="none" w:sz="0" w:space="0" w:color="auto"/>
            <w:left w:val="none" w:sz="0" w:space="0" w:color="auto"/>
            <w:bottom w:val="none" w:sz="0" w:space="0" w:color="auto"/>
            <w:right w:val="none" w:sz="0" w:space="0" w:color="auto"/>
          </w:divBdr>
          <w:divsChild>
            <w:div w:id="1015498489">
              <w:marLeft w:val="0"/>
              <w:marRight w:val="0"/>
              <w:marTop w:val="0"/>
              <w:marBottom w:val="0"/>
              <w:divBdr>
                <w:top w:val="none" w:sz="0" w:space="0" w:color="auto"/>
                <w:left w:val="none" w:sz="0" w:space="0" w:color="auto"/>
                <w:bottom w:val="none" w:sz="0" w:space="0" w:color="auto"/>
                <w:right w:val="none" w:sz="0" w:space="0" w:color="auto"/>
              </w:divBdr>
              <w:divsChild>
                <w:div w:id="930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08427">
      <w:bodyDiv w:val="1"/>
      <w:marLeft w:val="0"/>
      <w:marRight w:val="0"/>
      <w:marTop w:val="0"/>
      <w:marBottom w:val="0"/>
      <w:divBdr>
        <w:top w:val="none" w:sz="0" w:space="0" w:color="auto"/>
        <w:left w:val="none" w:sz="0" w:space="0" w:color="auto"/>
        <w:bottom w:val="none" w:sz="0" w:space="0" w:color="auto"/>
        <w:right w:val="none" w:sz="0" w:space="0" w:color="auto"/>
      </w:divBdr>
      <w:divsChild>
        <w:div w:id="801338877">
          <w:marLeft w:val="0"/>
          <w:marRight w:val="0"/>
          <w:marTop w:val="0"/>
          <w:marBottom w:val="0"/>
          <w:divBdr>
            <w:top w:val="none" w:sz="0" w:space="0" w:color="auto"/>
            <w:left w:val="none" w:sz="0" w:space="0" w:color="auto"/>
            <w:bottom w:val="none" w:sz="0" w:space="0" w:color="auto"/>
            <w:right w:val="none" w:sz="0" w:space="0" w:color="auto"/>
          </w:divBdr>
          <w:divsChild>
            <w:div w:id="2126384734">
              <w:marLeft w:val="0"/>
              <w:marRight w:val="0"/>
              <w:marTop w:val="0"/>
              <w:marBottom w:val="0"/>
              <w:divBdr>
                <w:top w:val="none" w:sz="0" w:space="0" w:color="auto"/>
                <w:left w:val="none" w:sz="0" w:space="0" w:color="auto"/>
                <w:bottom w:val="none" w:sz="0" w:space="0" w:color="auto"/>
                <w:right w:val="none" w:sz="0" w:space="0" w:color="auto"/>
              </w:divBdr>
              <w:divsChild>
                <w:div w:id="888540985">
                  <w:marLeft w:val="0"/>
                  <w:marRight w:val="0"/>
                  <w:marTop w:val="0"/>
                  <w:marBottom w:val="0"/>
                  <w:divBdr>
                    <w:top w:val="none" w:sz="0" w:space="0" w:color="auto"/>
                    <w:left w:val="none" w:sz="0" w:space="0" w:color="auto"/>
                    <w:bottom w:val="none" w:sz="0" w:space="0" w:color="auto"/>
                    <w:right w:val="none" w:sz="0" w:space="0" w:color="auto"/>
                  </w:divBdr>
                  <w:divsChild>
                    <w:div w:id="1525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21034">
      <w:bodyDiv w:val="1"/>
      <w:marLeft w:val="0"/>
      <w:marRight w:val="0"/>
      <w:marTop w:val="0"/>
      <w:marBottom w:val="0"/>
      <w:divBdr>
        <w:top w:val="none" w:sz="0" w:space="0" w:color="auto"/>
        <w:left w:val="none" w:sz="0" w:space="0" w:color="auto"/>
        <w:bottom w:val="none" w:sz="0" w:space="0" w:color="auto"/>
        <w:right w:val="none" w:sz="0" w:space="0" w:color="auto"/>
      </w:divBdr>
      <w:divsChild>
        <w:div w:id="415203067">
          <w:marLeft w:val="0"/>
          <w:marRight w:val="0"/>
          <w:marTop w:val="0"/>
          <w:marBottom w:val="0"/>
          <w:divBdr>
            <w:top w:val="none" w:sz="0" w:space="0" w:color="auto"/>
            <w:left w:val="none" w:sz="0" w:space="0" w:color="auto"/>
            <w:bottom w:val="none" w:sz="0" w:space="0" w:color="auto"/>
            <w:right w:val="none" w:sz="0" w:space="0" w:color="auto"/>
          </w:divBdr>
          <w:divsChild>
            <w:div w:id="1670019675">
              <w:marLeft w:val="0"/>
              <w:marRight w:val="0"/>
              <w:marTop w:val="0"/>
              <w:marBottom w:val="0"/>
              <w:divBdr>
                <w:top w:val="none" w:sz="0" w:space="0" w:color="auto"/>
                <w:left w:val="none" w:sz="0" w:space="0" w:color="auto"/>
                <w:bottom w:val="none" w:sz="0" w:space="0" w:color="auto"/>
                <w:right w:val="none" w:sz="0" w:space="0" w:color="auto"/>
              </w:divBdr>
              <w:divsChild>
                <w:div w:id="18925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89091">
      <w:bodyDiv w:val="1"/>
      <w:marLeft w:val="0"/>
      <w:marRight w:val="0"/>
      <w:marTop w:val="0"/>
      <w:marBottom w:val="0"/>
      <w:divBdr>
        <w:top w:val="none" w:sz="0" w:space="0" w:color="auto"/>
        <w:left w:val="none" w:sz="0" w:space="0" w:color="auto"/>
        <w:bottom w:val="none" w:sz="0" w:space="0" w:color="auto"/>
        <w:right w:val="none" w:sz="0" w:space="0" w:color="auto"/>
      </w:divBdr>
    </w:div>
    <w:div w:id="446586647">
      <w:bodyDiv w:val="1"/>
      <w:marLeft w:val="0"/>
      <w:marRight w:val="0"/>
      <w:marTop w:val="0"/>
      <w:marBottom w:val="0"/>
      <w:divBdr>
        <w:top w:val="none" w:sz="0" w:space="0" w:color="auto"/>
        <w:left w:val="none" w:sz="0" w:space="0" w:color="auto"/>
        <w:bottom w:val="none" w:sz="0" w:space="0" w:color="auto"/>
        <w:right w:val="none" w:sz="0" w:space="0" w:color="auto"/>
      </w:divBdr>
      <w:divsChild>
        <w:div w:id="1578634691">
          <w:marLeft w:val="0"/>
          <w:marRight w:val="0"/>
          <w:marTop w:val="0"/>
          <w:marBottom w:val="0"/>
          <w:divBdr>
            <w:top w:val="none" w:sz="0" w:space="0" w:color="auto"/>
            <w:left w:val="none" w:sz="0" w:space="0" w:color="auto"/>
            <w:bottom w:val="none" w:sz="0" w:space="0" w:color="auto"/>
            <w:right w:val="none" w:sz="0" w:space="0" w:color="auto"/>
          </w:divBdr>
          <w:divsChild>
            <w:div w:id="1046682718">
              <w:marLeft w:val="0"/>
              <w:marRight w:val="0"/>
              <w:marTop w:val="0"/>
              <w:marBottom w:val="0"/>
              <w:divBdr>
                <w:top w:val="none" w:sz="0" w:space="0" w:color="auto"/>
                <w:left w:val="none" w:sz="0" w:space="0" w:color="auto"/>
                <w:bottom w:val="none" w:sz="0" w:space="0" w:color="auto"/>
                <w:right w:val="none" w:sz="0" w:space="0" w:color="auto"/>
              </w:divBdr>
              <w:divsChild>
                <w:div w:id="526527342">
                  <w:marLeft w:val="0"/>
                  <w:marRight w:val="0"/>
                  <w:marTop w:val="0"/>
                  <w:marBottom w:val="0"/>
                  <w:divBdr>
                    <w:top w:val="none" w:sz="0" w:space="0" w:color="auto"/>
                    <w:left w:val="none" w:sz="0" w:space="0" w:color="auto"/>
                    <w:bottom w:val="none" w:sz="0" w:space="0" w:color="auto"/>
                    <w:right w:val="none" w:sz="0" w:space="0" w:color="auto"/>
                  </w:divBdr>
                  <w:divsChild>
                    <w:div w:id="14335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226453">
          <w:marLeft w:val="0"/>
          <w:marRight w:val="0"/>
          <w:marTop w:val="0"/>
          <w:marBottom w:val="0"/>
          <w:divBdr>
            <w:top w:val="none" w:sz="0" w:space="0" w:color="auto"/>
            <w:left w:val="none" w:sz="0" w:space="0" w:color="auto"/>
            <w:bottom w:val="none" w:sz="0" w:space="0" w:color="auto"/>
            <w:right w:val="none" w:sz="0" w:space="0" w:color="auto"/>
          </w:divBdr>
          <w:divsChild>
            <w:div w:id="1242524270">
              <w:marLeft w:val="0"/>
              <w:marRight w:val="0"/>
              <w:marTop w:val="0"/>
              <w:marBottom w:val="0"/>
              <w:divBdr>
                <w:top w:val="none" w:sz="0" w:space="0" w:color="auto"/>
                <w:left w:val="none" w:sz="0" w:space="0" w:color="auto"/>
                <w:bottom w:val="none" w:sz="0" w:space="0" w:color="auto"/>
                <w:right w:val="none" w:sz="0" w:space="0" w:color="auto"/>
              </w:divBdr>
              <w:divsChild>
                <w:div w:id="1974865559">
                  <w:marLeft w:val="0"/>
                  <w:marRight w:val="0"/>
                  <w:marTop w:val="0"/>
                  <w:marBottom w:val="0"/>
                  <w:divBdr>
                    <w:top w:val="none" w:sz="0" w:space="0" w:color="auto"/>
                    <w:left w:val="none" w:sz="0" w:space="0" w:color="auto"/>
                    <w:bottom w:val="none" w:sz="0" w:space="0" w:color="auto"/>
                    <w:right w:val="none" w:sz="0" w:space="0" w:color="auto"/>
                  </w:divBdr>
                </w:div>
              </w:divsChild>
            </w:div>
            <w:div w:id="238367503">
              <w:marLeft w:val="0"/>
              <w:marRight w:val="0"/>
              <w:marTop w:val="0"/>
              <w:marBottom w:val="0"/>
              <w:divBdr>
                <w:top w:val="none" w:sz="0" w:space="0" w:color="auto"/>
                <w:left w:val="none" w:sz="0" w:space="0" w:color="auto"/>
                <w:bottom w:val="none" w:sz="0" w:space="0" w:color="auto"/>
                <w:right w:val="none" w:sz="0" w:space="0" w:color="auto"/>
              </w:divBdr>
              <w:divsChild>
                <w:div w:id="9479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11857">
      <w:bodyDiv w:val="1"/>
      <w:marLeft w:val="0"/>
      <w:marRight w:val="0"/>
      <w:marTop w:val="0"/>
      <w:marBottom w:val="0"/>
      <w:divBdr>
        <w:top w:val="none" w:sz="0" w:space="0" w:color="auto"/>
        <w:left w:val="none" w:sz="0" w:space="0" w:color="auto"/>
        <w:bottom w:val="none" w:sz="0" w:space="0" w:color="auto"/>
        <w:right w:val="none" w:sz="0" w:space="0" w:color="auto"/>
      </w:divBdr>
    </w:div>
    <w:div w:id="471291991">
      <w:bodyDiv w:val="1"/>
      <w:marLeft w:val="0"/>
      <w:marRight w:val="0"/>
      <w:marTop w:val="0"/>
      <w:marBottom w:val="0"/>
      <w:divBdr>
        <w:top w:val="none" w:sz="0" w:space="0" w:color="auto"/>
        <w:left w:val="none" w:sz="0" w:space="0" w:color="auto"/>
        <w:bottom w:val="none" w:sz="0" w:space="0" w:color="auto"/>
        <w:right w:val="none" w:sz="0" w:space="0" w:color="auto"/>
      </w:divBdr>
      <w:divsChild>
        <w:div w:id="1260407440">
          <w:marLeft w:val="0"/>
          <w:marRight w:val="0"/>
          <w:marTop w:val="0"/>
          <w:marBottom w:val="0"/>
          <w:divBdr>
            <w:top w:val="none" w:sz="0" w:space="0" w:color="auto"/>
            <w:left w:val="none" w:sz="0" w:space="0" w:color="auto"/>
            <w:bottom w:val="none" w:sz="0" w:space="0" w:color="auto"/>
            <w:right w:val="none" w:sz="0" w:space="0" w:color="auto"/>
          </w:divBdr>
          <w:divsChild>
            <w:div w:id="959649388">
              <w:marLeft w:val="0"/>
              <w:marRight w:val="0"/>
              <w:marTop w:val="0"/>
              <w:marBottom w:val="0"/>
              <w:divBdr>
                <w:top w:val="none" w:sz="0" w:space="0" w:color="auto"/>
                <w:left w:val="none" w:sz="0" w:space="0" w:color="auto"/>
                <w:bottom w:val="none" w:sz="0" w:space="0" w:color="auto"/>
                <w:right w:val="none" w:sz="0" w:space="0" w:color="auto"/>
              </w:divBdr>
              <w:divsChild>
                <w:div w:id="11046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81478">
      <w:bodyDiv w:val="1"/>
      <w:marLeft w:val="0"/>
      <w:marRight w:val="0"/>
      <w:marTop w:val="0"/>
      <w:marBottom w:val="0"/>
      <w:divBdr>
        <w:top w:val="none" w:sz="0" w:space="0" w:color="auto"/>
        <w:left w:val="none" w:sz="0" w:space="0" w:color="auto"/>
        <w:bottom w:val="none" w:sz="0" w:space="0" w:color="auto"/>
        <w:right w:val="none" w:sz="0" w:space="0" w:color="auto"/>
      </w:divBdr>
      <w:divsChild>
        <w:div w:id="1857888649">
          <w:marLeft w:val="0"/>
          <w:marRight w:val="0"/>
          <w:marTop w:val="0"/>
          <w:marBottom w:val="0"/>
          <w:divBdr>
            <w:top w:val="none" w:sz="0" w:space="0" w:color="auto"/>
            <w:left w:val="none" w:sz="0" w:space="0" w:color="auto"/>
            <w:bottom w:val="none" w:sz="0" w:space="0" w:color="auto"/>
            <w:right w:val="none" w:sz="0" w:space="0" w:color="auto"/>
          </w:divBdr>
          <w:divsChild>
            <w:div w:id="258610447">
              <w:marLeft w:val="0"/>
              <w:marRight w:val="0"/>
              <w:marTop w:val="0"/>
              <w:marBottom w:val="0"/>
              <w:divBdr>
                <w:top w:val="none" w:sz="0" w:space="0" w:color="auto"/>
                <w:left w:val="none" w:sz="0" w:space="0" w:color="auto"/>
                <w:bottom w:val="none" w:sz="0" w:space="0" w:color="auto"/>
                <w:right w:val="none" w:sz="0" w:space="0" w:color="auto"/>
              </w:divBdr>
              <w:divsChild>
                <w:div w:id="1403017286">
                  <w:marLeft w:val="0"/>
                  <w:marRight w:val="0"/>
                  <w:marTop w:val="0"/>
                  <w:marBottom w:val="0"/>
                  <w:divBdr>
                    <w:top w:val="none" w:sz="0" w:space="0" w:color="auto"/>
                    <w:left w:val="none" w:sz="0" w:space="0" w:color="auto"/>
                    <w:bottom w:val="none" w:sz="0" w:space="0" w:color="auto"/>
                    <w:right w:val="none" w:sz="0" w:space="0" w:color="auto"/>
                  </w:divBdr>
                  <w:divsChild>
                    <w:div w:id="18457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8809">
      <w:bodyDiv w:val="1"/>
      <w:marLeft w:val="0"/>
      <w:marRight w:val="0"/>
      <w:marTop w:val="0"/>
      <w:marBottom w:val="0"/>
      <w:divBdr>
        <w:top w:val="none" w:sz="0" w:space="0" w:color="auto"/>
        <w:left w:val="none" w:sz="0" w:space="0" w:color="auto"/>
        <w:bottom w:val="none" w:sz="0" w:space="0" w:color="auto"/>
        <w:right w:val="none" w:sz="0" w:space="0" w:color="auto"/>
      </w:divBdr>
      <w:divsChild>
        <w:div w:id="977496509">
          <w:marLeft w:val="0"/>
          <w:marRight w:val="0"/>
          <w:marTop w:val="0"/>
          <w:marBottom w:val="0"/>
          <w:divBdr>
            <w:top w:val="none" w:sz="0" w:space="0" w:color="auto"/>
            <w:left w:val="none" w:sz="0" w:space="0" w:color="auto"/>
            <w:bottom w:val="none" w:sz="0" w:space="0" w:color="auto"/>
            <w:right w:val="none" w:sz="0" w:space="0" w:color="auto"/>
          </w:divBdr>
          <w:divsChild>
            <w:div w:id="1072461393">
              <w:marLeft w:val="0"/>
              <w:marRight w:val="0"/>
              <w:marTop w:val="0"/>
              <w:marBottom w:val="0"/>
              <w:divBdr>
                <w:top w:val="none" w:sz="0" w:space="0" w:color="auto"/>
                <w:left w:val="none" w:sz="0" w:space="0" w:color="auto"/>
                <w:bottom w:val="none" w:sz="0" w:space="0" w:color="auto"/>
                <w:right w:val="none" w:sz="0" w:space="0" w:color="auto"/>
              </w:divBdr>
              <w:divsChild>
                <w:div w:id="16929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182389">
      <w:bodyDiv w:val="1"/>
      <w:marLeft w:val="0"/>
      <w:marRight w:val="0"/>
      <w:marTop w:val="0"/>
      <w:marBottom w:val="0"/>
      <w:divBdr>
        <w:top w:val="none" w:sz="0" w:space="0" w:color="auto"/>
        <w:left w:val="none" w:sz="0" w:space="0" w:color="auto"/>
        <w:bottom w:val="none" w:sz="0" w:space="0" w:color="auto"/>
        <w:right w:val="none" w:sz="0" w:space="0" w:color="auto"/>
      </w:divBdr>
    </w:div>
    <w:div w:id="547305958">
      <w:bodyDiv w:val="1"/>
      <w:marLeft w:val="0"/>
      <w:marRight w:val="0"/>
      <w:marTop w:val="0"/>
      <w:marBottom w:val="0"/>
      <w:divBdr>
        <w:top w:val="none" w:sz="0" w:space="0" w:color="auto"/>
        <w:left w:val="none" w:sz="0" w:space="0" w:color="auto"/>
        <w:bottom w:val="none" w:sz="0" w:space="0" w:color="auto"/>
        <w:right w:val="none" w:sz="0" w:space="0" w:color="auto"/>
      </w:divBdr>
    </w:div>
    <w:div w:id="548803722">
      <w:bodyDiv w:val="1"/>
      <w:marLeft w:val="0"/>
      <w:marRight w:val="0"/>
      <w:marTop w:val="0"/>
      <w:marBottom w:val="0"/>
      <w:divBdr>
        <w:top w:val="none" w:sz="0" w:space="0" w:color="auto"/>
        <w:left w:val="none" w:sz="0" w:space="0" w:color="auto"/>
        <w:bottom w:val="none" w:sz="0" w:space="0" w:color="auto"/>
        <w:right w:val="none" w:sz="0" w:space="0" w:color="auto"/>
      </w:divBdr>
    </w:div>
    <w:div w:id="568734661">
      <w:bodyDiv w:val="1"/>
      <w:marLeft w:val="0"/>
      <w:marRight w:val="0"/>
      <w:marTop w:val="0"/>
      <w:marBottom w:val="0"/>
      <w:divBdr>
        <w:top w:val="none" w:sz="0" w:space="0" w:color="auto"/>
        <w:left w:val="none" w:sz="0" w:space="0" w:color="auto"/>
        <w:bottom w:val="none" w:sz="0" w:space="0" w:color="auto"/>
        <w:right w:val="none" w:sz="0" w:space="0" w:color="auto"/>
      </w:divBdr>
      <w:divsChild>
        <w:div w:id="361908640">
          <w:marLeft w:val="0"/>
          <w:marRight w:val="0"/>
          <w:marTop w:val="0"/>
          <w:marBottom w:val="0"/>
          <w:divBdr>
            <w:top w:val="none" w:sz="0" w:space="0" w:color="auto"/>
            <w:left w:val="none" w:sz="0" w:space="0" w:color="auto"/>
            <w:bottom w:val="none" w:sz="0" w:space="0" w:color="auto"/>
            <w:right w:val="none" w:sz="0" w:space="0" w:color="auto"/>
          </w:divBdr>
          <w:divsChild>
            <w:div w:id="577403923">
              <w:marLeft w:val="0"/>
              <w:marRight w:val="0"/>
              <w:marTop w:val="0"/>
              <w:marBottom w:val="0"/>
              <w:divBdr>
                <w:top w:val="none" w:sz="0" w:space="0" w:color="auto"/>
                <w:left w:val="none" w:sz="0" w:space="0" w:color="auto"/>
                <w:bottom w:val="none" w:sz="0" w:space="0" w:color="auto"/>
                <w:right w:val="none" w:sz="0" w:space="0" w:color="auto"/>
              </w:divBdr>
              <w:divsChild>
                <w:div w:id="12828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09044">
      <w:bodyDiv w:val="1"/>
      <w:marLeft w:val="0"/>
      <w:marRight w:val="0"/>
      <w:marTop w:val="0"/>
      <w:marBottom w:val="0"/>
      <w:divBdr>
        <w:top w:val="none" w:sz="0" w:space="0" w:color="auto"/>
        <w:left w:val="none" w:sz="0" w:space="0" w:color="auto"/>
        <w:bottom w:val="none" w:sz="0" w:space="0" w:color="auto"/>
        <w:right w:val="none" w:sz="0" w:space="0" w:color="auto"/>
      </w:divBdr>
      <w:divsChild>
        <w:div w:id="1089354430">
          <w:marLeft w:val="0"/>
          <w:marRight w:val="0"/>
          <w:marTop w:val="0"/>
          <w:marBottom w:val="0"/>
          <w:divBdr>
            <w:top w:val="none" w:sz="0" w:space="0" w:color="auto"/>
            <w:left w:val="none" w:sz="0" w:space="0" w:color="auto"/>
            <w:bottom w:val="none" w:sz="0" w:space="0" w:color="auto"/>
            <w:right w:val="none" w:sz="0" w:space="0" w:color="auto"/>
          </w:divBdr>
          <w:divsChild>
            <w:div w:id="1823888635">
              <w:marLeft w:val="0"/>
              <w:marRight w:val="0"/>
              <w:marTop w:val="0"/>
              <w:marBottom w:val="0"/>
              <w:divBdr>
                <w:top w:val="none" w:sz="0" w:space="0" w:color="auto"/>
                <w:left w:val="none" w:sz="0" w:space="0" w:color="auto"/>
                <w:bottom w:val="none" w:sz="0" w:space="0" w:color="auto"/>
                <w:right w:val="none" w:sz="0" w:space="0" w:color="auto"/>
              </w:divBdr>
              <w:divsChild>
                <w:div w:id="21130841">
                  <w:marLeft w:val="0"/>
                  <w:marRight w:val="0"/>
                  <w:marTop w:val="0"/>
                  <w:marBottom w:val="0"/>
                  <w:divBdr>
                    <w:top w:val="none" w:sz="0" w:space="0" w:color="auto"/>
                    <w:left w:val="none" w:sz="0" w:space="0" w:color="auto"/>
                    <w:bottom w:val="none" w:sz="0" w:space="0" w:color="auto"/>
                    <w:right w:val="none" w:sz="0" w:space="0" w:color="auto"/>
                  </w:divBdr>
                </w:div>
              </w:divsChild>
            </w:div>
            <w:div w:id="1377697897">
              <w:marLeft w:val="0"/>
              <w:marRight w:val="0"/>
              <w:marTop w:val="0"/>
              <w:marBottom w:val="0"/>
              <w:divBdr>
                <w:top w:val="none" w:sz="0" w:space="0" w:color="auto"/>
                <w:left w:val="none" w:sz="0" w:space="0" w:color="auto"/>
                <w:bottom w:val="none" w:sz="0" w:space="0" w:color="auto"/>
                <w:right w:val="none" w:sz="0" w:space="0" w:color="auto"/>
              </w:divBdr>
              <w:divsChild>
                <w:div w:id="13414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67302">
      <w:bodyDiv w:val="1"/>
      <w:marLeft w:val="0"/>
      <w:marRight w:val="0"/>
      <w:marTop w:val="0"/>
      <w:marBottom w:val="0"/>
      <w:divBdr>
        <w:top w:val="none" w:sz="0" w:space="0" w:color="auto"/>
        <w:left w:val="none" w:sz="0" w:space="0" w:color="auto"/>
        <w:bottom w:val="none" w:sz="0" w:space="0" w:color="auto"/>
        <w:right w:val="none" w:sz="0" w:space="0" w:color="auto"/>
      </w:divBdr>
      <w:divsChild>
        <w:div w:id="1323242041">
          <w:marLeft w:val="0"/>
          <w:marRight w:val="0"/>
          <w:marTop w:val="0"/>
          <w:marBottom w:val="0"/>
          <w:divBdr>
            <w:top w:val="none" w:sz="0" w:space="0" w:color="auto"/>
            <w:left w:val="none" w:sz="0" w:space="0" w:color="auto"/>
            <w:bottom w:val="none" w:sz="0" w:space="0" w:color="auto"/>
            <w:right w:val="none" w:sz="0" w:space="0" w:color="auto"/>
          </w:divBdr>
          <w:divsChild>
            <w:div w:id="2139909129">
              <w:marLeft w:val="0"/>
              <w:marRight w:val="0"/>
              <w:marTop w:val="0"/>
              <w:marBottom w:val="0"/>
              <w:divBdr>
                <w:top w:val="none" w:sz="0" w:space="0" w:color="auto"/>
                <w:left w:val="none" w:sz="0" w:space="0" w:color="auto"/>
                <w:bottom w:val="none" w:sz="0" w:space="0" w:color="auto"/>
                <w:right w:val="none" w:sz="0" w:space="0" w:color="auto"/>
              </w:divBdr>
              <w:divsChild>
                <w:div w:id="895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94231">
      <w:bodyDiv w:val="1"/>
      <w:marLeft w:val="0"/>
      <w:marRight w:val="0"/>
      <w:marTop w:val="0"/>
      <w:marBottom w:val="0"/>
      <w:divBdr>
        <w:top w:val="none" w:sz="0" w:space="0" w:color="auto"/>
        <w:left w:val="none" w:sz="0" w:space="0" w:color="auto"/>
        <w:bottom w:val="none" w:sz="0" w:space="0" w:color="auto"/>
        <w:right w:val="none" w:sz="0" w:space="0" w:color="auto"/>
      </w:divBdr>
      <w:divsChild>
        <w:div w:id="1298532537">
          <w:marLeft w:val="0"/>
          <w:marRight w:val="0"/>
          <w:marTop w:val="0"/>
          <w:marBottom w:val="0"/>
          <w:divBdr>
            <w:top w:val="none" w:sz="0" w:space="0" w:color="auto"/>
            <w:left w:val="none" w:sz="0" w:space="0" w:color="auto"/>
            <w:bottom w:val="none" w:sz="0" w:space="0" w:color="auto"/>
            <w:right w:val="none" w:sz="0" w:space="0" w:color="auto"/>
          </w:divBdr>
          <w:divsChild>
            <w:div w:id="1846896132">
              <w:marLeft w:val="0"/>
              <w:marRight w:val="0"/>
              <w:marTop w:val="0"/>
              <w:marBottom w:val="0"/>
              <w:divBdr>
                <w:top w:val="none" w:sz="0" w:space="0" w:color="auto"/>
                <w:left w:val="none" w:sz="0" w:space="0" w:color="auto"/>
                <w:bottom w:val="none" w:sz="0" w:space="0" w:color="auto"/>
                <w:right w:val="none" w:sz="0" w:space="0" w:color="auto"/>
              </w:divBdr>
              <w:divsChild>
                <w:div w:id="18970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93562">
      <w:bodyDiv w:val="1"/>
      <w:marLeft w:val="0"/>
      <w:marRight w:val="0"/>
      <w:marTop w:val="0"/>
      <w:marBottom w:val="0"/>
      <w:divBdr>
        <w:top w:val="none" w:sz="0" w:space="0" w:color="auto"/>
        <w:left w:val="none" w:sz="0" w:space="0" w:color="auto"/>
        <w:bottom w:val="none" w:sz="0" w:space="0" w:color="auto"/>
        <w:right w:val="none" w:sz="0" w:space="0" w:color="auto"/>
      </w:divBdr>
    </w:div>
    <w:div w:id="593633692">
      <w:bodyDiv w:val="1"/>
      <w:marLeft w:val="0"/>
      <w:marRight w:val="0"/>
      <w:marTop w:val="0"/>
      <w:marBottom w:val="0"/>
      <w:divBdr>
        <w:top w:val="none" w:sz="0" w:space="0" w:color="auto"/>
        <w:left w:val="none" w:sz="0" w:space="0" w:color="auto"/>
        <w:bottom w:val="none" w:sz="0" w:space="0" w:color="auto"/>
        <w:right w:val="none" w:sz="0" w:space="0" w:color="auto"/>
      </w:divBdr>
    </w:div>
    <w:div w:id="599719979">
      <w:bodyDiv w:val="1"/>
      <w:marLeft w:val="0"/>
      <w:marRight w:val="0"/>
      <w:marTop w:val="0"/>
      <w:marBottom w:val="0"/>
      <w:divBdr>
        <w:top w:val="none" w:sz="0" w:space="0" w:color="auto"/>
        <w:left w:val="none" w:sz="0" w:space="0" w:color="auto"/>
        <w:bottom w:val="none" w:sz="0" w:space="0" w:color="auto"/>
        <w:right w:val="none" w:sz="0" w:space="0" w:color="auto"/>
      </w:divBdr>
    </w:div>
    <w:div w:id="600651719">
      <w:bodyDiv w:val="1"/>
      <w:marLeft w:val="0"/>
      <w:marRight w:val="0"/>
      <w:marTop w:val="0"/>
      <w:marBottom w:val="0"/>
      <w:divBdr>
        <w:top w:val="none" w:sz="0" w:space="0" w:color="auto"/>
        <w:left w:val="none" w:sz="0" w:space="0" w:color="auto"/>
        <w:bottom w:val="none" w:sz="0" w:space="0" w:color="auto"/>
        <w:right w:val="none" w:sz="0" w:space="0" w:color="auto"/>
      </w:divBdr>
    </w:div>
    <w:div w:id="614486392">
      <w:bodyDiv w:val="1"/>
      <w:marLeft w:val="0"/>
      <w:marRight w:val="0"/>
      <w:marTop w:val="0"/>
      <w:marBottom w:val="0"/>
      <w:divBdr>
        <w:top w:val="none" w:sz="0" w:space="0" w:color="auto"/>
        <w:left w:val="none" w:sz="0" w:space="0" w:color="auto"/>
        <w:bottom w:val="none" w:sz="0" w:space="0" w:color="auto"/>
        <w:right w:val="none" w:sz="0" w:space="0" w:color="auto"/>
      </w:divBdr>
    </w:div>
    <w:div w:id="621306225">
      <w:bodyDiv w:val="1"/>
      <w:marLeft w:val="0"/>
      <w:marRight w:val="0"/>
      <w:marTop w:val="0"/>
      <w:marBottom w:val="0"/>
      <w:divBdr>
        <w:top w:val="none" w:sz="0" w:space="0" w:color="auto"/>
        <w:left w:val="none" w:sz="0" w:space="0" w:color="auto"/>
        <w:bottom w:val="none" w:sz="0" w:space="0" w:color="auto"/>
        <w:right w:val="none" w:sz="0" w:space="0" w:color="auto"/>
      </w:divBdr>
      <w:divsChild>
        <w:div w:id="628434160">
          <w:marLeft w:val="0"/>
          <w:marRight w:val="0"/>
          <w:marTop w:val="0"/>
          <w:marBottom w:val="0"/>
          <w:divBdr>
            <w:top w:val="none" w:sz="0" w:space="0" w:color="auto"/>
            <w:left w:val="none" w:sz="0" w:space="0" w:color="auto"/>
            <w:bottom w:val="none" w:sz="0" w:space="0" w:color="auto"/>
            <w:right w:val="none" w:sz="0" w:space="0" w:color="auto"/>
          </w:divBdr>
          <w:divsChild>
            <w:div w:id="332070943">
              <w:marLeft w:val="0"/>
              <w:marRight w:val="0"/>
              <w:marTop w:val="0"/>
              <w:marBottom w:val="0"/>
              <w:divBdr>
                <w:top w:val="none" w:sz="0" w:space="0" w:color="auto"/>
                <w:left w:val="none" w:sz="0" w:space="0" w:color="auto"/>
                <w:bottom w:val="none" w:sz="0" w:space="0" w:color="auto"/>
                <w:right w:val="none" w:sz="0" w:space="0" w:color="auto"/>
              </w:divBdr>
              <w:divsChild>
                <w:div w:id="122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2027">
      <w:bodyDiv w:val="1"/>
      <w:marLeft w:val="0"/>
      <w:marRight w:val="0"/>
      <w:marTop w:val="0"/>
      <w:marBottom w:val="0"/>
      <w:divBdr>
        <w:top w:val="none" w:sz="0" w:space="0" w:color="auto"/>
        <w:left w:val="none" w:sz="0" w:space="0" w:color="auto"/>
        <w:bottom w:val="none" w:sz="0" w:space="0" w:color="auto"/>
        <w:right w:val="none" w:sz="0" w:space="0" w:color="auto"/>
      </w:divBdr>
      <w:divsChild>
        <w:div w:id="1487084297">
          <w:marLeft w:val="0"/>
          <w:marRight w:val="0"/>
          <w:marTop w:val="0"/>
          <w:marBottom w:val="0"/>
          <w:divBdr>
            <w:top w:val="none" w:sz="0" w:space="0" w:color="auto"/>
            <w:left w:val="none" w:sz="0" w:space="0" w:color="auto"/>
            <w:bottom w:val="none" w:sz="0" w:space="0" w:color="auto"/>
            <w:right w:val="none" w:sz="0" w:space="0" w:color="auto"/>
          </w:divBdr>
          <w:divsChild>
            <w:div w:id="283273432">
              <w:marLeft w:val="0"/>
              <w:marRight w:val="0"/>
              <w:marTop w:val="0"/>
              <w:marBottom w:val="0"/>
              <w:divBdr>
                <w:top w:val="none" w:sz="0" w:space="0" w:color="auto"/>
                <w:left w:val="none" w:sz="0" w:space="0" w:color="auto"/>
                <w:bottom w:val="none" w:sz="0" w:space="0" w:color="auto"/>
                <w:right w:val="none" w:sz="0" w:space="0" w:color="auto"/>
              </w:divBdr>
              <w:divsChild>
                <w:div w:id="20625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176782">
      <w:bodyDiv w:val="1"/>
      <w:marLeft w:val="0"/>
      <w:marRight w:val="0"/>
      <w:marTop w:val="0"/>
      <w:marBottom w:val="0"/>
      <w:divBdr>
        <w:top w:val="none" w:sz="0" w:space="0" w:color="auto"/>
        <w:left w:val="none" w:sz="0" w:space="0" w:color="auto"/>
        <w:bottom w:val="none" w:sz="0" w:space="0" w:color="auto"/>
        <w:right w:val="none" w:sz="0" w:space="0" w:color="auto"/>
      </w:divBdr>
      <w:divsChild>
        <w:div w:id="922297851">
          <w:marLeft w:val="0"/>
          <w:marRight w:val="0"/>
          <w:marTop w:val="0"/>
          <w:marBottom w:val="0"/>
          <w:divBdr>
            <w:top w:val="none" w:sz="0" w:space="0" w:color="auto"/>
            <w:left w:val="none" w:sz="0" w:space="0" w:color="auto"/>
            <w:bottom w:val="none" w:sz="0" w:space="0" w:color="auto"/>
            <w:right w:val="none" w:sz="0" w:space="0" w:color="auto"/>
          </w:divBdr>
          <w:divsChild>
            <w:div w:id="1982467094">
              <w:marLeft w:val="0"/>
              <w:marRight w:val="0"/>
              <w:marTop w:val="0"/>
              <w:marBottom w:val="0"/>
              <w:divBdr>
                <w:top w:val="none" w:sz="0" w:space="0" w:color="auto"/>
                <w:left w:val="none" w:sz="0" w:space="0" w:color="auto"/>
                <w:bottom w:val="none" w:sz="0" w:space="0" w:color="auto"/>
                <w:right w:val="none" w:sz="0" w:space="0" w:color="auto"/>
              </w:divBdr>
              <w:divsChild>
                <w:div w:id="4100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2040">
      <w:bodyDiv w:val="1"/>
      <w:marLeft w:val="0"/>
      <w:marRight w:val="0"/>
      <w:marTop w:val="0"/>
      <w:marBottom w:val="0"/>
      <w:divBdr>
        <w:top w:val="none" w:sz="0" w:space="0" w:color="auto"/>
        <w:left w:val="none" w:sz="0" w:space="0" w:color="auto"/>
        <w:bottom w:val="none" w:sz="0" w:space="0" w:color="auto"/>
        <w:right w:val="none" w:sz="0" w:space="0" w:color="auto"/>
      </w:divBdr>
      <w:divsChild>
        <w:div w:id="1209954643">
          <w:marLeft w:val="0"/>
          <w:marRight w:val="0"/>
          <w:marTop w:val="0"/>
          <w:marBottom w:val="0"/>
          <w:divBdr>
            <w:top w:val="none" w:sz="0" w:space="0" w:color="auto"/>
            <w:left w:val="none" w:sz="0" w:space="0" w:color="auto"/>
            <w:bottom w:val="none" w:sz="0" w:space="0" w:color="auto"/>
            <w:right w:val="none" w:sz="0" w:space="0" w:color="auto"/>
          </w:divBdr>
          <w:divsChild>
            <w:div w:id="605581825">
              <w:marLeft w:val="0"/>
              <w:marRight w:val="0"/>
              <w:marTop w:val="0"/>
              <w:marBottom w:val="0"/>
              <w:divBdr>
                <w:top w:val="none" w:sz="0" w:space="0" w:color="auto"/>
                <w:left w:val="none" w:sz="0" w:space="0" w:color="auto"/>
                <w:bottom w:val="none" w:sz="0" w:space="0" w:color="auto"/>
                <w:right w:val="none" w:sz="0" w:space="0" w:color="auto"/>
              </w:divBdr>
              <w:divsChild>
                <w:div w:id="14571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1010">
      <w:bodyDiv w:val="1"/>
      <w:marLeft w:val="0"/>
      <w:marRight w:val="0"/>
      <w:marTop w:val="0"/>
      <w:marBottom w:val="0"/>
      <w:divBdr>
        <w:top w:val="none" w:sz="0" w:space="0" w:color="auto"/>
        <w:left w:val="none" w:sz="0" w:space="0" w:color="auto"/>
        <w:bottom w:val="none" w:sz="0" w:space="0" w:color="auto"/>
        <w:right w:val="none" w:sz="0" w:space="0" w:color="auto"/>
      </w:divBdr>
      <w:divsChild>
        <w:div w:id="1757167334">
          <w:marLeft w:val="0"/>
          <w:marRight w:val="0"/>
          <w:marTop w:val="0"/>
          <w:marBottom w:val="0"/>
          <w:divBdr>
            <w:top w:val="none" w:sz="0" w:space="0" w:color="auto"/>
            <w:left w:val="none" w:sz="0" w:space="0" w:color="auto"/>
            <w:bottom w:val="none" w:sz="0" w:space="0" w:color="auto"/>
            <w:right w:val="none" w:sz="0" w:space="0" w:color="auto"/>
          </w:divBdr>
          <w:divsChild>
            <w:div w:id="1255868924">
              <w:marLeft w:val="0"/>
              <w:marRight w:val="0"/>
              <w:marTop w:val="0"/>
              <w:marBottom w:val="0"/>
              <w:divBdr>
                <w:top w:val="none" w:sz="0" w:space="0" w:color="auto"/>
                <w:left w:val="none" w:sz="0" w:space="0" w:color="auto"/>
                <w:bottom w:val="none" w:sz="0" w:space="0" w:color="auto"/>
                <w:right w:val="none" w:sz="0" w:space="0" w:color="auto"/>
              </w:divBdr>
              <w:divsChild>
                <w:div w:id="699209228">
                  <w:marLeft w:val="0"/>
                  <w:marRight w:val="0"/>
                  <w:marTop w:val="0"/>
                  <w:marBottom w:val="0"/>
                  <w:divBdr>
                    <w:top w:val="none" w:sz="0" w:space="0" w:color="auto"/>
                    <w:left w:val="none" w:sz="0" w:space="0" w:color="auto"/>
                    <w:bottom w:val="none" w:sz="0" w:space="0" w:color="auto"/>
                    <w:right w:val="none" w:sz="0" w:space="0" w:color="auto"/>
                  </w:divBdr>
                </w:div>
              </w:divsChild>
            </w:div>
            <w:div w:id="765544106">
              <w:marLeft w:val="0"/>
              <w:marRight w:val="0"/>
              <w:marTop w:val="0"/>
              <w:marBottom w:val="0"/>
              <w:divBdr>
                <w:top w:val="none" w:sz="0" w:space="0" w:color="auto"/>
                <w:left w:val="none" w:sz="0" w:space="0" w:color="auto"/>
                <w:bottom w:val="none" w:sz="0" w:space="0" w:color="auto"/>
                <w:right w:val="none" w:sz="0" w:space="0" w:color="auto"/>
              </w:divBdr>
              <w:divsChild>
                <w:div w:id="460194193">
                  <w:marLeft w:val="0"/>
                  <w:marRight w:val="0"/>
                  <w:marTop w:val="0"/>
                  <w:marBottom w:val="0"/>
                  <w:divBdr>
                    <w:top w:val="none" w:sz="0" w:space="0" w:color="auto"/>
                    <w:left w:val="none" w:sz="0" w:space="0" w:color="auto"/>
                    <w:bottom w:val="none" w:sz="0" w:space="0" w:color="auto"/>
                    <w:right w:val="none" w:sz="0" w:space="0" w:color="auto"/>
                  </w:divBdr>
                  <w:divsChild>
                    <w:div w:id="441269870">
                      <w:marLeft w:val="0"/>
                      <w:marRight w:val="0"/>
                      <w:marTop w:val="0"/>
                      <w:marBottom w:val="0"/>
                      <w:divBdr>
                        <w:top w:val="none" w:sz="0" w:space="0" w:color="auto"/>
                        <w:left w:val="none" w:sz="0" w:space="0" w:color="auto"/>
                        <w:bottom w:val="none" w:sz="0" w:space="0" w:color="auto"/>
                        <w:right w:val="none" w:sz="0" w:space="0" w:color="auto"/>
                      </w:divBdr>
                    </w:div>
                  </w:divsChild>
                </w:div>
                <w:div w:id="2065642915">
                  <w:marLeft w:val="0"/>
                  <w:marRight w:val="0"/>
                  <w:marTop w:val="0"/>
                  <w:marBottom w:val="0"/>
                  <w:divBdr>
                    <w:top w:val="none" w:sz="0" w:space="0" w:color="auto"/>
                    <w:left w:val="none" w:sz="0" w:space="0" w:color="auto"/>
                    <w:bottom w:val="none" w:sz="0" w:space="0" w:color="auto"/>
                    <w:right w:val="none" w:sz="0" w:space="0" w:color="auto"/>
                  </w:divBdr>
                  <w:divsChild>
                    <w:div w:id="465708732">
                      <w:marLeft w:val="0"/>
                      <w:marRight w:val="0"/>
                      <w:marTop w:val="0"/>
                      <w:marBottom w:val="0"/>
                      <w:divBdr>
                        <w:top w:val="none" w:sz="0" w:space="0" w:color="auto"/>
                        <w:left w:val="none" w:sz="0" w:space="0" w:color="auto"/>
                        <w:bottom w:val="none" w:sz="0" w:space="0" w:color="auto"/>
                        <w:right w:val="none" w:sz="0" w:space="0" w:color="auto"/>
                      </w:divBdr>
                    </w:div>
                  </w:divsChild>
                </w:div>
                <w:div w:id="231352382">
                  <w:marLeft w:val="0"/>
                  <w:marRight w:val="0"/>
                  <w:marTop w:val="0"/>
                  <w:marBottom w:val="0"/>
                  <w:divBdr>
                    <w:top w:val="none" w:sz="0" w:space="0" w:color="auto"/>
                    <w:left w:val="none" w:sz="0" w:space="0" w:color="auto"/>
                    <w:bottom w:val="none" w:sz="0" w:space="0" w:color="auto"/>
                    <w:right w:val="none" w:sz="0" w:space="0" w:color="auto"/>
                  </w:divBdr>
                  <w:divsChild>
                    <w:div w:id="967861756">
                      <w:marLeft w:val="0"/>
                      <w:marRight w:val="0"/>
                      <w:marTop w:val="0"/>
                      <w:marBottom w:val="0"/>
                      <w:divBdr>
                        <w:top w:val="none" w:sz="0" w:space="0" w:color="auto"/>
                        <w:left w:val="none" w:sz="0" w:space="0" w:color="auto"/>
                        <w:bottom w:val="none" w:sz="0" w:space="0" w:color="auto"/>
                        <w:right w:val="none" w:sz="0" w:space="0" w:color="auto"/>
                      </w:divBdr>
                    </w:div>
                  </w:divsChild>
                </w:div>
                <w:div w:id="895706500">
                  <w:marLeft w:val="0"/>
                  <w:marRight w:val="0"/>
                  <w:marTop w:val="0"/>
                  <w:marBottom w:val="0"/>
                  <w:divBdr>
                    <w:top w:val="none" w:sz="0" w:space="0" w:color="auto"/>
                    <w:left w:val="none" w:sz="0" w:space="0" w:color="auto"/>
                    <w:bottom w:val="none" w:sz="0" w:space="0" w:color="auto"/>
                    <w:right w:val="none" w:sz="0" w:space="0" w:color="auto"/>
                  </w:divBdr>
                  <w:divsChild>
                    <w:div w:id="1408727850">
                      <w:marLeft w:val="0"/>
                      <w:marRight w:val="0"/>
                      <w:marTop w:val="0"/>
                      <w:marBottom w:val="0"/>
                      <w:divBdr>
                        <w:top w:val="none" w:sz="0" w:space="0" w:color="auto"/>
                        <w:left w:val="none" w:sz="0" w:space="0" w:color="auto"/>
                        <w:bottom w:val="none" w:sz="0" w:space="0" w:color="auto"/>
                        <w:right w:val="none" w:sz="0" w:space="0" w:color="auto"/>
                      </w:divBdr>
                    </w:div>
                  </w:divsChild>
                </w:div>
                <w:div w:id="1330402845">
                  <w:marLeft w:val="0"/>
                  <w:marRight w:val="0"/>
                  <w:marTop w:val="0"/>
                  <w:marBottom w:val="0"/>
                  <w:divBdr>
                    <w:top w:val="none" w:sz="0" w:space="0" w:color="auto"/>
                    <w:left w:val="none" w:sz="0" w:space="0" w:color="auto"/>
                    <w:bottom w:val="none" w:sz="0" w:space="0" w:color="auto"/>
                    <w:right w:val="none" w:sz="0" w:space="0" w:color="auto"/>
                  </w:divBdr>
                  <w:divsChild>
                    <w:div w:id="446630097">
                      <w:marLeft w:val="0"/>
                      <w:marRight w:val="0"/>
                      <w:marTop w:val="0"/>
                      <w:marBottom w:val="0"/>
                      <w:divBdr>
                        <w:top w:val="none" w:sz="0" w:space="0" w:color="auto"/>
                        <w:left w:val="none" w:sz="0" w:space="0" w:color="auto"/>
                        <w:bottom w:val="none" w:sz="0" w:space="0" w:color="auto"/>
                        <w:right w:val="none" w:sz="0" w:space="0" w:color="auto"/>
                      </w:divBdr>
                    </w:div>
                  </w:divsChild>
                </w:div>
                <w:div w:id="909659088">
                  <w:marLeft w:val="0"/>
                  <w:marRight w:val="0"/>
                  <w:marTop w:val="0"/>
                  <w:marBottom w:val="0"/>
                  <w:divBdr>
                    <w:top w:val="none" w:sz="0" w:space="0" w:color="auto"/>
                    <w:left w:val="none" w:sz="0" w:space="0" w:color="auto"/>
                    <w:bottom w:val="none" w:sz="0" w:space="0" w:color="auto"/>
                    <w:right w:val="none" w:sz="0" w:space="0" w:color="auto"/>
                  </w:divBdr>
                  <w:divsChild>
                    <w:div w:id="957373871">
                      <w:marLeft w:val="0"/>
                      <w:marRight w:val="0"/>
                      <w:marTop w:val="0"/>
                      <w:marBottom w:val="0"/>
                      <w:divBdr>
                        <w:top w:val="none" w:sz="0" w:space="0" w:color="auto"/>
                        <w:left w:val="none" w:sz="0" w:space="0" w:color="auto"/>
                        <w:bottom w:val="none" w:sz="0" w:space="0" w:color="auto"/>
                        <w:right w:val="none" w:sz="0" w:space="0" w:color="auto"/>
                      </w:divBdr>
                    </w:div>
                  </w:divsChild>
                </w:div>
                <w:div w:id="1126848635">
                  <w:marLeft w:val="0"/>
                  <w:marRight w:val="0"/>
                  <w:marTop w:val="0"/>
                  <w:marBottom w:val="0"/>
                  <w:divBdr>
                    <w:top w:val="none" w:sz="0" w:space="0" w:color="auto"/>
                    <w:left w:val="none" w:sz="0" w:space="0" w:color="auto"/>
                    <w:bottom w:val="none" w:sz="0" w:space="0" w:color="auto"/>
                    <w:right w:val="none" w:sz="0" w:space="0" w:color="auto"/>
                  </w:divBdr>
                  <w:divsChild>
                    <w:div w:id="2101945331">
                      <w:marLeft w:val="0"/>
                      <w:marRight w:val="0"/>
                      <w:marTop w:val="0"/>
                      <w:marBottom w:val="0"/>
                      <w:divBdr>
                        <w:top w:val="none" w:sz="0" w:space="0" w:color="auto"/>
                        <w:left w:val="none" w:sz="0" w:space="0" w:color="auto"/>
                        <w:bottom w:val="none" w:sz="0" w:space="0" w:color="auto"/>
                        <w:right w:val="none" w:sz="0" w:space="0" w:color="auto"/>
                      </w:divBdr>
                    </w:div>
                  </w:divsChild>
                </w:div>
                <w:div w:id="1337197139">
                  <w:marLeft w:val="0"/>
                  <w:marRight w:val="0"/>
                  <w:marTop w:val="0"/>
                  <w:marBottom w:val="0"/>
                  <w:divBdr>
                    <w:top w:val="none" w:sz="0" w:space="0" w:color="auto"/>
                    <w:left w:val="none" w:sz="0" w:space="0" w:color="auto"/>
                    <w:bottom w:val="none" w:sz="0" w:space="0" w:color="auto"/>
                    <w:right w:val="none" w:sz="0" w:space="0" w:color="auto"/>
                  </w:divBdr>
                  <w:divsChild>
                    <w:div w:id="285552448">
                      <w:marLeft w:val="0"/>
                      <w:marRight w:val="0"/>
                      <w:marTop w:val="0"/>
                      <w:marBottom w:val="0"/>
                      <w:divBdr>
                        <w:top w:val="none" w:sz="0" w:space="0" w:color="auto"/>
                        <w:left w:val="none" w:sz="0" w:space="0" w:color="auto"/>
                        <w:bottom w:val="none" w:sz="0" w:space="0" w:color="auto"/>
                        <w:right w:val="none" w:sz="0" w:space="0" w:color="auto"/>
                      </w:divBdr>
                    </w:div>
                  </w:divsChild>
                </w:div>
                <w:div w:id="13770074">
                  <w:marLeft w:val="0"/>
                  <w:marRight w:val="0"/>
                  <w:marTop w:val="0"/>
                  <w:marBottom w:val="0"/>
                  <w:divBdr>
                    <w:top w:val="none" w:sz="0" w:space="0" w:color="auto"/>
                    <w:left w:val="none" w:sz="0" w:space="0" w:color="auto"/>
                    <w:bottom w:val="none" w:sz="0" w:space="0" w:color="auto"/>
                    <w:right w:val="none" w:sz="0" w:space="0" w:color="auto"/>
                  </w:divBdr>
                  <w:divsChild>
                    <w:div w:id="928124472">
                      <w:marLeft w:val="0"/>
                      <w:marRight w:val="0"/>
                      <w:marTop w:val="0"/>
                      <w:marBottom w:val="0"/>
                      <w:divBdr>
                        <w:top w:val="none" w:sz="0" w:space="0" w:color="auto"/>
                        <w:left w:val="none" w:sz="0" w:space="0" w:color="auto"/>
                        <w:bottom w:val="none" w:sz="0" w:space="0" w:color="auto"/>
                        <w:right w:val="none" w:sz="0" w:space="0" w:color="auto"/>
                      </w:divBdr>
                    </w:div>
                  </w:divsChild>
                </w:div>
                <w:div w:id="1194339869">
                  <w:marLeft w:val="0"/>
                  <w:marRight w:val="0"/>
                  <w:marTop w:val="0"/>
                  <w:marBottom w:val="0"/>
                  <w:divBdr>
                    <w:top w:val="none" w:sz="0" w:space="0" w:color="auto"/>
                    <w:left w:val="none" w:sz="0" w:space="0" w:color="auto"/>
                    <w:bottom w:val="none" w:sz="0" w:space="0" w:color="auto"/>
                    <w:right w:val="none" w:sz="0" w:space="0" w:color="auto"/>
                  </w:divBdr>
                  <w:divsChild>
                    <w:div w:id="616762514">
                      <w:marLeft w:val="0"/>
                      <w:marRight w:val="0"/>
                      <w:marTop w:val="0"/>
                      <w:marBottom w:val="0"/>
                      <w:divBdr>
                        <w:top w:val="none" w:sz="0" w:space="0" w:color="auto"/>
                        <w:left w:val="none" w:sz="0" w:space="0" w:color="auto"/>
                        <w:bottom w:val="none" w:sz="0" w:space="0" w:color="auto"/>
                        <w:right w:val="none" w:sz="0" w:space="0" w:color="auto"/>
                      </w:divBdr>
                    </w:div>
                  </w:divsChild>
                </w:div>
                <w:div w:id="729840218">
                  <w:marLeft w:val="0"/>
                  <w:marRight w:val="0"/>
                  <w:marTop w:val="0"/>
                  <w:marBottom w:val="0"/>
                  <w:divBdr>
                    <w:top w:val="none" w:sz="0" w:space="0" w:color="auto"/>
                    <w:left w:val="none" w:sz="0" w:space="0" w:color="auto"/>
                    <w:bottom w:val="none" w:sz="0" w:space="0" w:color="auto"/>
                    <w:right w:val="none" w:sz="0" w:space="0" w:color="auto"/>
                  </w:divBdr>
                  <w:divsChild>
                    <w:div w:id="481582785">
                      <w:marLeft w:val="0"/>
                      <w:marRight w:val="0"/>
                      <w:marTop w:val="0"/>
                      <w:marBottom w:val="0"/>
                      <w:divBdr>
                        <w:top w:val="none" w:sz="0" w:space="0" w:color="auto"/>
                        <w:left w:val="none" w:sz="0" w:space="0" w:color="auto"/>
                        <w:bottom w:val="none" w:sz="0" w:space="0" w:color="auto"/>
                        <w:right w:val="none" w:sz="0" w:space="0" w:color="auto"/>
                      </w:divBdr>
                    </w:div>
                  </w:divsChild>
                </w:div>
                <w:div w:id="766735502">
                  <w:marLeft w:val="0"/>
                  <w:marRight w:val="0"/>
                  <w:marTop w:val="0"/>
                  <w:marBottom w:val="0"/>
                  <w:divBdr>
                    <w:top w:val="none" w:sz="0" w:space="0" w:color="auto"/>
                    <w:left w:val="none" w:sz="0" w:space="0" w:color="auto"/>
                    <w:bottom w:val="none" w:sz="0" w:space="0" w:color="auto"/>
                    <w:right w:val="none" w:sz="0" w:space="0" w:color="auto"/>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sChild>
                </w:div>
                <w:div w:id="755177434">
                  <w:marLeft w:val="0"/>
                  <w:marRight w:val="0"/>
                  <w:marTop w:val="0"/>
                  <w:marBottom w:val="0"/>
                  <w:divBdr>
                    <w:top w:val="none" w:sz="0" w:space="0" w:color="auto"/>
                    <w:left w:val="none" w:sz="0" w:space="0" w:color="auto"/>
                    <w:bottom w:val="none" w:sz="0" w:space="0" w:color="auto"/>
                    <w:right w:val="none" w:sz="0" w:space="0" w:color="auto"/>
                  </w:divBdr>
                  <w:divsChild>
                    <w:div w:id="460270006">
                      <w:marLeft w:val="0"/>
                      <w:marRight w:val="0"/>
                      <w:marTop w:val="0"/>
                      <w:marBottom w:val="0"/>
                      <w:divBdr>
                        <w:top w:val="none" w:sz="0" w:space="0" w:color="auto"/>
                        <w:left w:val="none" w:sz="0" w:space="0" w:color="auto"/>
                        <w:bottom w:val="none" w:sz="0" w:space="0" w:color="auto"/>
                        <w:right w:val="none" w:sz="0" w:space="0" w:color="auto"/>
                      </w:divBdr>
                    </w:div>
                  </w:divsChild>
                </w:div>
                <w:div w:id="1558473840">
                  <w:marLeft w:val="0"/>
                  <w:marRight w:val="0"/>
                  <w:marTop w:val="0"/>
                  <w:marBottom w:val="0"/>
                  <w:divBdr>
                    <w:top w:val="none" w:sz="0" w:space="0" w:color="auto"/>
                    <w:left w:val="none" w:sz="0" w:space="0" w:color="auto"/>
                    <w:bottom w:val="none" w:sz="0" w:space="0" w:color="auto"/>
                    <w:right w:val="none" w:sz="0" w:space="0" w:color="auto"/>
                  </w:divBdr>
                  <w:divsChild>
                    <w:div w:id="46953339">
                      <w:marLeft w:val="0"/>
                      <w:marRight w:val="0"/>
                      <w:marTop w:val="0"/>
                      <w:marBottom w:val="0"/>
                      <w:divBdr>
                        <w:top w:val="none" w:sz="0" w:space="0" w:color="auto"/>
                        <w:left w:val="none" w:sz="0" w:space="0" w:color="auto"/>
                        <w:bottom w:val="none" w:sz="0" w:space="0" w:color="auto"/>
                        <w:right w:val="none" w:sz="0" w:space="0" w:color="auto"/>
                      </w:divBdr>
                    </w:div>
                  </w:divsChild>
                </w:div>
                <w:div w:id="203373803">
                  <w:marLeft w:val="0"/>
                  <w:marRight w:val="0"/>
                  <w:marTop w:val="0"/>
                  <w:marBottom w:val="0"/>
                  <w:divBdr>
                    <w:top w:val="none" w:sz="0" w:space="0" w:color="auto"/>
                    <w:left w:val="none" w:sz="0" w:space="0" w:color="auto"/>
                    <w:bottom w:val="none" w:sz="0" w:space="0" w:color="auto"/>
                    <w:right w:val="none" w:sz="0" w:space="0" w:color="auto"/>
                  </w:divBdr>
                  <w:divsChild>
                    <w:div w:id="948195868">
                      <w:marLeft w:val="0"/>
                      <w:marRight w:val="0"/>
                      <w:marTop w:val="0"/>
                      <w:marBottom w:val="0"/>
                      <w:divBdr>
                        <w:top w:val="none" w:sz="0" w:space="0" w:color="auto"/>
                        <w:left w:val="none" w:sz="0" w:space="0" w:color="auto"/>
                        <w:bottom w:val="none" w:sz="0" w:space="0" w:color="auto"/>
                        <w:right w:val="none" w:sz="0" w:space="0" w:color="auto"/>
                      </w:divBdr>
                    </w:div>
                  </w:divsChild>
                </w:div>
                <w:div w:id="1614701329">
                  <w:marLeft w:val="0"/>
                  <w:marRight w:val="0"/>
                  <w:marTop w:val="0"/>
                  <w:marBottom w:val="0"/>
                  <w:divBdr>
                    <w:top w:val="none" w:sz="0" w:space="0" w:color="auto"/>
                    <w:left w:val="none" w:sz="0" w:space="0" w:color="auto"/>
                    <w:bottom w:val="none" w:sz="0" w:space="0" w:color="auto"/>
                    <w:right w:val="none" w:sz="0" w:space="0" w:color="auto"/>
                  </w:divBdr>
                  <w:divsChild>
                    <w:div w:id="542325333">
                      <w:marLeft w:val="0"/>
                      <w:marRight w:val="0"/>
                      <w:marTop w:val="0"/>
                      <w:marBottom w:val="0"/>
                      <w:divBdr>
                        <w:top w:val="none" w:sz="0" w:space="0" w:color="auto"/>
                        <w:left w:val="none" w:sz="0" w:space="0" w:color="auto"/>
                        <w:bottom w:val="none" w:sz="0" w:space="0" w:color="auto"/>
                        <w:right w:val="none" w:sz="0" w:space="0" w:color="auto"/>
                      </w:divBdr>
                    </w:div>
                  </w:divsChild>
                </w:div>
                <w:div w:id="823621565">
                  <w:marLeft w:val="0"/>
                  <w:marRight w:val="0"/>
                  <w:marTop w:val="0"/>
                  <w:marBottom w:val="0"/>
                  <w:divBdr>
                    <w:top w:val="none" w:sz="0" w:space="0" w:color="auto"/>
                    <w:left w:val="none" w:sz="0" w:space="0" w:color="auto"/>
                    <w:bottom w:val="none" w:sz="0" w:space="0" w:color="auto"/>
                    <w:right w:val="none" w:sz="0" w:space="0" w:color="auto"/>
                  </w:divBdr>
                  <w:divsChild>
                    <w:div w:id="4294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87254">
              <w:marLeft w:val="0"/>
              <w:marRight w:val="0"/>
              <w:marTop w:val="0"/>
              <w:marBottom w:val="0"/>
              <w:divBdr>
                <w:top w:val="none" w:sz="0" w:space="0" w:color="auto"/>
                <w:left w:val="none" w:sz="0" w:space="0" w:color="auto"/>
                <w:bottom w:val="none" w:sz="0" w:space="0" w:color="auto"/>
                <w:right w:val="none" w:sz="0" w:space="0" w:color="auto"/>
              </w:divBdr>
              <w:divsChild>
                <w:div w:id="3390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98943">
      <w:bodyDiv w:val="1"/>
      <w:marLeft w:val="0"/>
      <w:marRight w:val="0"/>
      <w:marTop w:val="0"/>
      <w:marBottom w:val="0"/>
      <w:divBdr>
        <w:top w:val="none" w:sz="0" w:space="0" w:color="auto"/>
        <w:left w:val="none" w:sz="0" w:space="0" w:color="auto"/>
        <w:bottom w:val="none" w:sz="0" w:space="0" w:color="auto"/>
        <w:right w:val="none" w:sz="0" w:space="0" w:color="auto"/>
      </w:divBdr>
      <w:divsChild>
        <w:div w:id="2013798954">
          <w:marLeft w:val="0"/>
          <w:marRight w:val="0"/>
          <w:marTop w:val="0"/>
          <w:marBottom w:val="0"/>
          <w:divBdr>
            <w:top w:val="none" w:sz="0" w:space="0" w:color="auto"/>
            <w:left w:val="none" w:sz="0" w:space="0" w:color="auto"/>
            <w:bottom w:val="none" w:sz="0" w:space="0" w:color="auto"/>
            <w:right w:val="none" w:sz="0" w:space="0" w:color="auto"/>
          </w:divBdr>
          <w:divsChild>
            <w:div w:id="1820727978">
              <w:marLeft w:val="0"/>
              <w:marRight w:val="0"/>
              <w:marTop w:val="0"/>
              <w:marBottom w:val="0"/>
              <w:divBdr>
                <w:top w:val="none" w:sz="0" w:space="0" w:color="auto"/>
                <w:left w:val="none" w:sz="0" w:space="0" w:color="auto"/>
                <w:bottom w:val="none" w:sz="0" w:space="0" w:color="auto"/>
                <w:right w:val="none" w:sz="0" w:space="0" w:color="auto"/>
              </w:divBdr>
              <w:divsChild>
                <w:div w:id="417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89658">
      <w:bodyDiv w:val="1"/>
      <w:marLeft w:val="0"/>
      <w:marRight w:val="0"/>
      <w:marTop w:val="0"/>
      <w:marBottom w:val="0"/>
      <w:divBdr>
        <w:top w:val="none" w:sz="0" w:space="0" w:color="auto"/>
        <w:left w:val="none" w:sz="0" w:space="0" w:color="auto"/>
        <w:bottom w:val="none" w:sz="0" w:space="0" w:color="auto"/>
        <w:right w:val="none" w:sz="0" w:space="0" w:color="auto"/>
      </w:divBdr>
      <w:divsChild>
        <w:div w:id="225921133">
          <w:marLeft w:val="0"/>
          <w:marRight w:val="0"/>
          <w:marTop w:val="0"/>
          <w:marBottom w:val="0"/>
          <w:divBdr>
            <w:top w:val="none" w:sz="0" w:space="0" w:color="auto"/>
            <w:left w:val="none" w:sz="0" w:space="0" w:color="auto"/>
            <w:bottom w:val="none" w:sz="0" w:space="0" w:color="auto"/>
            <w:right w:val="none" w:sz="0" w:space="0" w:color="auto"/>
          </w:divBdr>
          <w:divsChild>
            <w:div w:id="336082905">
              <w:marLeft w:val="0"/>
              <w:marRight w:val="0"/>
              <w:marTop w:val="0"/>
              <w:marBottom w:val="0"/>
              <w:divBdr>
                <w:top w:val="none" w:sz="0" w:space="0" w:color="auto"/>
                <w:left w:val="none" w:sz="0" w:space="0" w:color="auto"/>
                <w:bottom w:val="none" w:sz="0" w:space="0" w:color="auto"/>
                <w:right w:val="none" w:sz="0" w:space="0" w:color="auto"/>
              </w:divBdr>
              <w:divsChild>
                <w:div w:id="10518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1154">
      <w:bodyDiv w:val="1"/>
      <w:marLeft w:val="0"/>
      <w:marRight w:val="0"/>
      <w:marTop w:val="0"/>
      <w:marBottom w:val="0"/>
      <w:divBdr>
        <w:top w:val="none" w:sz="0" w:space="0" w:color="auto"/>
        <w:left w:val="none" w:sz="0" w:space="0" w:color="auto"/>
        <w:bottom w:val="none" w:sz="0" w:space="0" w:color="auto"/>
        <w:right w:val="none" w:sz="0" w:space="0" w:color="auto"/>
      </w:divBdr>
      <w:divsChild>
        <w:div w:id="1249388364">
          <w:marLeft w:val="0"/>
          <w:marRight w:val="0"/>
          <w:marTop w:val="0"/>
          <w:marBottom w:val="0"/>
          <w:divBdr>
            <w:top w:val="none" w:sz="0" w:space="0" w:color="auto"/>
            <w:left w:val="none" w:sz="0" w:space="0" w:color="auto"/>
            <w:bottom w:val="none" w:sz="0" w:space="0" w:color="auto"/>
            <w:right w:val="none" w:sz="0" w:space="0" w:color="auto"/>
          </w:divBdr>
          <w:divsChild>
            <w:div w:id="1823812413">
              <w:marLeft w:val="0"/>
              <w:marRight w:val="0"/>
              <w:marTop w:val="0"/>
              <w:marBottom w:val="0"/>
              <w:divBdr>
                <w:top w:val="none" w:sz="0" w:space="0" w:color="auto"/>
                <w:left w:val="none" w:sz="0" w:space="0" w:color="auto"/>
                <w:bottom w:val="none" w:sz="0" w:space="0" w:color="auto"/>
                <w:right w:val="none" w:sz="0" w:space="0" w:color="auto"/>
              </w:divBdr>
              <w:divsChild>
                <w:div w:id="1575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57804">
      <w:bodyDiv w:val="1"/>
      <w:marLeft w:val="0"/>
      <w:marRight w:val="0"/>
      <w:marTop w:val="0"/>
      <w:marBottom w:val="0"/>
      <w:divBdr>
        <w:top w:val="none" w:sz="0" w:space="0" w:color="auto"/>
        <w:left w:val="none" w:sz="0" w:space="0" w:color="auto"/>
        <w:bottom w:val="none" w:sz="0" w:space="0" w:color="auto"/>
        <w:right w:val="none" w:sz="0" w:space="0" w:color="auto"/>
      </w:divBdr>
      <w:divsChild>
        <w:div w:id="1349792973">
          <w:marLeft w:val="0"/>
          <w:marRight w:val="0"/>
          <w:marTop w:val="0"/>
          <w:marBottom w:val="0"/>
          <w:divBdr>
            <w:top w:val="none" w:sz="0" w:space="0" w:color="auto"/>
            <w:left w:val="none" w:sz="0" w:space="0" w:color="auto"/>
            <w:bottom w:val="none" w:sz="0" w:space="0" w:color="auto"/>
            <w:right w:val="none" w:sz="0" w:space="0" w:color="auto"/>
          </w:divBdr>
          <w:divsChild>
            <w:div w:id="274412977">
              <w:marLeft w:val="0"/>
              <w:marRight w:val="0"/>
              <w:marTop w:val="0"/>
              <w:marBottom w:val="0"/>
              <w:divBdr>
                <w:top w:val="none" w:sz="0" w:space="0" w:color="auto"/>
                <w:left w:val="none" w:sz="0" w:space="0" w:color="auto"/>
                <w:bottom w:val="none" w:sz="0" w:space="0" w:color="auto"/>
                <w:right w:val="none" w:sz="0" w:space="0" w:color="auto"/>
              </w:divBdr>
              <w:divsChild>
                <w:div w:id="17306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87185">
      <w:bodyDiv w:val="1"/>
      <w:marLeft w:val="0"/>
      <w:marRight w:val="0"/>
      <w:marTop w:val="0"/>
      <w:marBottom w:val="0"/>
      <w:divBdr>
        <w:top w:val="none" w:sz="0" w:space="0" w:color="auto"/>
        <w:left w:val="none" w:sz="0" w:space="0" w:color="auto"/>
        <w:bottom w:val="none" w:sz="0" w:space="0" w:color="auto"/>
        <w:right w:val="none" w:sz="0" w:space="0" w:color="auto"/>
      </w:divBdr>
      <w:divsChild>
        <w:div w:id="1304970793">
          <w:marLeft w:val="0"/>
          <w:marRight w:val="0"/>
          <w:marTop w:val="0"/>
          <w:marBottom w:val="0"/>
          <w:divBdr>
            <w:top w:val="none" w:sz="0" w:space="0" w:color="auto"/>
            <w:left w:val="none" w:sz="0" w:space="0" w:color="auto"/>
            <w:bottom w:val="none" w:sz="0" w:space="0" w:color="auto"/>
            <w:right w:val="none" w:sz="0" w:space="0" w:color="auto"/>
          </w:divBdr>
          <w:divsChild>
            <w:div w:id="1552378569">
              <w:marLeft w:val="0"/>
              <w:marRight w:val="0"/>
              <w:marTop w:val="0"/>
              <w:marBottom w:val="0"/>
              <w:divBdr>
                <w:top w:val="none" w:sz="0" w:space="0" w:color="auto"/>
                <w:left w:val="none" w:sz="0" w:space="0" w:color="auto"/>
                <w:bottom w:val="none" w:sz="0" w:space="0" w:color="auto"/>
                <w:right w:val="none" w:sz="0" w:space="0" w:color="auto"/>
              </w:divBdr>
              <w:divsChild>
                <w:div w:id="1801531638">
                  <w:marLeft w:val="0"/>
                  <w:marRight w:val="0"/>
                  <w:marTop w:val="0"/>
                  <w:marBottom w:val="0"/>
                  <w:divBdr>
                    <w:top w:val="none" w:sz="0" w:space="0" w:color="auto"/>
                    <w:left w:val="none" w:sz="0" w:space="0" w:color="auto"/>
                    <w:bottom w:val="none" w:sz="0" w:space="0" w:color="auto"/>
                    <w:right w:val="none" w:sz="0" w:space="0" w:color="auto"/>
                  </w:divBdr>
                  <w:divsChild>
                    <w:div w:id="5390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756121">
      <w:bodyDiv w:val="1"/>
      <w:marLeft w:val="0"/>
      <w:marRight w:val="0"/>
      <w:marTop w:val="0"/>
      <w:marBottom w:val="0"/>
      <w:divBdr>
        <w:top w:val="none" w:sz="0" w:space="0" w:color="auto"/>
        <w:left w:val="none" w:sz="0" w:space="0" w:color="auto"/>
        <w:bottom w:val="none" w:sz="0" w:space="0" w:color="auto"/>
        <w:right w:val="none" w:sz="0" w:space="0" w:color="auto"/>
      </w:divBdr>
      <w:divsChild>
        <w:div w:id="1860049">
          <w:marLeft w:val="0"/>
          <w:marRight w:val="0"/>
          <w:marTop w:val="0"/>
          <w:marBottom w:val="0"/>
          <w:divBdr>
            <w:top w:val="none" w:sz="0" w:space="0" w:color="auto"/>
            <w:left w:val="none" w:sz="0" w:space="0" w:color="auto"/>
            <w:bottom w:val="none" w:sz="0" w:space="0" w:color="auto"/>
            <w:right w:val="none" w:sz="0" w:space="0" w:color="auto"/>
          </w:divBdr>
          <w:divsChild>
            <w:div w:id="2049598531">
              <w:marLeft w:val="0"/>
              <w:marRight w:val="0"/>
              <w:marTop w:val="0"/>
              <w:marBottom w:val="0"/>
              <w:divBdr>
                <w:top w:val="none" w:sz="0" w:space="0" w:color="auto"/>
                <w:left w:val="none" w:sz="0" w:space="0" w:color="auto"/>
                <w:bottom w:val="none" w:sz="0" w:space="0" w:color="auto"/>
                <w:right w:val="none" w:sz="0" w:space="0" w:color="auto"/>
              </w:divBdr>
              <w:divsChild>
                <w:div w:id="1824006710">
                  <w:marLeft w:val="0"/>
                  <w:marRight w:val="0"/>
                  <w:marTop w:val="0"/>
                  <w:marBottom w:val="0"/>
                  <w:divBdr>
                    <w:top w:val="none" w:sz="0" w:space="0" w:color="auto"/>
                    <w:left w:val="none" w:sz="0" w:space="0" w:color="auto"/>
                    <w:bottom w:val="none" w:sz="0" w:space="0" w:color="auto"/>
                    <w:right w:val="none" w:sz="0" w:space="0" w:color="auto"/>
                  </w:divBdr>
                  <w:divsChild>
                    <w:div w:id="8810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771295">
      <w:bodyDiv w:val="1"/>
      <w:marLeft w:val="0"/>
      <w:marRight w:val="0"/>
      <w:marTop w:val="0"/>
      <w:marBottom w:val="0"/>
      <w:divBdr>
        <w:top w:val="none" w:sz="0" w:space="0" w:color="auto"/>
        <w:left w:val="none" w:sz="0" w:space="0" w:color="auto"/>
        <w:bottom w:val="none" w:sz="0" w:space="0" w:color="auto"/>
        <w:right w:val="none" w:sz="0" w:space="0" w:color="auto"/>
      </w:divBdr>
    </w:div>
    <w:div w:id="698823574">
      <w:bodyDiv w:val="1"/>
      <w:marLeft w:val="0"/>
      <w:marRight w:val="0"/>
      <w:marTop w:val="0"/>
      <w:marBottom w:val="0"/>
      <w:divBdr>
        <w:top w:val="none" w:sz="0" w:space="0" w:color="auto"/>
        <w:left w:val="none" w:sz="0" w:space="0" w:color="auto"/>
        <w:bottom w:val="none" w:sz="0" w:space="0" w:color="auto"/>
        <w:right w:val="none" w:sz="0" w:space="0" w:color="auto"/>
      </w:divBdr>
      <w:divsChild>
        <w:div w:id="1285379689">
          <w:marLeft w:val="0"/>
          <w:marRight w:val="0"/>
          <w:marTop w:val="0"/>
          <w:marBottom w:val="0"/>
          <w:divBdr>
            <w:top w:val="none" w:sz="0" w:space="0" w:color="auto"/>
            <w:left w:val="none" w:sz="0" w:space="0" w:color="auto"/>
            <w:bottom w:val="none" w:sz="0" w:space="0" w:color="auto"/>
            <w:right w:val="none" w:sz="0" w:space="0" w:color="auto"/>
          </w:divBdr>
          <w:divsChild>
            <w:div w:id="899949656">
              <w:marLeft w:val="0"/>
              <w:marRight w:val="0"/>
              <w:marTop w:val="0"/>
              <w:marBottom w:val="0"/>
              <w:divBdr>
                <w:top w:val="none" w:sz="0" w:space="0" w:color="auto"/>
                <w:left w:val="none" w:sz="0" w:space="0" w:color="auto"/>
                <w:bottom w:val="none" w:sz="0" w:space="0" w:color="auto"/>
                <w:right w:val="none" w:sz="0" w:space="0" w:color="auto"/>
              </w:divBdr>
              <w:divsChild>
                <w:div w:id="1652520359">
                  <w:marLeft w:val="0"/>
                  <w:marRight w:val="0"/>
                  <w:marTop w:val="0"/>
                  <w:marBottom w:val="0"/>
                  <w:divBdr>
                    <w:top w:val="none" w:sz="0" w:space="0" w:color="auto"/>
                    <w:left w:val="none" w:sz="0" w:space="0" w:color="auto"/>
                    <w:bottom w:val="none" w:sz="0" w:space="0" w:color="auto"/>
                    <w:right w:val="none" w:sz="0" w:space="0" w:color="auto"/>
                  </w:divBdr>
                  <w:divsChild>
                    <w:div w:id="10070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91540">
      <w:bodyDiv w:val="1"/>
      <w:marLeft w:val="0"/>
      <w:marRight w:val="0"/>
      <w:marTop w:val="0"/>
      <w:marBottom w:val="0"/>
      <w:divBdr>
        <w:top w:val="none" w:sz="0" w:space="0" w:color="auto"/>
        <w:left w:val="none" w:sz="0" w:space="0" w:color="auto"/>
        <w:bottom w:val="none" w:sz="0" w:space="0" w:color="auto"/>
        <w:right w:val="none" w:sz="0" w:space="0" w:color="auto"/>
      </w:divBdr>
    </w:div>
    <w:div w:id="729233598">
      <w:bodyDiv w:val="1"/>
      <w:marLeft w:val="0"/>
      <w:marRight w:val="0"/>
      <w:marTop w:val="0"/>
      <w:marBottom w:val="0"/>
      <w:divBdr>
        <w:top w:val="none" w:sz="0" w:space="0" w:color="auto"/>
        <w:left w:val="none" w:sz="0" w:space="0" w:color="auto"/>
        <w:bottom w:val="none" w:sz="0" w:space="0" w:color="auto"/>
        <w:right w:val="none" w:sz="0" w:space="0" w:color="auto"/>
      </w:divBdr>
    </w:div>
    <w:div w:id="737944831">
      <w:bodyDiv w:val="1"/>
      <w:marLeft w:val="0"/>
      <w:marRight w:val="0"/>
      <w:marTop w:val="0"/>
      <w:marBottom w:val="0"/>
      <w:divBdr>
        <w:top w:val="none" w:sz="0" w:space="0" w:color="auto"/>
        <w:left w:val="none" w:sz="0" w:space="0" w:color="auto"/>
        <w:bottom w:val="none" w:sz="0" w:space="0" w:color="auto"/>
        <w:right w:val="none" w:sz="0" w:space="0" w:color="auto"/>
      </w:divBdr>
      <w:divsChild>
        <w:div w:id="16464331">
          <w:marLeft w:val="0"/>
          <w:marRight w:val="0"/>
          <w:marTop w:val="0"/>
          <w:marBottom w:val="0"/>
          <w:divBdr>
            <w:top w:val="none" w:sz="0" w:space="0" w:color="auto"/>
            <w:left w:val="none" w:sz="0" w:space="0" w:color="auto"/>
            <w:bottom w:val="none" w:sz="0" w:space="0" w:color="auto"/>
            <w:right w:val="none" w:sz="0" w:space="0" w:color="auto"/>
          </w:divBdr>
          <w:divsChild>
            <w:div w:id="370420225">
              <w:marLeft w:val="0"/>
              <w:marRight w:val="0"/>
              <w:marTop w:val="0"/>
              <w:marBottom w:val="0"/>
              <w:divBdr>
                <w:top w:val="none" w:sz="0" w:space="0" w:color="auto"/>
                <w:left w:val="none" w:sz="0" w:space="0" w:color="auto"/>
                <w:bottom w:val="none" w:sz="0" w:space="0" w:color="auto"/>
                <w:right w:val="none" w:sz="0" w:space="0" w:color="auto"/>
              </w:divBdr>
              <w:divsChild>
                <w:div w:id="1865819910">
                  <w:marLeft w:val="0"/>
                  <w:marRight w:val="0"/>
                  <w:marTop w:val="0"/>
                  <w:marBottom w:val="0"/>
                  <w:divBdr>
                    <w:top w:val="none" w:sz="0" w:space="0" w:color="auto"/>
                    <w:left w:val="none" w:sz="0" w:space="0" w:color="auto"/>
                    <w:bottom w:val="none" w:sz="0" w:space="0" w:color="auto"/>
                    <w:right w:val="none" w:sz="0" w:space="0" w:color="auto"/>
                  </w:divBdr>
                  <w:divsChild>
                    <w:div w:id="19436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371387">
      <w:bodyDiv w:val="1"/>
      <w:marLeft w:val="0"/>
      <w:marRight w:val="0"/>
      <w:marTop w:val="0"/>
      <w:marBottom w:val="0"/>
      <w:divBdr>
        <w:top w:val="none" w:sz="0" w:space="0" w:color="auto"/>
        <w:left w:val="none" w:sz="0" w:space="0" w:color="auto"/>
        <w:bottom w:val="none" w:sz="0" w:space="0" w:color="auto"/>
        <w:right w:val="none" w:sz="0" w:space="0" w:color="auto"/>
      </w:divBdr>
      <w:divsChild>
        <w:div w:id="861473320">
          <w:marLeft w:val="0"/>
          <w:marRight w:val="0"/>
          <w:marTop w:val="0"/>
          <w:marBottom w:val="0"/>
          <w:divBdr>
            <w:top w:val="none" w:sz="0" w:space="0" w:color="auto"/>
            <w:left w:val="none" w:sz="0" w:space="0" w:color="auto"/>
            <w:bottom w:val="none" w:sz="0" w:space="0" w:color="auto"/>
            <w:right w:val="none" w:sz="0" w:space="0" w:color="auto"/>
          </w:divBdr>
          <w:divsChild>
            <w:div w:id="2134710695">
              <w:marLeft w:val="0"/>
              <w:marRight w:val="0"/>
              <w:marTop w:val="0"/>
              <w:marBottom w:val="0"/>
              <w:divBdr>
                <w:top w:val="none" w:sz="0" w:space="0" w:color="auto"/>
                <w:left w:val="none" w:sz="0" w:space="0" w:color="auto"/>
                <w:bottom w:val="none" w:sz="0" w:space="0" w:color="auto"/>
                <w:right w:val="none" w:sz="0" w:space="0" w:color="auto"/>
              </w:divBdr>
              <w:divsChild>
                <w:div w:id="11812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9785">
      <w:bodyDiv w:val="1"/>
      <w:marLeft w:val="0"/>
      <w:marRight w:val="0"/>
      <w:marTop w:val="0"/>
      <w:marBottom w:val="0"/>
      <w:divBdr>
        <w:top w:val="none" w:sz="0" w:space="0" w:color="auto"/>
        <w:left w:val="none" w:sz="0" w:space="0" w:color="auto"/>
        <w:bottom w:val="none" w:sz="0" w:space="0" w:color="auto"/>
        <w:right w:val="none" w:sz="0" w:space="0" w:color="auto"/>
      </w:divBdr>
    </w:div>
    <w:div w:id="780342755">
      <w:bodyDiv w:val="1"/>
      <w:marLeft w:val="0"/>
      <w:marRight w:val="0"/>
      <w:marTop w:val="0"/>
      <w:marBottom w:val="0"/>
      <w:divBdr>
        <w:top w:val="none" w:sz="0" w:space="0" w:color="auto"/>
        <w:left w:val="none" w:sz="0" w:space="0" w:color="auto"/>
        <w:bottom w:val="none" w:sz="0" w:space="0" w:color="auto"/>
        <w:right w:val="none" w:sz="0" w:space="0" w:color="auto"/>
      </w:divBdr>
      <w:divsChild>
        <w:div w:id="1440643632">
          <w:marLeft w:val="0"/>
          <w:marRight w:val="0"/>
          <w:marTop w:val="0"/>
          <w:marBottom w:val="0"/>
          <w:divBdr>
            <w:top w:val="none" w:sz="0" w:space="0" w:color="auto"/>
            <w:left w:val="none" w:sz="0" w:space="0" w:color="auto"/>
            <w:bottom w:val="none" w:sz="0" w:space="0" w:color="auto"/>
            <w:right w:val="none" w:sz="0" w:space="0" w:color="auto"/>
          </w:divBdr>
          <w:divsChild>
            <w:div w:id="1764107710">
              <w:marLeft w:val="0"/>
              <w:marRight w:val="0"/>
              <w:marTop w:val="0"/>
              <w:marBottom w:val="0"/>
              <w:divBdr>
                <w:top w:val="none" w:sz="0" w:space="0" w:color="auto"/>
                <w:left w:val="none" w:sz="0" w:space="0" w:color="auto"/>
                <w:bottom w:val="none" w:sz="0" w:space="0" w:color="auto"/>
                <w:right w:val="none" w:sz="0" w:space="0" w:color="auto"/>
              </w:divBdr>
              <w:divsChild>
                <w:div w:id="285089677">
                  <w:marLeft w:val="0"/>
                  <w:marRight w:val="0"/>
                  <w:marTop w:val="0"/>
                  <w:marBottom w:val="0"/>
                  <w:divBdr>
                    <w:top w:val="none" w:sz="0" w:space="0" w:color="auto"/>
                    <w:left w:val="none" w:sz="0" w:space="0" w:color="auto"/>
                    <w:bottom w:val="none" w:sz="0" w:space="0" w:color="auto"/>
                    <w:right w:val="none" w:sz="0" w:space="0" w:color="auto"/>
                  </w:divBdr>
                </w:div>
              </w:divsChild>
            </w:div>
            <w:div w:id="186648746">
              <w:marLeft w:val="0"/>
              <w:marRight w:val="0"/>
              <w:marTop w:val="0"/>
              <w:marBottom w:val="0"/>
              <w:divBdr>
                <w:top w:val="none" w:sz="0" w:space="0" w:color="auto"/>
                <w:left w:val="none" w:sz="0" w:space="0" w:color="auto"/>
                <w:bottom w:val="none" w:sz="0" w:space="0" w:color="auto"/>
                <w:right w:val="none" w:sz="0" w:space="0" w:color="auto"/>
              </w:divBdr>
              <w:divsChild>
                <w:div w:id="2094087265">
                  <w:marLeft w:val="0"/>
                  <w:marRight w:val="0"/>
                  <w:marTop w:val="0"/>
                  <w:marBottom w:val="0"/>
                  <w:divBdr>
                    <w:top w:val="none" w:sz="0" w:space="0" w:color="auto"/>
                    <w:left w:val="none" w:sz="0" w:space="0" w:color="auto"/>
                    <w:bottom w:val="none" w:sz="0" w:space="0" w:color="auto"/>
                    <w:right w:val="none" w:sz="0" w:space="0" w:color="auto"/>
                  </w:divBdr>
                  <w:divsChild>
                    <w:div w:id="127552600">
                      <w:marLeft w:val="0"/>
                      <w:marRight w:val="0"/>
                      <w:marTop w:val="0"/>
                      <w:marBottom w:val="0"/>
                      <w:divBdr>
                        <w:top w:val="none" w:sz="0" w:space="0" w:color="auto"/>
                        <w:left w:val="none" w:sz="0" w:space="0" w:color="auto"/>
                        <w:bottom w:val="none" w:sz="0" w:space="0" w:color="auto"/>
                        <w:right w:val="none" w:sz="0" w:space="0" w:color="auto"/>
                      </w:divBdr>
                    </w:div>
                  </w:divsChild>
                </w:div>
                <w:div w:id="435909643">
                  <w:marLeft w:val="0"/>
                  <w:marRight w:val="0"/>
                  <w:marTop w:val="0"/>
                  <w:marBottom w:val="0"/>
                  <w:divBdr>
                    <w:top w:val="none" w:sz="0" w:space="0" w:color="auto"/>
                    <w:left w:val="none" w:sz="0" w:space="0" w:color="auto"/>
                    <w:bottom w:val="none" w:sz="0" w:space="0" w:color="auto"/>
                    <w:right w:val="none" w:sz="0" w:space="0" w:color="auto"/>
                  </w:divBdr>
                  <w:divsChild>
                    <w:div w:id="1740050984">
                      <w:marLeft w:val="0"/>
                      <w:marRight w:val="0"/>
                      <w:marTop w:val="0"/>
                      <w:marBottom w:val="0"/>
                      <w:divBdr>
                        <w:top w:val="none" w:sz="0" w:space="0" w:color="auto"/>
                        <w:left w:val="none" w:sz="0" w:space="0" w:color="auto"/>
                        <w:bottom w:val="none" w:sz="0" w:space="0" w:color="auto"/>
                        <w:right w:val="none" w:sz="0" w:space="0" w:color="auto"/>
                      </w:divBdr>
                    </w:div>
                  </w:divsChild>
                </w:div>
                <w:div w:id="403576439">
                  <w:marLeft w:val="0"/>
                  <w:marRight w:val="0"/>
                  <w:marTop w:val="0"/>
                  <w:marBottom w:val="0"/>
                  <w:divBdr>
                    <w:top w:val="none" w:sz="0" w:space="0" w:color="auto"/>
                    <w:left w:val="none" w:sz="0" w:space="0" w:color="auto"/>
                    <w:bottom w:val="none" w:sz="0" w:space="0" w:color="auto"/>
                    <w:right w:val="none" w:sz="0" w:space="0" w:color="auto"/>
                  </w:divBdr>
                  <w:divsChild>
                    <w:div w:id="1768186841">
                      <w:marLeft w:val="0"/>
                      <w:marRight w:val="0"/>
                      <w:marTop w:val="0"/>
                      <w:marBottom w:val="0"/>
                      <w:divBdr>
                        <w:top w:val="none" w:sz="0" w:space="0" w:color="auto"/>
                        <w:left w:val="none" w:sz="0" w:space="0" w:color="auto"/>
                        <w:bottom w:val="none" w:sz="0" w:space="0" w:color="auto"/>
                        <w:right w:val="none" w:sz="0" w:space="0" w:color="auto"/>
                      </w:divBdr>
                    </w:div>
                  </w:divsChild>
                </w:div>
                <w:div w:id="1258828217">
                  <w:marLeft w:val="0"/>
                  <w:marRight w:val="0"/>
                  <w:marTop w:val="0"/>
                  <w:marBottom w:val="0"/>
                  <w:divBdr>
                    <w:top w:val="none" w:sz="0" w:space="0" w:color="auto"/>
                    <w:left w:val="none" w:sz="0" w:space="0" w:color="auto"/>
                    <w:bottom w:val="none" w:sz="0" w:space="0" w:color="auto"/>
                    <w:right w:val="none" w:sz="0" w:space="0" w:color="auto"/>
                  </w:divBdr>
                  <w:divsChild>
                    <w:div w:id="1550844123">
                      <w:marLeft w:val="0"/>
                      <w:marRight w:val="0"/>
                      <w:marTop w:val="0"/>
                      <w:marBottom w:val="0"/>
                      <w:divBdr>
                        <w:top w:val="none" w:sz="0" w:space="0" w:color="auto"/>
                        <w:left w:val="none" w:sz="0" w:space="0" w:color="auto"/>
                        <w:bottom w:val="none" w:sz="0" w:space="0" w:color="auto"/>
                        <w:right w:val="none" w:sz="0" w:space="0" w:color="auto"/>
                      </w:divBdr>
                    </w:div>
                  </w:divsChild>
                </w:div>
                <w:div w:id="296880150">
                  <w:marLeft w:val="0"/>
                  <w:marRight w:val="0"/>
                  <w:marTop w:val="0"/>
                  <w:marBottom w:val="0"/>
                  <w:divBdr>
                    <w:top w:val="none" w:sz="0" w:space="0" w:color="auto"/>
                    <w:left w:val="none" w:sz="0" w:space="0" w:color="auto"/>
                    <w:bottom w:val="none" w:sz="0" w:space="0" w:color="auto"/>
                    <w:right w:val="none" w:sz="0" w:space="0" w:color="auto"/>
                  </w:divBdr>
                  <w:divsChild>
                    <w:div w:id="390345178">
                      <w:marLeft w:val="0"/>
                      <w:marRight w:val="0"/>
                      <w:marTop w:val="0"/>
                      <w:marBottom w:val="0"/>
                      <w:divBdr>
                        <w:top w:val="none" w:sz="0" w:space="0" w:color="auto"/>
                        <w:left w:val="none" w:sz="0" w:space="0" w:color="auto"/>
                        <w:bottom w:val="none" w:sz="0" w:space="0" w:color="auto"/>
                        <w:right w:val="none" w:sz="0" w:space="0" w:color="auto"/>
                      </w:divBdr>
                    </w:div>
                  </w:divsChild>
                </w:div>
                <w:div w:id="2030640295">
                  <w:marLeft w:val="0"/>
                  <w:marRight w:val="0"/>
                  <w:marTop w:val="0"/>
                  <w:marBottom w:val="0"/>
                  <w:divBdr>
                    <w:top w:val="none" w:sz="0" w:space="0" w:color="auto"/>
                    <w:left w:val="none" w:sz="0" w:space="0" w:color="auto"/>
                    <w:bottom w:val="none" w:sz="0" w:space="0" w:color="auto"/>
                    <w:right w:val="none" w:sz="0" w:space="0" w:color="auto"/>
                  </w:divBdr>
                  <w:divsChild>
                    <w:div w:id="979571846">
                      <w:marLeft w:val="0"/>
                      <w:marRight w:val="0"/>
                      <w:marTop w:val="0"/>
                      <w:marBottom w:val="0"/>
                      <w:divBdr>
                        <w:top w:val="none" w:sz="0" w:space="0" w:color="auto"/>
                        <w:left w:val="none" w:sz="0" w:space="0" w:color="auto"/>
                        <w:bottom w:val="none" w:sz="0" w:space="0" w:color="auto"/>
                        <w:right w:val="none" w:sz="0" w:space="0" w:color="auto"/>
                      </w:divBdr>
                    </w:div>
                  </w:divsChild>
                </w:div>
                <w:div w:id="194469136">
                  <w:marLeft w:val="0"/>
                  <w:marRight w:val="0"/>
                  <w:marTop w:val="0"/>
                  <w:marBottom w:val="0"/>
                  <w:divBdr>
                    <w:top w:val="none" w:sz="0" w:space="0" w:color="auto"/>
                    <w:left w:val="none" w:sz="0" w:space="0" w:color="auto"/>
                    <w:bottom w:val="none" w:sz="0" w:space="0" w:color="auto"/>
                    <w:right w:val="none" w:sz="0" w:space="0" w:color="auto"/>
                  </w:divBdr>
                  <w:divsChild>
                    <w:div w:id="918905776">
                      <w:marLeft w:val="0"/>
                      <w:marRight w:val="0"/>
                      <w:marTop w:val="0"/>
                      <w:marBottom w:val="0"/>
                      <w:divBdr>
                        <w:top w:val="none" w:sz="0" w:space="0" w:color="auto"/>
                        <w:left w:val="none" w:sz="0" w:space="0" w:color="auto"/>
                        <w:bottom w:val="none" w:sz="0" w:space="0" w:color="auto"/>
                        <w:right w:val="none" w:sz="0" w:space="0" w:color="auto"/>
                      </w:divBdr>
                    </w:div>
                  </w:divsChild>
                </w:div>
                <w:div w:id="1772779048">
                  <w:marLeft w:val="0"/>
                  <w:marRight w:val="0"/>
                  <w:marTop w:val="0"/>
                  <w:marBottom w:val="0"/>
                  <w:divBdr>
                    <w:top w:val="none" w:sz="0" w:space="0" w:color="auto"/>
                    <w:left w:val="none" w:sz="0" w:space="0" w:color="auto"/>
                    <w:bottom w:val="none" w:sz="0" w:space="0" w:color="auto"/>
                    <w:right w:val="none" w:sz="0" w:space="0" w:color="auto"/>
                  </w:divBdr>
                  <w:divsChild>
                    <w:div w:id="1337537092">
                      <w:marLeft w:val="0"/>
                      <w:marRight w:val="0"/>
                      <w:marTop w:val="0"/>
                      <w:marBottom w:val="0"/>
                      <w:divBdr>
                        <w:top w:val="none" w:sz="0" w:space="0" w:color="auto"/>
                        <w:left w:val="none" w:sz="0" w:space="0" w:color="auto"/>
                        <w:bottom w:val="none" w:sz="0" w:space="0" w:color="auto"/>
                        <w:right w:val="none" w:sz="0" w:space="0" w:color="auto"/>
                      </w:divBdr>
                    </w:div>
                  </w:divsChild>
                </w:div>
                <w:div w:id="1830829173">
                  <w:marLeft w:val="0"/>
                  <w:marRight w:val="0"/>
                  <w:marTop w:val="0"/>
                  <w:marBottom w:val="0"/>
                  <w:divBdr>
                    <w:top w:val="none" w:sz="0" w:space="0" w:color="auto"/>
                    <w:left w:val="none" w:sz="0" w:space="0" w:color="auto"/>
                    <w:bottom w:val="none" w:sz="0" w:space="0" w:color="auto"/>
                    <w:right w:val="none" w:sz="0" w:space="0" w:color="auto"/>
                  </w:divBdr>
                  <w:divsChild>
                    <w:div w:id="246967293">
                      <w:marLeft w:val="0"/>
                      <w:marRight w:val="0"/>
                      <w:marTop w:val="0"/>
                      <w:marBottom w:val="0"/>
                      <w:divBdr>
                        <w:top w:val="none" w:sz="0" w:space="0" w:color="auto"/>
                        <w:left w:val="none" w:sz="0" w:space="0" w:color="auto"/>
                        <w:bottom w:val="none" w:sz="0" w:space="0" w:color="auto"/>
                        <w:right w:val="none" w:sz="0" w:space="0" w:color="auto"/>
                      </w:divBdr>
                    </w:div>
                  </w:divsChild>
                </w:div>
                <w:div w:id="2145076793">
                  <w:marLeft w:val="0"/>
                  <w:marRight w:val="0"/>
                  <w:marTop w:val="0"/>
                  <w:marBottom w:val="0"/>
                  <w:divBdr>
                    <w:top w:val="none" w:sz="0" w:space="0" w:color="auto"/>
                    <w:left w:val="none" w:sz="0" w:space="0" w:color="auto"/>
                    <w:bottom w:val="none" w:sz="0" w:space="0" w:color="auto"/>
                    <w:right w:val="none" w:sz="0" w:space="0" w:color="auto"/>
                  </w:divBdr>
                  <w:divsChild>
                    <w:div w:id="2076732410">
                      <w:marLeft w:val="0"/>
                      <w:marRight w:val="0"/>
                      <w:marTop w:val="0"/>
                      <w:marBottom w:val="0"/>
                      <w:divBdr>
                        <w:top w:val="none" w:sz="0" w:space="0" w:color="auto"/>
                        <w:left w:val="none" w:sz="0" w:space="0" w:color="auto"/>
                        <w:bottom w:val="none" w:sz="0" w:space="0" w:color="auto"/>
                        <w:right w:val="none" w:sz="0" w:space="0" w:color="auto"/>
                      </w:divBdr>
                    </w:div>
                  </w:divsChild>
                </w:div>
                <w:div w:id="153255037">
                  <w:marLeft w:val="0"/>
                  <w:marRight w:val="0"/>
                  <w:marTop w:val="0"/>
                  <w:marBottom w:val="0"/>
                  <w:divBdr>
                    <w:top w:val="none" w:sz="0" w:space="0" w:color="auto"/>
                    <w:left w:val="none" w:sz="0" w:space="0" w:color="auto"/>
                    <w:bottom w:val="none" w:sz="0" w:space="0" w:color="auto"/>
                    <w:right w:val="none" w:sz="0" w:space="0" w:color="auto"/>
                  </w:divBdr>
                  <w:divsChild>
                    <w:div w:id="162865992">
                      <w:marLeft w:val="0"/>
                      <w:marRight w:val="0"/>
                      <w:marTop w:val="0"/>
                      <w:marBottom w:val="0"/>
                      <w:divBdr>
                        <w:top w:val="none" w:sz="0" w:space="0" w:color="auto"/>
                        <w:left w:val="none" w:sz="0" w:space="0" w:color="auto"/>
                        <w:bottom w:val="none" w:sz="0" w:space="0" w:color="auto"/>
                        <w:right w:val="none" w:sz="0" w:space="0" w:color="auto"/>
                      </w:divBdr>
                    </w:div>
                  </w:divsChild>
                </w:div>
                <w:div w:id="728653894">
                  <w:marLeft w:val="0"/>
                  <w:marRight w:val="0"/>
                  <w:marTop w:val="0"/>
                  <w:marBottom w:val="0"/>
                  <w:divBdr>
                    <w:top w:val="none" w:sz="0" w:space="0" w:color="auto"/>
                    <w:left w:val="none" w:sz="0" w:space="0" w:color="auto"/>
                    <w:bottom w:val="none" w:sz="0" w:space="0" w:color="auto"/>
                    <w:right w:val="none" w:sz="0" w:space="0" w:color="auto"/>
                  </w:divBdr>
                  <w:divsChild>
                    <w:div w:id="2111393895">
                      <w:marLeft w:val="0"/>
                      <w:marRight w:val="0"/>
                      <w:marTop w:val="0"/>
                      <w:marBottom w:val="0"/>
                      <w:divBdr>
                        <w:top w:val="none" w:sz="0" w:space="0" w:color="auto"/>
                        <w:left w:val="none" w:sz="0" w:space="0" w:color="auto"/>
                        <w:bottom w:val="none" w:sz="0" w:space="0" w:color="auto"/>
                        <w:right w:val="none" w:sz="0" w:space="0" w:color="auto"/>
                      </w:divBdr>
                    </w:div>
                  </w:divsChild>
                </w:div>
                <w:div w:id="1185436033">
                  <w:marLeft w:val="0"/>
                  <w:marRight w:val="0"/>
                  <w:marTop w:val="0"/>
                  <w:marBottom w:val="0"/>
                  <w:divBdr>
                    <w:top w:val="none" w:sz="0" w:space="0" w:color="auto"/>
                    <w:left w:val="none" w:sz="0" w:space="0" w:color="auto"/>
                    <w:bottom w:val="none" w:sz="0" w:space="0" w:color="auto"/>
                    <w:right w:val="none" w:sz="0" w:space="0" w:color="auto"/>
                  </w:divBdr>
                  <w:divsChild>
                    <w:div w:id="156850758">
                      <w:marLeft w:val="0"/>
                      <w:marRight w:val="0"/>
                      <w:marTop w:val="0"/>
                      <w:marBottom w:val="0"/>
                      <w:divBdr>
                        <w:top w:val="none" w:sz="0" w:space="0" w:color="auto"/>
                        <w:left w:val="none" w:sz="0" w:space="0" w:color="auto"/>
                        <w:bottom w:val="none" w:sz="0" w:space="0" w:color="auto"/>
                        <w:right w:val="none" w:sz="0" w:space="0" w:color="auto"/>
                      </w:divBdr>
                    </w:div>
                  </w:divsChild>
                </w:div>
                <w:div w:id="214051363">
                  <w:marLeft w:val="0"/>
                  <w:marRight w:val="0"/>
                  <w:marTop w:val="0"/>
                  <w:marBottom w:val="0"/>
                  <w:divBdr>
                    <w:top w:val="none" w:sz="0" w:space="0" w:color="auto"/>
                    <w:left w:val="none" w:sz="0" w:space="0" w:color="auto"/>
                    <w:bottom w:val="none" w:sz="0" w:space="0" w:color="auto"/>
                    <w:right w:val="none" w:sz="0" w:space="0" w:color="auto"/>
                  </w:divBdr>
                  <w:divsChild>
                    <w:div w:id="1963264154">
                      <w:marLeft w:val="0"/>
                      <w:marRight w:val="0"/>
                      <w:marTop w:val="0"/>
                      <w:marBottom w:val="0"/>
                      <w:divBdr>
                        <w:top w:val="none" w:sz="0" w:space="0" w:color="auto"/>
                        <w:left w:val="none" w:sz="0" w:space="0" w:color="auto"/>
                        <w:bottom w:val="none" w:sz="0" w:space="0" w:color="auto"/>
                        <w:right w:val="none" w:sz="0" w:space="0" w:color="auto"/>
                      </w:divBdr>
                    </w:div>
                  </w:divsChild>
                </w:div>
                <w:div w:id="1751150600">
                  <w:marLeft w:val="0"/>
                  <w:marRight w:val="0"/>
                  <w:marTop w:val="0"/>
                  <w:marBottom w:val="0"/>
                  <w:divBdr>
                    <w:top w:val="none" w:sz="0" w:space="0" w:color="auto"/>
                    <w:left w:val="none" w:sz="0" w:space="0" w:color="auto"/>
                    <w:bottom w:val="none" w:sz="0" w:space="0" w:color="auto"/>
                    <w:right w:val="none" w:sz="0" w:space="0" w:color="auto"/>
                  </w:divBdr>
                  <w:divsChild>
                    <w:div w:id="452599132">
                      <w:marLeft w:val="0"/>
                      <w:marRight w:val="0"/>
                      <w:marTop w:val="0"/>
                      <w:marBottom w:val="0"/>
                      <w:divBdr>
                        <w:top w:val="none" w:sz="0" w:space="0" w:color="auto"/>
                        <w:left w:val="none" w:sz="0" w:space="0" w:color="auto"/>
                        <w:bottom w:val="none" w:sz="0" w:space="0" w:color="auto"/>
                        <w:right w:val="none" w:sz="0" w:space="0" w:color="auto"/>
                      </w:divBdr>
                    </w:div>
                  </w:divsChild>
                </w:div>
                <w:div w:id="623269499">
                  <w:marLeft w:val="0"/>
                  <w:marRight w:val="0"/>
                  <w:marTop w:val="0"/>
                  <w:marBottom w:val="0"/>
                  <w:divBdr>
                    <w:top w:val="none" w:sz="0" w:space="0" w:color="auto"/>
                    <w:left w:val="none" w:sz="0" w:space="0" w:color="auto"/>
                    <w:bottom w:val="none" w:sz="0" w:space="0" w:color="auto"/>
                    <w:right w:val="none" w:sz="0" w:space="0" w:color="auto"/>
                  </w:divBdr>
                  <w:divsChild>
                    <w:div w:id="379063157">
                      <w:marLeft w:val="0"/>
                      <w:marRight w:val="0"/>
                      <w:marTop w:val="0"/>
                      <w:marBottom w:val="0"/>
                      <w:divBdr>
                        <w:top w:val="none" w:sz="0" w:space="0" w:color="auto"/>
                        <w:left w:val="none" w:sz="0" w:space="0" w:color="auto"/>
                        <w:bottom w:val="none" w:sz="0" w:space="0" w:color="auto"/>
                        <w:right w:val="none" w:sz="0" w:space="0" w:color="auto"/>
                      </w:divBdr>
                    </w:div>
                  </w:divsChild>
                </w:div>
                <w:div w:id="1199077802">
                  <w:marLeft w:val="0"/>
                  <w:marRight w:val="0"/>
                  <w:marTop w:val="0"/>
                  <w:marBottom w:val="0"/>
                  <w:divBdr>
                    <w:top w:val="none" w:sz="0" w:space="0" w:color="auto"/>
                    <w:left w:val="none" w:sz="0" w:space="0" w:color="auto"/>
                    <w:bottom w:val="none" w:sz="0" w:space="0" w:color="auto"/>
                    <w:right w:val="none" w:sz="0" w:space="0" w:color="auto"/>
                  </w:divBdr>
                  <w:divsChild>
                    <w:div w:id="10870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4478">
              <w:marLeft w:val="0"/>
              <w:marRight w:val="0"/>
              <w:marTop w:val="0"/>
              <w:marBottom w:val="0"/>
              <w:divBdr>
                <w:top w:val="none" w:sz="0" w:space="0" w:color="auto"/>
                <w:left w:val="none" w:sz="0" w:space="0" w:color="auto"/>
                <w:bottom w:val="none" w:sz="0" w:space="0" w:color="auto"/>
                <w:right w:val="none" w:sz="0" w:space="0" w:color="auto"/>
              </w:divBdr>
              <w:divsChild>
                <w:div w:id="15992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2982">
      <w:bodyDiv w:val="1"/>
      <w:marLeft w:val="0"/>
      <w:marRight w:val="0"/>
      <w:marTop w:val="0"/>
      <w:marBottom w:val="0"/>
      <w:divBdr>
        <w:top w:val="none" w:sz="0" w:space="0" w:color="auto"/>
        <w:left w:val="none" w:sz="0" w:space="0" w:color="auto"/>
        <w:bottom w:val="none" w:sz="0" w:space="0" w:color="auto"/>
        <w:right w:val="none" w:sz="0" w:space="0" w:color="auto"/>
      </w:divBdr>
      <w:divsChild>
        <w:div w:id="932860715">
          <w:marLeft w:val="0"/>
          <w:marRight w:val="0"/>
          <w:marTop w:val="0"/>
          <w:marBottom w:val="0"/>
          <w:divBdr>
            <w:top w:val="none" w:sz="0" w:space="0" w:color="auto"/>
            <w:left w:val="none" w:sz="0" w:space="0" w:color="auto"/>
            <w:bottom w:val="none" w:sz="0" w:space="0" w:color="auto"/>
            <w:right w:val="none" w:sz="0" w:space="0" w:color="auto"/>
          </w:divBdr>
          <w:divsChild>
            <w:div w:id="1213619114">
              <w:marLeft w:val="0"/>
              <w:marRight w:val="0"/>
              <w:marTop w:val="0"/>
              <w:marBottom w:val="0"/>
              <w:divBdr>
                <w:top w:val="none" w:sz="0" w:space="0" w:color="auto"/>
                <w:left w:val="none" w:sz="0" w:space="0" w:color="auto"/>
                <w:bottom w:val="none" w:sz="0" w:space="0" w:color="auto"/>
                <w:right w:val="none" w:sz="0" w:space="0" w:color="auto"/>
              </w:divBdr>
              <w:divsChild>
                <w:div w:id="1732532132">
                  <w:marLeft w:val="0"/>
                  <w:marRight w:val="0"/>
                  <w:marTop w:val="0"/>
                  <w:marBottom w:val="0"/>
                  <w:divBdr>
                    <w:top w:val="none" w:sz="0" w:space="0" w:color="auto"/>
                    <w:left w:val="none" w:sz="0" w:space="0" w:color="auto"/>
                    <w:bottom w:val="none" w:sz="0" w:space="0" w:color="auto"/>
                    <w:right w:val="none" w:sz="0" w:space="0" w:color="auto"/>
                  </w:divBdr>
                  <w:divsChild>
                    <w:div w:id="183317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953549">
      <w:bodyDiv w:val="1"/>
      <w:marLeft w:val="0"/>
      <w:marRight w:val="0"/>
      <w:marTop w:val="0"/>
      <w:marBottom w:val="0"/>
      <w:divBdr>
        <w:top w:val="none" w:sz="0" w:space="0" w:color="auto"/>
        <w:left w:val="none" w:sz="0" w:space="0" w:color="auto"/>
        <w:bottom w:val="none" w:sz="0" w:space="0" w:color="auto"/>
        <w:right w:val="none" w:sz="0" w:space="0" w:color="auto"/>
      </w:divBdr>
    </w:div>
    <w:div w:id="827863645">
      <w:bodyDiv w:val="1"/>
      <w:marLeft w:val="0"/>
      <w:marRight w:val="0"/>
      <w:marTop w:val="0"/>
      <w:marBottom w:val="0"/>
      <w:divBdr>
        <w:top w:val="none" w:sz="0" w:space="0" w:color="auto"/>
        <w:left w:val="none" w:sz="0" w:space="0" w:color="auto"/>
        <w:bottom w:val="none" w:sz="0" w:space="0" w:color="auto"/>
        <w:right w:val="none" w:sz="0" w:space="0" w:color="auto"/>
      </w:divBdr>
    </w:div>
    <w:div w:id="845553295">
      <w:bodyDiv w:val="1"/>
      <w:marLeft w:val="0"/>
      <w:marRight w:val="0"/>
      <w:marTop w:val="0"/>
      <w:marBottom w:val="0"/>
      <w:divBdr>
        <w:top w:val="none" w:sz="0" w:space="0" w:color="auto"/>
        <w:left w:val="none" w:sz="0" w:space="0" w:color="auto"/>
        <w:bottom w:val="none" w:sz="0" w:space="0" w:color="auto"/>
        <w:right w:val="none" w:sz="0" w:space="0" w:color="auto"/>
      </w:divBdr>
      <w:divsChild>
        <w:div w:id="1055201159">
          <w:marLeft w:val="0"/>
          <w:marRight w:val="0"/>
          <w:marTop w:val="0"/>
          <w:marBottom w:val="0"/>
          <w:divBdr>
            <w:top w:val="none" w:sz="0" w:space="0" w:color="auto"/>
            <w:left w:val="none" w:sz="0" w:space="0" w:color="auto"/>
            <w:bottom w:val="none" w:sz="0" w:space="0" w:color="auto"/>
            <w:right w:val="none" w:sz="0" w:space="0" w:color="auto"/>
          </w:divBdr>
          <w:divsChild>
            <w:div w:id="122190768">
              <w:marLeft w:val="0"/>
              <w:marRight w:val="0"/>
              <w:marTop w:val="0"/>
              <w:marBottom w:val="0"/>
              <w:divBdr>
                <w:top w:val="none" w:sz="0" w:space="0" w:color="auto"/>
                <w:left w:val="none" w:sz="0" w:space="0" w:color="auto"/>
                <w:bottom w:val="none" w:sz="0" w:space="0" w:color="auto"/>
                <w:right w:val="none" w:sz="0" w:space="0" w:color="auto"/>
              </w:divBdr>
              <w:divsChild>
                <w:div w:id="5597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1300">
      <w:bodyDiv w:val="1"/>
      <w:marLeft w:val="0"/>
      <w:marRight w:val="0"/>
      <w:marTop w:val="0"/>
      <w:marBottom w:val="0"/>
      <w:divBdr>
        <w:top w:val="none" w:sz="0" w:space="0" w:color="auto"/>
        <w:left w:val="none" w:sz="0" w:space="0" w:color="auto"/>
        <w:bottom w:val="none" w:sz="0" w:space="0" w:color="auto"/>
        <w:right w:val="none" w:sz="0" w:space="0" w:color="auto"/>
      </w:divBdr>
      <w:divsChild>
        <w:div w:id="1045519611">
          <w:marLeft w:val="0"/>
          <w:marRight w:val="0"/>
          <w:marTop w:val="0"/>
          <w:marBottom w:val="0"/>
          <w:divBdr>
            <w:top w:val="none" w:sz="0" w:space="0" w:color="auto"/>
            <w:left w:val="none" w:sz="0" w:space="0" w:color="auto"/>
            <w:bottom w:val="none" w:sz="0" w:space="0" w:color="auto"/>
            <w:right w:val="none" w:sz="0" w:space="0" w:color="auto"/>
          </w:divBdr>
          <w:divsChild>
            <w:div w:id="1021784766">
              <w:marLeft w:val="0"/>
              <w:marRight w:val="0"/>
              <w:marTop w:val="0"/>
              <w:marBottom w:val="0"/>
              <w:divBdr>
                <w:top w:val="none" w:sz="0" w:space="0" w:color="auto"/>
                <w:left w:val="none" w:sz="0" w:space="0" w:color="auto"/>
                <w:bottom w:val="none" w:sz="0" w:space="0" w:color="auto"/>
                <w:right w:val="none" w:sz="0" w:space="0" w:color="auto"/>
              </w:divBdr>
              <w:divsChild>
                <w:div w:id="872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245588">
      <w:bodyDiv w:val="1"/>
      <w:marLeft w:val="0"/>
      <w:marRight w:val="0"/>
      <w:marTop w:val="0"/>
      <w:marBottom w:val="0"/>
      <w:divBdr>
        <w:top w:val="none" w:sz="0" w:space="0" w:color="auto"/>
        <w:left w:val="none" w:sz="0" w:space="0" w:color="auto"/>
        <w:bottom w:val="none" w:sz="0" w:space="0" w:color="auto"/>
        <w:right w:val="none" w:sz="0" w:space="0" w:color="auto"/>
      </w:divBdr>
      <w:divsChild>
        <w:div w:id="1406756032">
          <w:marLeft w:val="0"/>
          <w:marRight w:val="0"/>
          <w:marTop w:val="0"/>
          <w:marBottom w:val="0"/>
          <w:divBdr>
            <w:top w:val="none" w:sz="0" w:space="0" w:color="auto"/>
            <w:left w:val="none" w:sz="0" w:space="0" w:color="auto"/>
            <w:bottom w:val="none" w:sz="0" w:space="0" w:color="auto"/>
            <w:right w:val="none" w:sz="0" w:space="0" w:color="auto"/>
          </w:divBdr>
          <w:divsChild>
            <w:div w:id="559246336">
              <w:marLeft w:val="0"/>
              <w:marRight w:val="0"/>
              <w:marTop w:val="0"/>
              <w:marBottom w:val="0"/>
              <w:divBdr>
                <w:top w:val="none" w:sz="0" w:space="0" w:color="auto"/>
                <w:left w:val="none" w:sz="0" w:space="0" w:color="auto"/>
                <w:bottom w:val="none" w:sz="0" w:space="0" w:color="auto"/>
                <w:right w:val="none" w:sz="0" w:space="0" w:color="auto"/>
              </w:divBdr>
              <w:divsChild>
                <w:div w:id="1346394950">
                  <w:marLeft w:val="0"/>
                  <w:marRight w:val="0"/>
                  <w:marTop w:val="0"/>
                  <w:marBottom w:val="0"/>
                  <w:divBdr>
                    <w:top w:val="none" w:sz="0" w:space="0" w:color="auto"/>
                    <w:left w:val="none" w:sz="0" w:space="0" w:color="auto"/>
                    <w:bottom w:val="none" w:sz="0" w:space="0" w:color="auto"/>
                    <w:right w:val="none" w:sz="0" w:space="0" w:color="auto"/>
                  </w:divBdr>
                  <w:divsChild>
                    <w:div w:id="19363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24740">
      <w:bodyDiv w:val="1"/>
      <w:marLeft w:val="0"/>
      <w:marRight w:val="0"/>
      <w:marTop w:val="0"/>
      <w:marBottom w:val="0"/>
      <w:divBdr>
        <w:top w:val="none" w:sz="0" w:space="0" w:color="auto"/>
        <w:left w:val="none" w:sz="0" w:space="0" w:color="auto"/>
        <w:bottom w:val="none" w:sz="0" w:space="0" w:color="auto"/>
        <w:right w:val="none" w:sz="0" w:space="0" w:color="auto"/>
      </w:divBdr>
    </w:div>
    <w:div w:id="875700116">
      <w:bodyDiv w:val="1"/>
      <w:marLeft w:val="0"/>
      <w:marRight w:val="0"/>
      <w:marTop w:val="0"/>
      <w:marBottom w:val="0"/>
      <w:divBdr>
        <w:top w:val="none" w:sz="0" w:space="0" w:color="auto"/>
        <w:left w:val="none" w:sz="0" w:space="0" w:color="auto"/>
        <w:bottom w:val="none" w:sz="0" w:space="0" w:color="auto"/>
        <w:right w:val="none" w:sz="0" w:space="0" w:color="auto"/>
      </w:divBdr>
    </w:div>
    <w:div w:id="878935094">
      <w:bodyDiv w:val="1"/>
      <w:marLeft w:val="0"/>
      <w:marRight w:val="0"/>
      <w:marTop w:val="0"/>
      <w:marBottom w:val="0"/>
      <w:divBdr>
        <w:top w:val="none" w:sz="0" w:space="0" w:color="auto"/>
        <w:left w:val="none" w:sz="0" w:space="0" w:color="auto"/>
        <w:bottom w:val="none" w:sz="0" w:space="0" w:color="auto"/>
        <w:right w:val="none" w:sz="0" w:space="0" w:color="auto"/>
      </w:divBdr>
    </w:div>
    <w:div w:id="880822928">
      <w:bodyDiv w:val="1"/>
      <w:marLeft w:val="0"/>
      <w:marRight w:val="0"/>
      <w:marTop w:val="0"/>
      <w:marBottom w:val="0"/>
      <w:divBdr>
        <w:top w:val="none" w:sz="0" w:space="0" w:color="auto"/>
        <w:left w:val="none" w:sz="0" w:space="0" w:color="auto"/>
        <w:bottom w:val="none" w:sz="0" w:space="0" w:color="auto"/>
        <w:right w:val="none" w:sz="0" w:space="0" w:color="auto"/>
      </w:divBdr>
    </w:div>
    <w:div w:id="887497224">
      <w:bodyDiv w:val="1"/>
      <w:marLeft w:val="0"/>
      <w:marRight w:val="0"/>
      <w:marTop w:val="0"/>
      <w:marBottom w:val="0"/>
      <w:divBdr>
        <w:top w:val="none" w:sz="0" w:space="0" w:color="auto"/>
        <w:left w:val="none" w:sz="0" w:space="0" w:color="auto"/>
        <w:bottom w:val="none" w:sz="0" w:space="0" w:color="auto"/>
        <w:right w:val="none" w:sz="0" w:space="0" w:color="auto"/>
      </w:divBdr>
      <w:divsChild>
        <w:div w:id="1219129176">
          <w:marLeft w:val="0"/>
          <w:marRight w:val="0"/>
          <w:marTop w:val="0"/>
          <w:marBottom w:val="0"/>
          <w:divBdr>
            <w:top w:val="none" w:sz="0" w:space="0" w:color="auto"/>
            <w:left w:val="none" w:sz="0" w:space="0" w:color="auto"/>
            <w:bottom w:val="none" w:sz="0" w:space="0" w:color="auto"/>
            <w:right w:val="none" w:sz="0" w:space="0" w:color="auto"/>
          </w:divBdr>
          <w:divsChild>
            <w:div w:id="1651981101">
              <w:marLeft w:val="0"/>
              <w:marRight w:val="0"/>
              <w:marTop w:val="0"/>
              <w:marBottom w:val="0"/>
              <w:divBdr>
                <w:top w:val="none" w:sz="0" w:space="0" w:color="auto"/>
                <w:left w:val="none" w:sz="0" w:space="0" w:color="auto"/>
                <w:bottom w:val="none" w:sz="0" w:space="0" w:color="auto"/>
                <w:right w:val="none" w:sz="0" w:space="0" w:color="auto"/>
              </w:divBdr>
              <w:divsChild>
                <w:div w:id="1160074805">
                  <w:marLeft w:val="0"/>
                  <w:marRight w:val="0"/>
                  <w:marTop w:val="0"/>
                  <w:marBottom w:val="0"/>
                  <w:divBdr>
                    <w:top w:val="none" w:sz="0" w:space="0" w:color="auto"/>
                    <w:left w:val="none" w:sz="0" w:space="0" w:color="auto"/>
                    <w:bottom w:val="none" w:sz="0" w:space="0" w:color="auto"/>
                    <w:right w:val="none" w:sz="0" w:space="0" w:color="auto"/>
                  </w:divBdr>
                  <w:divsChild>
                    <w:div w:id="165093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997123">
      <w:bodyDiv w:val="1"/>
      <w:marLeft w:val="0"/>
      <w:marRight w:val="0"/>
      <w:marTop w:val="0"/>
      <w:marBottom w:val="0"/>
      <w:divBdr>
        <w:top w:val="none" w:sz="0" w:space="0" w:color="auto"/>
        <w:left w:val="none" w:sz="0" w:space="0" w:color="auto"/>
        <w:bottom w:val="none" w:sz="0" w:space="0" w:color="auto"/>
        <w:right w:val="none" w:sz="0" w:space="0" w:color="auto"/>
      </w:divBdr>
      <w:divsChild>
        <w:div w:id="1558467017">
          <w:marLeft w:val="0"/>
          <w:marRight w:val="0"/>
          <w:marTop w:val="0"/>
          <w:marBottom w:val="0"/>
          <w:divBdr>
            <w:top w:val="none" w:sz="0" w:space="0" w:color="auto"/>
            <w:left w:val="none" w:sz="0" w:space="0" w:color="auto"/>
            <w:bottom w:val="none" w:sz="0" w:space="0" w:color="auto"/>
            <w:right w:val="none" w:sz="0" w:space="0" w:color="auto"/>
          </w:divBdr>
          <w:divsChild>
            <w:div w:id="563756159">
              <w:marLeft w:val="0"/>
              <w:marRight w:val="0"/>
              <w:marTop w:val="0"/>
              <w:marBottom w:val="0"/>
              <w:divBdr>
                <w:top w:val="none" w:sz="0" w:space="0" w:color="auto"/>
                <w:left w:val="none" w:sz="0" w:space="0" w:color="auto"/>
                <w:bottom w:val="none" w:sz="0" w:space="0" w:color="auto"/>
                <w:right w:val="none" w:sz="0" w:space="0" w:color="auto"/>
              </w:divBdr>
              <w:divsChild>
                <w:div w:id="1082994609">
                  <w:marLeft w:val="0"/>
                  <w:marRight w:val="0"/>
                  <w:marTop w:val="0"/>
                  <w:marBottom w:val="0"/>
                  <w:divBdr>
                    <w:top w:val="none" w:sz="0" w:space="0" w:color="auto"/>
                    <w:left w:val="none" w:sz="0" w:space="0" w:color="auto"/>
                    <w:bottom w:val="none" w:sz="0" w:space="0" w:color="auto"/>
                    <w:right w:val="none" w:sz="0" w:space="0" w:color="auto"/>
                  </w:divBdr>
                  <w:divsChild>
                    <w:div w:id="10599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48959">
      <w:bodyDiv w:val="1"/>
      <w:marLeft w:val="0"/>
      <w:marRight w:val="0"/>
      <w:marTop w:val="0"/>
      <w:marBottom w:val="0"/>
      <w:divBdr>
        <w:top w:val="none" w:sz="0" w:space="0" w:color="auto"/>
        <w:left w:val="none" w:sz="0" w:space="0" w:color="auto"/>
        <w:bottom w:val="none" w:sz="0" w:space="0" w:color="auto"/>
        <w:right w:val="none" w:sz="0" w:space="0" w:color="auto"/>
      </w:divBdr>
      <w:divsChild>
        <w:div w:id="2144763264">
          <w:marLeft w:val="0"/>
          <w:marRight w:val="0"/>
          <w:marTop w:val="0"/>
          <w:marBottom w:val="0"/>
          <w:divBdr>
            <w:top w:val="none" w:sz="0" w:space="0" w:color="auto"/>
            <w:left w:val="none" w:sz="0" w:space="0" w:color="auto"/>
            <w:bottom w:val="none" w:sz="0" w:space="0" w:color="auto"/>
            <w:right w:val="none" w:sz="0" w:space="0" w:color="auto"/>
          </w:divBdr>
          <w:divsChild>
            <w:div w:id="1990012594">
              <w:marLeft w:val="0"/>
              <w:marRight w:val="0"/>
              <w:marTop w:val="0"/>
              <w:marBottom w:val="0"/>
              <w:divBdr>
                <w:top w:val="none" w:sz="0" w:space="0" w:color="auto"/>
                <w:left w:val="none" w:sz="0" w:space="0" w:color="auto"/>
                <w:bottom w:val="none" w:sz="0" w:space="0" w:color="auto"/>
                <w:right w:val="none" w:sz="0" w:space="0" w:color="auto"/>
              </w:divBdr>
              <w:divsChild>
                <w:div w:id="1039479701">
                  <w:marLeft w:val="0"/>
                  <w:marRight w:val="0"/>
                  <w:marTop w:val="0"/>
                  <w:marBottom w:val="0"/>
                  <w:divBdr>
                    <w:top w:val="none" w:sz="0" w:space="0" w:color="auto"/>
                    <w:left w:val="none" w:sz="0" w:space="0" w:color="auto"/>
                    <w:bottom w:val="none" w:sz="0" w:space="0" w:color="auto"/>
                    <w:right w:val="none" w:sz="0" w:space="0" w:color="auto"/>
                  </w:divBdr>
                  <w:divsChild>
                    <w:div w:id="9445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928416">
      <w:bodyDiv w:val="1"/>
      <w:marLeft w:val="0"/>
      <w:marRight w:val="0"/>
      <w:marTop w:val="0"/>
      <w:marBottom w:val="0"/>
      <w:divBdr>
        <w:top w:val="none" w:sz="0" w:space="0" w:color="auto"/>
        <w:left w:val="none" w:sz="0" w:space="0" w:color="auto"/>
        <w:bottom w:val="none" w:sz="0" w:space="0" w:color="auto"/>
        <w:right w:val="none" w:sz="0" w:space="0" w:color="auto"/>
      </w:divBdr>
      <w:divsChild>
        <w:div w:id="2145539029">
          <w:marLeft w:val="547"/>
          <w:marRight w:val="0"/>
          <w:marTop w:val="0"/>
          <w:marBottom w:val="0"/>
          <w:divBdr>
            <w:top w:val="none" w:sz="0" w:space="0" w:color="auto"/>
            <w:left w:val="none" w:sz="0" w:space="0" w:color="auto"/>
            <w:bottom w:val="none" w:sz="0" w:space="0" w:color="auto"/>
            <w:right w:val="none" w:sz="0" w:space="0" w:color="auto"/>
          </w:divBdr>
        </w:div>
      </w:divsChild>
    </w:div>
    <w:div w:id="931858709">
      <w:bodyDiv w:val="1"/>
      <w:marLeft w:val="0"/>
      <w:marRight w:val="0"/>
      <w:marTop w:val="0"/>
      <w:marBottom w:val="0"/>
      <w:divBdr>
        <w:top w:val="none" w:sz="0" w:space="0" w:color="auto"/>
        <w:left w:val="none" w:sz="0" w:space="0" w:color="auto"/>
        <w:bottom w:val="none" w:sz="0" w:space="0" w:color="auto"/>
        <w:right w:val="none" w:sz="0" w:space="0" w:color="auto"/>
      </w:divBdr>
      <w:divsChild>
        <w:div w:id="1806269643">
          <w:marLeft w:val="0"/>
          <w:marRight w:val="0"/>
          <w:marTop w:val="0"/>
          <w:marBottom w:val="0"/>
          <w:divBdr>
            <w:top w:val="none" w:sz="0" w:space="0" w:color="auto"/>
            <w:left w:val="none" w:sz="0" w:space="0" w:color="auto"/>
            <w:bottom w:val="none" w:sz="0" w:space="0" w:color="auto"/>
            <w:right w:val="none" w:sz="0" w:space="0" w:color="auto"/>
          </w:divBdr>
          <w:divsChild>
            <w:div w:id="811748634">
              <w:marLeft w:val="0"/>
              <w:marRight w:val="0"/>
              <w:marTop w:val="0"/>
              <w:marBottom w:val="0"/>
              <w:divBdr>
                <w:top w:val="none" w:sz="0" w:space="0" w:color="auto"/>
                <w:left w:val="none" w:sz="0" w:space="0" w:color="auto"/>
                <w:bottom w:val="none" w:sz="0" w:space="0" w:color="auto"/>
                <w:right w:val="none" w:sz="0" w:space="0" w:color="auto"/>
              </w:divBdr>
              <w:divsChild>
                <w:div w:id="20630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12521">
      <w:bodyDiv w:val="1"/>
      <w:marLeft w:val="0"/>
      <w:marRight w:val="0"/>
      <w:marTop w:val="0"/>
      <w:marBottom w:val="0"/>
      <w:divBdr>
        <w:top w:val="none" w:sz="0" w:space="0" w:color="auto"/>
        <w:left w:val="none" w:sz="0" w:space="0" w:color="auto"/>
        <w:bottom w:val="none" w:sz="0" w:space="0" w:color="auto"/>
        <w:right w:val="none" w:sz="0" w:space="0" w:color="auto"/>
      </w:divBdr>
    </w:div>
    <w:div w:id="943226177">
      <w:bodyDiv w:val="1"/>
      <w:marLeft w:val="0"/>
      <w:marRight w:val="0"/>
      <w:marTop w:val="0"/>
      <w:marBottom w:val="0"/>
      <w:divBdr>
        <w:top w:val="none" w:sz="0" w:space="0" w:color="auto"/>
        <w:left w:val="none" w:sz="0" w:space="0" w:color="auto"/>
        <w:bottom w:val="none" w:sz="0" w:space="0" w:color="auto"/>
        <w:right w:val="none" w:sz="0" w:space="0" w:color="auto"/>
      </w:divBdr>
      <w:divsChild>
        <w:div w:id="124278568">
          <w:marLeft w:val="0"/>
          <w:marRight w:val="0"/>
          <w:marTop w:val="0"/>
          <w:marBottom w:val="0"/>
          <w:divBdr>
            <w:top w:val="none" w:sz="0" w:space="0" w:color="auto"/>
            <w:left w:val="none" w:sz="0" w:space="0" w:color="auto"/>
            <w:bottom w:val="none" w:sz="0" w:space="0" w:color="auto"/>
            <w:right w:val="none" w:sz="0" w:space="0" w:color="auto"/>
          </w:divBdr>
          <w:divsChild>
            <w:div w:id="255404952">
              <w:marLeft w:val="0"/>
              <w:marRight w:val="0"/>
              <w:marTop w:val="0"/>
              <w:marBottom w:val="0"/>
              <w:divBdr>
                <w:top w:val="none" w:sz="0" w:space="0" w:color="auto"/>
                <w:left w:val="none" w:sz="0" w:space="0" w:color="auto"/>
                <w:bottom w:val="none" w:sz="0" w:space="0" w:color="auto"/>
                <w:right w:val="none" w:sz="0" w:space="0" w:color="auto"/>
              </w:divBdr>
              <w:divsChild>
                <w:div w:id="9493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5916">
      <w:bodyDiv w:val="1"/>
      <w:marLeft w:val="0"/>
      <w:marRight w:val="0"/>
      <w:marTop w:val="0"/>
      <w:marBottom w:val="0"/>
      <w:divBdr>
        <w:top w:val="none" w:sz="0" w:space="0" w:color="auto"/>
        <w:left w:val="none" w:sz="0" w:space="0" w:color="auto"/>
        <w:bottom w:val="none" w:sz="0" w:space="0" w:color="auto"/>
        <w:right w:val="none" w:sz="0" w:space="0" w:color="auto"/>
      </w:divBdr>
    </w:div>
    <w:div w:id="973024639">
      <w:bodyDiv w:val="1"/>
      <w:marLeft w:val="0"/>
      <w:marRight w:val="0"/>
      <w:marTop w:val="0"/>
      <w:marBottom w:val="0"/>
      <w:divBdr>
        <w:top w:val="none" w:sz="0" w:space="0" w:color="auto"/>
        <w:left w:val="none" w:sz="0" w:space="0" w:color="auto"/>
        <w:bottom w:val="none" w:sz="0" w:space="0" w:color="auto"/>
        <w:right w:val="none" w:sz="0" w:space="0" w:color="auto"/>
      </w:divBdr>
      <w:divsChild>
        <w:div w:id="1573202081">
          <w:marLeft w:val="0"/>
          <w:marRight w:val="0"/>
          <w:marTop w:val="0"/>
          <w:marBottom w:val="0"/>
          <w:divBdr>
            <w:top w:val="none" w:sz="0" w:space="0" w:color="auto"/>
            <w:left w:val="none" w:sz="0" w:space="0" w:color="auto"/>
            <w:bottom w:val="none" w:sz="0" w:space="0" w:color="auto"/>
            <w:right w:val="none" w:sz="0" w:space="0" w:color="auto"/>
          </w:divBdr>
          <w:divsChild>
            <w:div w:id="1140611364">
              <w:marLeft w:val="0"/>
              <w:marRight w:val="0"/>
              <w:marTop w:val="0"/>
              <w:marBottom w:val="0"/>
              <w:divBdr>
                <w:top w:val="none" w:sz="0" w:space="0" w:color="auto"/>
                <w:left w:val="none" w:sz="0" w:space="0" w:color="auto"/>
                <w:bottom w:val="none" w:sz="0" w:space="0" w:color="auto"/>
                <w:right w:val="none" w:sz="0" w:space="0" w:color="auto"/>
              </w:divBdr>
              <w:divsChild>
                <w:div w:id="1165823079">
                  <w:marLeft w:val="0"/>
                  <w:marRight w:val="0"/>
                  <w:marTop w:val="0"/>
                  <w:marBottom w:val="0"/>
                  <w:divBdr>
                    <w:top w:val="none" w:sz="0" w:space="0" w:color="auto"/>
                    <w:left w:val="none" w:sz="0" w:space="0" w:color="auto"/>
                    <w:bottom w:val="none" w:sz="0" w:space="0" w:color="auto"/>
                    <w:right w:val="none" w:sz="0" w:space="0" w:color="auto"/>
                  </w:divBdr>
                  <w:divsChild>
                    <w:div w:id="64285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50733">
      <w:bodyDiv w:val="1"/>
      <w:marLeft w:val="0"/>
      <w:marRight w:val="0"/>
      <w:marTop w:val="0"/>
      <w:marBottom w:val="0"/>
      <w:divBdr>
        <w:top w:val="none" w:sz="0" w:space="0" w:color="auto"/>
        <w:left w:val="none" w:sz="0" w:space="0" w:color="auto"/>
        <w:bottom w:val="none" w:sz="0" w:space="0" w:color="auto"/>
        <w:right w:val="none" w:sz="0" w:space="0" w:color="auto"/>
      </w:divBdr>
      <w:divsChild>
        <w:div w:id="1141113941">
          <w:marLeft w:val="0"/>
          <w:marRight w:val="0"/>
          <w:marTop w:val="0"/>
          <w:marBottom w:val="0"/>
          <w:divBdr>
            <w:top w:val="none" w:sz="0" w:space="0" w:color="auto"/>
            <w:left w:val="none" w:sz="0" w:space="0" w:color="auto"/>
            <w:bottom w:val="none" w:sz="0" w:space="0" w:color="auto"/>
            <w:right w:val="none" w:sz="0" w:space="0" w:color="auto"/>
          </w:divBdr>
          <w:divsChild>
            <w:div w:id="2013796102">
              <w:marLeft w:val="0"/>
              <w:marRight w:val="0"/>
              <w:marTop w:val="0"/>
              <w:marBottom w:val="0"/>
              <w:divBdr>
                <w:top w:val="none" w:sz="0" w:space="0" w:color="auto"/>
                <w:left w:val="none" w:sz="0" w:space="0" w:color="auto"/>
                <w:bottom w:val="none" w:sz="0" w:space="0" w:color="auto"/>
                <w:right w:val="none" w:sz="0" w:space="0" w:color="auto"/>
              </w:divBdr>
              <w:divsChild>
                <w:div w:id="10544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72884">
      <w:bodyDiv w:val="1"/>
      <w:marLeft w:val="0"/>
      <w:marRight w:val="0"/>
      <w:marTop w:val="0"/>
      <w:marBottom w:val="0"/>
      <w:divBdr>
        <w:top w:val="none" w:sz="0" w:space="0" w:color="auto"/>
        <w:left w:val="none" w:sz="0" w:space="0" w:color="auto"/>
        <w:bottom w:val="none" w:sz="0" w:space="0" w:color="auto"/>
        <w:right w:val="none" w:sz="0" w:space="0" w:color="auto"/>
      </w:divBdr>
    </w:div>
    <w:div w:id="994601044">
      <w:bodyDiv w:val="1"/>
      <w:marLeft w:val="0"/>
      <w:marRight w:val="0"/>
      <w:marTop w:val="0"/>
      <w:marBottom w:val="0"/>
      <w:divBdr>
        <w:top w:val="none" w:sz="0" w:space="0" w:color="auto"/>
        <w:left w:val="none" w:sz="0" w:space="0" w:color="auto"/>
        <w:bottom w:val="none" w:sz="0" w:space="0" w:color="auto"/>
        <w:right w:val="none" w:sz="0" w:space="0" w:color="auto"/>
      </w:divBdr>
    </w:div>
    <w:div w:id="998267743">
      <w:bodyDiv w:val="1"/>
      <w:marLeft w:val="0"/>
      <w:marRight w:val="0"/>
      <w:marTop w:val="0"/>
      <w:marBottom w:val="0"/>
      <w:divBdr>
        <w:top w:val="none" w:sz="0" w:space="0" w:color="auto"/>
        <w:left w:val="none" w:sz="0" w:space="0" w:color="auto"/>
        <w:bottom w:val="none" w:sz="0" w:space="0" w:color="auto"/>
        <w:right w:val="none" w:sz="0" w:space="0" w:color="auto"/>
      </w:divBdr>
      <w:divsChild>
        <w:div w:id="900286440">
          <w:marLeft w:val="0"/>
          <w:marRight w:val="0"/>
          <w:marTop w:val="0"/>
          <w:marBottom w:val="0"/>
          <w:divBdr>
            <w:top w:val="none" w:sz="0" w:space="0" w:color="auto"/>
            <w:left w:val="none" w:sz="0" w:space="0" w:color="auto"/>
            <w:bottom w:val="none" w:sz="0" w:space="0" w:color="auto"/>
            <w:right w:val="none" w:sz="0" w:space="0" w:color="auto"/>
          </w:divBdr>
          <w:divsChild>
            <w:div w:id="1622493207">
              <w:marLeft w:val="0"/>
              <w:marRight w:val="0"/>
              <w:marTop w:val="0"/>
              <w:marBottom w:val="0"/>
              <w:divBdr>
                <w:top w:val="none" w:sz="0" w:space="0" w:color="auto"/>
                <w:left w:val="none" w:sz="0" w:space="0" w:color="auto"/>
                <w:bottom w:val="none" w:sz="0" w:space="0" w:color="auto"/>
                <w:right w:val="none" w:sz="0" w:space="0" w:color="auto"/>
              </w:divBdr>
              <w:divsChild>
                <w:div w:id="1781559256">
                  <w:marLeft w:val="0"/>
                  <w:marRight w:val="0"/>
                  <w:marTop w:val="0"/>
                  <w:marBottom w:val="0"/>
                  <w:divBdr>
                    <w:top w:val="none" w:sz="0" w:space="0" w:color="auto"/>
                    <w:left w:val="none" w:sz="0" w:space="0" w:color="auto"/>
                    <w:bottom w:val="none" w:sz="0" w:space="0" w:color="auto"/>
                    <w:right w:val="none" w:sz="0" w:space="0" w:color="auto"/>
                  </w:divBdr>
                  <w:divsChild>
                    <w:div w:id="1316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108263">
      <w:bodyDiv w:val="1"/>
      <w:marLeft w:val="0"/>
      <w:marRight w:val="0"/>
      <w:marTop w:val="0"/>
      <w:marBottom w:val="0"/>
      <w:divBdr>
        <w:top w:val="none" w:sz="0" w:space="0" w:color="auto"/>
        <w:left w:val="none" w:sz="0" w:space="0" w:color="auto"/>
        <w:bottom w:val="none" w:sz="0" w:space="0" w:color="auto"/>
        <w:right w:val="none" w:sz="0" w:space="0" w:color="auto"/>
      </w:divBdr>
    </w:div>
    <w:div w:id="1010377468">
      <w:bodyDiv w:val="1"/>
      <w:marLeft w:val="0"/>
      <w:marRight w:val="0"/>
      <w:marTop w:val="0"/>
      <w:marBottom w:val="0"/>
      <w:divBdr>
        <w:top w:val="none" w:sz="0" w:space="0" w:color="auto"/>
        <w:left w:val="none" w:sz="0" w:space="0" w:color="auto"/>
        <w:bottom w:val="none" w:sz="0" w:space="0" w:color="auto"/>
        <w:right w:val="none" w:sz="0" w:space="0" w:color="auto"/>
      </w:divBdr>
      <w:divsChild>
        <w:div w:id="1766993541">
          <w:marLeft w:val="0"/>
          <w:marRight w:val="0"/>
          <w:marTop w:val="0"/>
          <w:marBottom w:val="0"/>
          <w:divBdr>
            <w:top w:val="none" w:sz="0" w:space="0" w:color="auto"/>
            <w:left w:val="none" w:sz="0" w:space="0" w:color="auto"/>
            <w:bottom w:val="none" w:sz="0" w:space="0" w:color="auto"/>
            <w:right w:val="none" w:sz="0" w:space="0" w:color="auto"/>
          </w:divBdr>
          <w:divsChild>
            <w:div w:id="2038503458">
              <w:marLeft w:val="0"/>
              <w:marRight w:val="0"/>
              <w:marTop w:val="0"/>
              <w:marBottom w:val="0"/>
              <w:divBdr>
                <w:top w:val="none" w:sz="0" w:space="0" w:color="auto"/>
                <w:left w:val="none" w:sz="0" w:space="0" w:color="auto"/>
                <w:bottom w:val="none" w:sz="0" w:space="0" w:color="auto"/>
                <w:right w:val="none" w:sz="0" w:space="0" w:color="auto"/>
              </w:divBdr>
              <w:divsChild>
                <w:div w:id="17638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0611">
      <w:bodyDiv w:val="1"/>
      <w:marLeft w:val="0"/>
      <w:marRight w:val="0"/>
      <w:marTop w:val="0"/>
      <w:marBottom w:val="0"/>
      <w:divBdr>
        <w:top w:val="none" w:sz="0" w:space="0" w:color="auto"/>
        <w:left w:val="none" w:sz="0" w:space="0" w:color="auto"/>
        <w:bottom w:val="none" w:sz="0" w:space="0" w:color="auto"/>
        <w:right w:val="none" w:sz="0" w:space="0" w:color="auto"/>
      </w:divBdr>
      <w:divsChild>
        <w:div w:id="1522938792">
          <w:marLeft w:val="0"/>
          <w:marRight w:val="0"/>
          <w:marTop w:val="0"/>
          <w:marBottom w:val="0"/>
          <w:divBdr>
            <w:top w:val="none" w:sz="0" w:space="0" w:color="auto"/>
            <w:left w:val="none" w:sz="0" w:space="0" w:color="auto"/>
            <w:bottom w:val="none" w:sz="0" w:space="0" w:color="auto"/>
            <w:right w:val="none" w:sz="0" w:space="0" w:color="auto"/>
          </w:divBdr>
          <w:divsChild>
            <w:div w:id="1481456873">
              <w:marLeft w:val="0"/>
              <w:marRight w:val="0"/>
              <w:marTop w:val="0"/>
              <w:marBottom w:val="0"/>
              <w:divBdr>
                <w:top w:val="none" w:sz="0" w:space="0" w:color="auto"/>
                <w:left w:val="none" w:sz="0" w:space="0" w:color="auto"/>
                <w:bottom w:val="none" w:sz="0" w:space="0" w:color="auto"/>
                <w:right w:val="none" w:sz="0" w:space="0" w:color="auto"/>
              </w:divBdr>
              <w:divsChild>
                <w:div w:id="1999116749">
                  <w:marLeft w:val="0"/>
                  <w:marRight w:val="0"/>
                  <w:marTop w:val="0"/>
                  <w:marBottom w:val="0"/>
                  <w:divBdr>
                    <w:top w:val="none" w:sz="0" w:space="0" w:color="auto"/>
                    <w:left w:val="none" w:sz="0" w:space="0" w:color="auto"/>
                    <w:bottom w:val="none" w:sz="0" w:space="0" w:color="auto"/>
                    <w:right w:val="none" w:sz="0" w:space="0" w:color="auto"/>
                  </w:divBdr>
                  <w:divsChild>
                    <w:div w:id="18560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70382">
      <w:bodyDiv w:val="1"/>
      <w:marLeft w:val="0"/>
      <w:marRight w:val="0"/>
      <w:marTop w:val="0"/>
      <w:marBottom w:val="0"/>
      <w:divBdr>
        <w:top w:val="none" w:sz="0" w:space="0" w:color="auto"/>
        <w:left w:val="none" w:sz="0" w:space="0" w:color="auto"/>
        <w:bottom w:val="none" w:sz="0" w:space="0" w:color="auto"/>
        <w:right w:val="none" w:sz="0" w:space="0" w:color="auto"/>
      </w:divBdr>
      <w:divsChild>
        <w:div w:id="1120298643">
          <w:marLeft w:val="0"/>
          <w:marRight w:val="0"/>
          <w:marTop w:val="0"/>
          <w:marBottom w:val="0"/>
          <w:divBdr>
            <w:top w:val="none" w:sz="0" w:space="0" w:color="auto"/>
            <w:left w:val="none" w:sz="0" w:space="0" w:color="auto"/>
            <w:bottom w:val="none" w:sz="0" w:space="0" w:color="auto"/>
            <w:right w:val="none" w:sz="0" w:space="0" w:color="auto"/>
          </w:divBdr>
          <w:divsChild>
            <w:div w:id="929965874">
              <w:marLeft w:val="0"/>
              <w:marRight w:val="0"/>
              <w:marTop w:val="0"/>
              <w:marBottom w:val="0"/>
              <w:divBdr>
                <w:top w:val="none" w:sz="0" w:space="0" w:color="auto"/>
                <w:left w:val="none" w:sz="0" w:space="0" w:color="auto"/>
                <w:bottom w:val="none" w:sz="0" w:space="0" w:color="auto"/>
                <w:right w:val="none" w:sz="0" w:space="0" w:color="auto"/>
              </w:divBdr>
              <w:divsChild>
                <w:div w:id="248664425">
                  <w:marLeft w:val="0"/>
                  <w:marRight w:val="0"/>
                  <w:marTop w:val="0"/>
                  <w:marBottom w:val="0"/>
                  <w:divBdr>
                    <w:top w:val="none" w:sz="0" w:space="0" w:color="auto"/>
                    <w:left w:val="none" w:sz="0" w:space="0" w:color="auto"/>
                    <w:bottom w:val="none" w:sz="0" w:space="0" w:color="auto"/>
                    <w:right w:val="none" w:sz="0" w:space="0" w:color="auto"/>
                  </w:divBdr>
                  <w:divsChild>
                    <w:div w:id="19274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468908">
      <w:bodyDiv w:val="1"/>
      <w:marLeft w:val="0"/>
      <w:marRight w:val="0"/>
      <w:marTop w:val="0"/>
      <w:marBottom w:val="0"/>
      <w:divBdr>
        <w:top w:val="none" w:sz="0" w:space="0" w:color="auto"/>
        <w:left w:val="none" w:sz="0" w:space="0" w:color="auto"/>
        <w:bottom w:val="none" w:sz="0" w:space="0" w:color="auto"/>
        <w:right w:val="none" w:sz="0" w:space="0" w:color="auto"/>
      </w:divBdr>
      <w:divsChild>
        <w:div w:id="2134211307">
          <w:marLeft w:val="0"/>
          <w:marRight w:val="0"/>
          <w:marTop w:val="0"/>
          <w:marBottom w:val="0"/>
          <w:divBdr>
            <w:top w:val="none" w:sz="0" w:space="0" w:color="auto"/>
            <w:left w:val="none" w:sz="0" w:space="0" w:color="auto"/>
            <w:bottom w:val="none" w:sz="0" w:space="0" w:color="auto"/>
            <w:right w:val="none" w:sz="0" w:space="0" w:color="auto"/>
          </w:divBdr>
          <w:divsChild>
            <w:div w:id="1316254011">
              <w:marLeft w:val="0"/>
              <w:marRight w:val="0"/>
              <w:marTop w:val="0"/>
              <w:marBottom w:val="0"/>
              <w:divBdr>
                <w:top w:val="none" w:sz="0" w:space="0" w:color="auto"/>
                <w:left w:val="none" w:sz="0" w:space="0" w:color="auto"/>
                <w:bottom w:val="none" w:sz="0" w:space="0" w:color="auto"/>
                <w:right w:val="none" w:sz="0" w:space="0" w:color="auto"/>
              </w:divBdr>
              <w:divsChild>
                <w:div w:id="14710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88002">
      <w:bodyDiv w:val="1"/>
      <w:marLeft w:val="0"/>
      <w:marRight w:val="0"/>
      <w:marTop w:val="0"/>
      <w:marBottom w:val="0"/>
      <w:divBdr>
        <w:top w:val="none" w:sz="0" w:space="0" w:color="auto"/>
        <w:left w:val="none" w:sz="0" w:space="0" w:color="auto"/>
        <w:bottom w:val="none" w:sz="0" w:space="0" w:color="auto"/>
        <w:right w:val="none" w:sz="0" w:space="0" w:color="auto"/>
      </w:divBdr>
    </w:div>
    <w:div w:id="1042705631">
      <w:bodyDiv w:val="1"/>
      <w:marLeft w:val="0"/>
      <w:marRight w:val="0"/>
      <w:marTop w:val="0"/>
      <w:marBottom w:val="0"/>
      <w:divBdr>
        <w:top w:val="none" w:sz="0" w:space="0" w:color="auto"/>
        <w:left w:val="none" w:sz="0" w:space="0" w:color="auto"/>
        <w:bottom w:val="none" w:sz="0" w:space="0" w:color="auto"/>
        <w:right w:val="none" w:sz="0" w:space="0" w:color="auto"/>
      </w:divBdr>
    </w:div>
    <w:div w:id="1049107075">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7">
          <w:marLeft w:val="0"/>
          <w:marRight w:val="0"/>
          <w:marTop w:val="0"/>
          <w:marBottom w:val="0"/>
          <w:divBdr>
            <w:top w:val="none" w:sz="0" w:space="0" w:color="auto"/>
            <w:left w:val="none" w:sz="0" w:space="0" w:color="auto"/>
            <w:bottom w:val="none" w:sz="0" w:space="0" w:color="auto"/>
            <w:right w:val="none" w:sz="0" w:space="0" w:color="auto"/>
          </w:divBdr>
          <w:divsChild>
            <w:div w:id="1735077711">
              <w:marLeft w:val="0"/>
              <w:marRight w:val="0"/>
              <w:marTop w:val="0"/>
              <w:marBottom w:val="0"/>
              <w:divBdr>
                <w:top w:val="none" w:sz="0" w:space="0" w:color="auto"/>
                <w:left w:val="none" w:sz="0" w:space="0" w:color="auto"/>
                <w:bottom w:val="none" w:sz="0" w:space="0" w:color="auto"/>
                <w:right w:val="none" w:sz="0" w:space="0" w:color="auto"/>
              </w:divBdr>
              <w:divsChild>
                <w:div w:id="61617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69037">
      <w:bodyDiv w:val="1"/>
      <w:marLeft w:val="0"/>
      <w:marRight w:val="0"/>
      <w:marTop w:val="0"/>
      <w:marBottom w:val="0"/>
      <w:divBdr>
        <w:top w:val="none" w:sz="0" w:space="0" w:color="auto"/>
        <w:left w:val="none" w:sz="0" w:space="0" w:color="auto"/>
        <w:bottom w:val="none" w:sz="0" w:space="0" w:color="auto"/>
        <w:right w:val="none" w:sz="0" w:space="0" w:color="auto"/>
      </w:divBdr>
    </w:div>
    <w:div w:id="1060832912">
      <w:bodyDiv w:val="1"/>
      <w:marLeft w:val="0"/>
      <w:marRight w:val="0"/>
      <w:marTop w:val="0"/>
      <w:marBottom w:val="0"/>
      <w:divBdr>
        <w:top w:val="none" w:sz="0" w:space="0" w:color="auto"/>
        <w:left w:val="none" w:sz="0" w:space="0" w:color="auto"/>
        <w:bottom w:val="none" w:sz="0" w:space="0" w:color="auto"/>
        <w:right w:val="none" w:sz="0" w:space="0" w:color="auto"/>
      </w:divBdr>
      <w:divsChild>
        <w:div w:id="1949972762">
          <w:marLeft w:val="0"/>
          <w:marRight w:val="0"/>
          <w:marTop w:val="0"/>
          <w:marBottom w:val="0"/>
          <w:divBdr>
            <w:top w:val="none" w:sz="0" w:space="0" w:color="auto"/>
            <w:left w:val="none" w:sz="0" w:space="0" w:color="auto"/>
            <w:bottom w:val="none" w:sz="0" w:space="0" w:color="auto"/>
            <w:right w:val="none" w:sz="0" w:space="0" w:color="auto"/>
          </w:divBdr>
          <w:divsChild>
            <w:div w:id="1305700289">
              <w:marLeft w:val="0"/>
              <w:marRight w:val="0"/>
              <w:marTop w:val="0"/>
              <w:marBottom w:val="0"/>
              <w:divBdr>
                <w:top w:val="none" w:sz="0" w:space="0" w:color="auto"/>
                <w:left w:val="none" w:sz="0" w:space="0" w:color="auto"/>
                <w:bottom w:val="none" w:sz="0" w:space="0" w:color="auto"/>
                <w:right w:val="none" w:sz="0" w:space="0" w:color="auto"/>
              </w:divBdr>
              <w:divsChild>
                <w:div w:id="5547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2015">
      <w:bodyDiv w:val="1"/>
      <w:marLeft w:val="0"/>
      <w:marRight w:val="0"/>
      <w:marTop w:val="0"/>
      <w:marBottom w:val="0"/>
      <w:divBdr>
        <w:top w:val="none" w:sz="0" w:space="0" w:color="auto"/>
        <w:left w:val="none" w:sz="0" w:space="0" w:color="auto"/>
        <w:bottom w:val="none" w:sz="0" w:space="0" w:color="auto"/>
        <w:right w:val="none" w:sz="0" w:space="0" w:color="auto"/>
      </w:divBdr>
      <w:divsChild>
        <w:div w:id="1962573574">
          <w:marLeft w:val="0"/>
          <w:marRight w:val="0"/>
          <w:marTop w:val="0"/>
          <w:marBottom w:val="0"/>
          <w:divBdr>
            <w:top w:val="none" w:sz="0" w:space="0" w:color="auto"/>
            <w:left w:val="none" w:sz="0" w:space="0" w:color="auto"/>
            <w:bottom w:val="none" w:sz="0" w:space="0" w:color="auto"/>
            <w:right w:val="none" w:sz="0" w:space="0" w:color="auto"/>
          </w:divBdr>
          <w:divsChild>
            <w:div w:id="837616196">
              <w:marLeft w:val="0"/>
              <w:marRight w:val="0"/>
              <w:marTop w:val="0"/>
              <w:marBottom w:val="0"/>
              <w:divBdr>
                <w:top w:val="none" w:sz="0" w:space="0" w:color="auto"/>
                <w:left w:val="none" w:sz="0" w:space="0" w:color="auto"/>
                <w:bottom w:val="none" w:sz="0" w:space="0" w:color="auto"/>
                <w:right w:val="none" w:sz="0" w:space="0" w:color="auto"/>
              </w:divBdr>
              <w:divsChild>
                <w:div w:id="2414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75927">
      <w:bodyDiv w:val="1"/>
      <w:marLeft w:val="0"/>
      <w:marRight w:val="0"/>
      <w:marTop w:val="0"/>
      <w:marBottom w:val="0"/>
      <w:divBdr>
        <w:top w:val="none" w:sz="0" w:space="0" w:color="auto"/>
        <w:left w:val="none" w:sz="0" w:space="0" w:color="auto"/>
        <w:bottom w:val="none" w:sz="0" w:space="0" w:color="auto"/>
        <w:right w:val="none" w:sz="0" w:space="0" w:color="auto"/>
      </w:divBdr>
      <w:divsChild>
        <w:div w:id="695160779">
          <w:marLeft w:val="0"/>
          <w:marRight w:val="0"/>
          <w:marTop w:val="0"/>
          <w:marBottom w:val="0"/>
          <w:divBdr>
            <w:top w:val="none" w:sz="0" w:space="0" w:color="auto"/>
            <w:left w:val="none" w:sz="0" w:space="0" w:color="auto"/>
            <w:bottom w:val="none" w:sz="0" w:space="0" w:color="auto"/>
            <w:right w:val="none" w:sz="0" w:space="0" w:color="auto"/>
          </w:divBdr>
          <w:divsChild>
            <w:div w:id="488861655">
              <w:marLeft w:val="0"/>
              <w:marRight w:val="0"/>
              <w:marTop w:val="0"/>
              <w:marBottom w:val="0"/>
              <w:divBdr>
                <w:top w:val="none" w:sz="0" w:space="0" w:color="auto"/>
                <w:left w:val="none" w:sz="0" w:space="0" w:color="auto"/>
                <w:bottom w:val="none" w:sz="0" w:space="0" w:color="auto"/>
                <w:right w:val="none" w:sz="0" w:space="0" w:color="auto"/>
              </w:divBdr>
              <w:divsChild>
                <w:div w:id="2104567141">
                  <w:marLeft w:val="0"/>
                  <w:marRight w:val="0"/>
                  <w:marTop w:val="0"/>
                  <w:marBottom w:val="0"/>
                  <w:divBdr>
                    <w:top w:val="none" w:sz="0" w:space="0" w:color="auto"/>
                    <w:left w:val="none" w:sz="0" w:space="0" w:color="auto"/>
                    <w:bottom w:val="none" w:sz="0" w:space="0" w:color="auto"/>
                    <w:right w:val="none" w:sz="0" w:space="0" w:color="auto"/>
                  </w:divBdr>
                  <w:divsChild>
                    <w:div w:id="21264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64374">
      <w:bodyDiv w:val="1"/>
      <w:marLeft w:val="0"/>
      <w:marRight w:val="0"/>
      <w:marTop w:val="0"/>
      <w:marBottom w:val="0"/>
      <w:divBdr>
        <w:top w:val="none" w:sz="0" w:space="0" w:color="auto"/>
        <w:left w:val="none" w:sz="0" w:space="0" w:color="auto"/>
        <w:bottom w:val="none" w:sz="0" w:space="0" w:color="auto"/>
        <w:right w:val="none" w:sz="0" w:space="0" w:color="auto"/>
      </w:divBdr>
      <w:divsChild>
        <w:div w:id="1924487986">
          <w:marLeft w:val="0"/>
          <w:marRight w:val="0"/>
          <w:marTop w:val="0"/>
          <w:marBottom w:val="0"/>
          <w:divBdr>
            <w:top w:val="none" w:sz="0" w:space="0" w:color="auto"/>
            <w:left w:val="none" w:sz="0" w:space="0" w:color="auto"/>
            <w:bottom w:val="none" w:sz="0" w:space="0" w:color="auto"/>
            <w:right w:val="none" w:sz="0" w:space="0" w:color="auto"/>
          </w:divBdr>
          <w:divsChild>
            <w:div w:id="1377311652">
              <w:marLeft w:val="0"/>
              <w:marRight w:val="0"/>
              <w:marTop w:val="0"/>
              <w:marBottom w:val="0"/>
              <w:divBdr>
                <w:top w:val="none" w:sz="0" w:space="0" w:color="auto"/>
                <w:left w:val="none" w:sz="0" w:space="0" w:color="auto"/>
                <w:bottom w:val="none" w:sz="0" w:space="0" w:color="auto"/>
                <w:right w:val="none" w:sz="0" w:space="0" w:color="auto"/>
              </w:divBdr>
              <w:divsChild>
                <w:div w:id="7450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91037">
      <w:bodyDiv w:val="1"/>
      <w:marLeft w:val="0"/>
      <w:marRight w:val="0"/>
      <w:marTop w:val="0"/>
      <w:marBottom w:val="0"/>
      <w:divBdr>
        <w:top w:val="none" w:sz="0" w:space="0" w:color="auto"/>
        <w:left w:val="none" w:sz="0" w:space="0" w:color="auto"/>
        <w:bottom w:val="none" w:sz="0" w:space="0" w:color="auto"/>
        <w:right w:val="none" w:sz="0" w:space="0" w:color="auto"/>
      </w:divBdr>
      <w:divsChild>
        <w:div w:id="1312294027">
          <w:marLeft w:val="0"/>
          <w:marRight w:val="0"/>
          <w:marTop w:val="0"/>
          <w:marBottom w:val="0"/>
          <w:divBdr>
            <w:top w:val="none" w:sz="0" w:space="0" w:color="auto"/>
            <w:left w:val="none" w:sz="0" w:space="0" w:color="auto"/>
            <w:bottom w:val="none" w:sz="0" w:space="0" w:color="auto"/>
            <w:right w:val="none" w:sz="0" w:space="0" w:color="auto"/>
          </w:divBdr>
          <w:divsChild>
            <w:div w:id="1292906845">
              <w:marLeft w:val="0"/>
              <w:marRight w:val="0"/>
              <w:marTop w:val="0"/>
              <w:marBottom w:val="0"/>
              <w:divBdr>
                <w:top w:val="none" w:sz="0" w:space="0" w:color="auto"/>
                <w:left w:val="none" w:sz="0" w:space="0" w:color="auto"/>
                <w:bottom w:val="none" w:sz="0" w:space="0" w:color="auto"/>
                <w:right w:val="none" w:sz="0" w:space="0" w:color="auto"/>
              </w:divBdr>
              <w:divsChild>
                <w:div w:id="2096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48393">
      <w:bodyDiv w:val="1"/>
      <w:marLeft w:val="0"/>
      <w:marRight w:val="0"/>
      <w:marTop w:val="0"/>
      <w:marBottom w:val="0"/>
      <w:divBdr>
        <w:top w:val="none" w:sz="0" w:space="0" w:color="auto"/>
        <w:left w:val="none" w:sz="0" w:space="0" w:color="auto"/>
        <w:bottom w:val="none" w:sz="0" w:space="0" w:color="auto"/>
        <w:right w:val="none" w:sz="0" w:space="0" w:color="auto"/>
      </w:divBdr>
      <w:divsChild>
        <w:div w:id="1499805755">
          <w:marLeft w:val="547"/>
          <w:marRight w:val="0"/>
          <w:marTop w:val="0"/>
          <w:marBottom w:val="0"/>
          <w:divBdr>
            <w:top w:val="none" w:sz="0" w:space="0" w:color="auto"/>
            <w:left w:val="none" w:sz="0" w:space="0" w:color="auto"/>
            <w:bottom w:val="none" w:sz="0" w:space="0" w:color="auto"/>
            <w:right w:val="none" w:sz="0" w:space="0" w:color="auto"/>
          </w:divBdr>
        </w:div>
      </w:divsChild>
    </w:div>
    <w:div w:id="1152529004">
      <w:bodyDiv w:val="1"/>
      <w:marLeft w:val="0"/>
      <w:marRight w:val="0"/>
      <w:marTop w:val="0"/>
      <w:marBottom w:val="0"/>
      <w:divBdr>
        <w:top w:val="none" w:sz="0" w:space="0" w:color="auto"/>
        <w:left w:val="none" w:sz="0" w:space="0" w:color="auto"/>
        <w:bottom w:val="none" w:sz="0" w:space="0" w:color="auto"/>
        <w:right w:val="none" w:sz="0" w:space="0" w:color="auto"/>
      </w:divBdr>
    </w:div>
    <w:div w:id="1157258835">
      <w:bodyDiv w:val="1"/>
      <w:marLeft w:val="0"/>
      <w:marRight w:val="0"/>
      <w:marTop w:val="0"/>
      <w:marBottom w:val="0"/>
      <w:divBdr>
        <w:top w:val="none" w:sz="0" w:space="0" w:color="auto"/>
        <w:left w:val="none" w:sz="0" w:space="0" w:color="auto"/>
        <w:bottom w:val="none" w:sz="0" w:space="0" w:color="auto"/>
        <w:right w:val="none" w:sz="0" w:space="0" w:color="auto"/>
      </w:divBdr>
    </w:div>
    <w:div w:id="1158378356">
      <w:bodyDiv w:val="1"/>
      <w:marLeft w:val="0"/>
      <w:marRight w:val="0"/>
      <w:marTop w:val="0"/>
      <w:marBottom w:val="0"/>
      <w:divBdr>
        <w:top w:val="none" w:sz="0" w:space="0" w:color="auto"/>
        <w:left w:val="none" w:sz="0" w:space="0" w:color="auto"/>
        <w:bottom w:val="none" w:sz="0" w:space="0" w:color="auto"/>
        <w:right w:val="none" w:sz="0" w:space="0" w:color="auto"/>
      </w:divBdr>
      <w:divsChild>
        <w:div w:id="1028487078">
          <w:marLeft w:val="0"/>
          <w:marRight w:val="0"/>
          <w:marTop w:val="0"/>
          <w:marBottom w:val="0"/>
          <w:divBdr>
            <w:top w:val="none" w:sz="0" w:space="0" w:color="auto"/>
            <w:left w:val="none" w:sz="0" w:space="0" w:color="auto"/>
            <w:bottom w:val="none" w:sz="0" w:space="0" w:color="auto"/>
            <w:right w:val="none" w:sz="0" w:space="0" w:color="auto"/>
          </w:divBdr>
          <w:divsChild>
            <w:div w:id="2106417837">
              <w:marLeft w:val="0"/>
              <w:marRight w:val="0"/>
              <w:marTop w:val="0"/>
              <w:marBottom w:val="0"/>
              <w:divBdr>
                <w:top w:val="none" w:sz="0" w:space="0" w:color="auto"/>
                <w:left w:val="none" w:sz="0" w:space="0" w:color="auto"/>
                <w:bottom w:val="none" w:sz="0" w:space="0" w:color="auto"/>
                <w:right w:val="none" w:sz="0" w:space="0" w:color="auto"/>
              </w:divBdr>
              <w:divsChild>
                <w:div w:id="70610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54516">
      <w:bodyDiv w:val="1"/>
      <w:marLeft w:val="0"/>
      <w:marRight w:val="0"/>
      <w:marTop w:val="0"/>
      <w:marBottom w:val="0"/>
      <w:divBdr>
        <w:top w:val="none" w:sz="0" w:space="0" w:color="auto"/>
        <w:left w:val="none" w:sz="0" w:space="0" w:color="auto"/>
        <w:bottom w:val="none" w:sz="0" w:space="0" w:color="auto"/>
        <w:right w:val="none" w:sz="0" w:space="0" w:color="auto"/>
      </w:divBdr>
      <w:divsChild>
        <w:div w:id="359166295">
          <w:marLeft w:val="0"/>
          <w:marRight w:val="0"/>
          <w:marTop w:val="0"/>
          <w:marBottom w:val="0"/>
          <w:divBdr>
            <w:top w:val="none" w:sz="0" w:space="0" w:color="auto"/>
            <w:left w:val="none" w:sz="0" w:space="0" w:color="auto"/>
            <w:bottom w:val="none" w:sz="0" w:space="0" w:color="auto"/>
            <w:right w:val="none" w:sz="0" w:space="0" w:color="auto"/>
          </w:divBdr>
          <w:divsChild>
            <w:div w:id="1212186043">
              <w:marLeft w:val="0"/>
              <w:marRight w:val="0"/>
              <w:marTop w:val="0"/>
              <w:marBottom w:val="0"/>
              <w:divBdr>
                <w:top w:val="none" w:sz="0" w:space="0" w:color="auto"/>
                <w:left w:val="none" w:sz="0" w:space="0" w:color="auto"/>
                <w:bottom w:val="none" w:sz="0" w:space="0" w:color="auto"/>
                <w:right w:val="none" w:sz="0" w:space="0" w:color="auto"/>
              </w:divBdr>
              <w:divsChild>
                <w:div w:id="18082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398819">
      <w:bodyDiv w:val="1"/>
      <w:marLeft w:val="0"/>
      <w:marRight w:val="0"/>
      <w:marTop w:val="0"/>
      <w:marBottom w:val="0"/>
      <w:divBdr>
        <w:top w:val="none" w:sz="0" w:space="0" w:color="auto"/>
        <w:left w:val="none" w:sz="0" w:space="0" w:color="auto"/>
        <w:bottom w:val="none" w:sz="0" w:space="0" w:color="auto"/>
        <w:right w:val="none" w:sz="0" w:space="0" w:color="auto"/>
      </w:divBdr>
    </w:div>
    <w:div w:id="1168520247">
      <w:bodyDiv w:val="1"/>
      <w:marLeft w:val="0"/>
      <w:marRight w:val="0"/>
      <w:marTop w:val="0"/>
      <w:marBottom w:val="0"/>
      <w:divBdr>
        <w:top w:val="none" w:sz="0" w:space="0" w:color="auto"/>
        <w:left w:val="none" w:sz="0" w:space="0" w:color="auto"/>
        <w:bottom w:val="none" w:sz="0" w:space="0" w:color="auto"/>
        <w:right w:val="none" w:sz="0" w:space="0" w:color="auto"/>
      </w:divBdr>
      <w:divsChild>
        <w:div w:id="1468745718">
          <w:marLeft w:val="0"/>
          <w:marRight w:val="0"/>
          <w:marTop w:val="0"/>
          <w:marBottom w:val="0"/>
          <w:divBdr>
            <w:top w:val="none" w:sz="0" w:space="0" w:color="auto"/>
            <w:left w:val="none" w:sz="0" w:space="0" w:color="auto"/>
            <w:bottom w:val="none" w:sz="0" w:space="0" w:color="auto"/>
            <w:right w:val="none" w:sz="0" w:space="0" w:color="auto"/>
          </w:divBdr>
          <w:divsChild>
            <w:div w:id="1162163316">
              <w:marLeft w:val="0"/>
              <w:marRight w:val="0"/>
              <w:marTop w:val="0"/>
              <w:marBottom w:val="0"/>
              <w:divBdr>
                <w:top w:val="none" w:sz="0" w:space="0" w:color="auto"/>
                <w:left w:val="none" w:sz="0" w:space="0" w:color="auto"/>
                <w:bottom w:val="none" w:sz="0" w:space="0" w:color="auto"/>
                <w:right w:val="none" w:sz="0" w:space="0" w:color="auto"/>
              </w:divBdr>
              <w:divsChild>
                <w:div w:id="1498569095">
                  <w:marLeft w:val="0"/>
                  <w:marRight w:val="0"/>
                  <w:marTop w:val="0"/>
                  <w:marBottom w:val="0"/>
                  <w:divBdr>
                    <w:top w:val="none" w:sz="0" w:space="0" w:color="auto"/>
                    <w:left w:val="none" w:sz="0" w:space="0" w:color="auto"/>
                    <w:bottom w:val="none" w:sz="0" w:space="0" w:color="auto"/>
                    <w:right w:val="none" w:sz="0" w:space="0" w:color="auto"/>
                  </w:divBdr>
                  <w:divsChild>
                    <w:div w:id="3424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768456">
      <w:bodyDiv w:val="1"/>
      <w:marLeft w:val="0"/>
      <w:marRight w:val="0"/>
      <w:marTop w:val="0"/>
      <w:marBottom w:val="0"/>
      <w:divBdr>
        <w:top w:val="none" w:sz="0" w:space="0" w:color="auto"/>
        <w:left w:val="none" w:sz="0" w:space="0" w:color="auto"/>
        <w:bottom w:val="none" w:sz="0" w:space="0" w:color="auto"/>
        <w:right w:val="none" w:sz="0" w:space="0" w:color="auto"/>
      </w:divBdr>
      <w:divsChild>
        <w:div w:id="1258708336">
          <w:marLeft w:val="0"/>
          <w:marRight w:val="0"/>
          <w:marTop w:val="0"/>
          <w:marBottom w:val="0"/>
          <w:divBdr>
            <w:top w:val="none" w:sz="0" w:space="0" w:color="auto"/>
            <w:left w:val="none" w:sz="0" w:space="0" w:color="auto"/>
            <w:bottom w:val="none" w:sz="0" w:space="0" w:color="auto"/>
            <w:right w:val="none" w:sz="0" w:space="0" w:color="auto"/>
          </w:divBdr>
          <w:divsChild>
            <w:div w:id="207767806">
              <w:marLeft w:val="0"/>
              <w:marRight w:val="0"/>
              <w:marTop w:val="0"/>
              <w:marBottom w:val="0"/>
              <w:divBdr>
                <w:top w:val="none" w:sz="0" w:space="0" w:color="auto"/>
                <w:left w:val="none" w:sz="0" w:space="0" w:color="auto"/>
                <w:bottom w:val="none" w:sz="0" w:space="0" w:color="auto"/>
                <w:right w:val="none" w:sz="0" w:space="0" w:color="auto"/>
              </w:divBdr>
              <w:divsChild>
                <w:div w:id="8972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85074">
      <w:bodyDiv w:val="1"/>
      <w:marLeft w:val="0"/>
      <w:marRight w:val="0"/>
      <w:marTop w:val="0"/>
      <w:marBottom w:val="0"/>
      <w:divBdr>
        <w:top w:val="none" w:sz="0" w:space="0" w:color="auto"/>
        <w:left w:val="none" w:sz="0" w:space="0" w:color="auto"/>
        <w:bottom w:val="none" w:sz="0" w:space="0" w:color="auto"/>
        <w:right w:val="none" w:sz="0" w:space="0" w:color="auto"/>
      </w:divBdr>
      <w:divsChild>
        <w:div w:id="1149051428">
          <w:marLeft w:val="0"/>
          <w:marRight w:val="0"/>
          <w:marTop w:val="0"/>
          <w:marBottom w:val="0"/>
          <w:divBdr>
            <w:top w:val="none" w:sz="0" w:space="0" w:color="auto"/>
            <w:left w:val="none" w:sz="0" w:space="0" w:color="auto"/>
            <w:bottom w:val="none" w:sz="0" w:space="0" w:color="auto"/>
            <w:right w:val="none" w:sz="0" w:space="0" w:color="auto"/>
          </w:divBdr>
          <w:divsChild>
            <w:div w:id="412707255">
              <w:marLeft w:val="0"/>
              <w:marRight w:val="0"/>
              <w:marTop w:val="0"/>
              <w:marBottom w:val="0"/>
              <w:divBdr>
                <w:top w:val="none" w:sz="0" w:space="0" w:color="auto"/>
                <w:left w:val="none" w:sz="0" w:space="0" w:color="auto"/>
                <w:bottom w:val="none" w:sz="0" w:space="0" w:color="auto"/>
                <w:right w:val="none" w:sz="0" w:space="0" w:color="auto"/>
              </w:divBdr>
              <w:divsChild>
                <w:div w:id="214604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927250">
      <w:bodyDiv w:val="1"/>
      <w:marLeft w:val="0"/>
      <w:marRight w:val="0"/>
      <w:marTop w:val="0"/>
      <w:marBottom w:val="0"/>
      <w:divBdr>
        <w:top w:val="none" w:sz="0" w:space="0" w:color="auto"/>
        <w:left w:val="none" w:sz="0" w:space="0" w:color="auto"/>
        <w:bottom w:val="none" w:sz="0" w:space="0" w:color="auto"/>
        <w:right w:val="none" w:sz="0" w:space="0" w:color="auto"/>
      </w:divBdr>
    </w:div>
    <w:div w:id="1214344345">
      <w:bodyDiv w:val="1"/>
      <w:marLeft w:val="0"/>
      <w:marRight w:val="0"/>
      <w:marTop w:val="0"/>
      <w:marBottom w:val="0"/>
      <w:divBdr>
        <w:top w:val="none" w:sz="0" w:space="0" w:color="auto"/>
        <w:left w:val="none" w:sz="0" w:space="0" w:color="auto"/>
        <w:bottom w:val="none" w:sz="0" w:space="0" w:color="auto"/>
        <w:right w:val="none" w:sz="0" w:space="0" w:color="auto"/>
      </w:divBdr>
      <w:divsChild>
        <w:div w:id="1536698906">
          <w:marLeft w:val="0"/>
          <w:marRight w:val="0"/>
          <w:marTop w:val="0"/>
          <w:marBottom w:val="0"/>
          <w:divBdr>
            <w:top w:val="none" w:sz="0" w:space="0" w:color="auto"/>
            <w:left w:val="none" w:sz="0" w:space="0" w:color="auto"/>
            <w:bottom w:val="none" w:sz="0" w:space="0" w:color="auto"/>
            <w:right w:val="none" w:sz="0" w:space="0" w:color="auto"/>
          </w:divBdr>
          <w:divsChild>
            <w:div w:id="689797241">
              <w:marLeft w:val="0"/>
              <w:marRight w:val="0"/>
              <w:marTop w:val="0"/>
              <w:marBottom w:val="0"/>
              <w:divBdr>
                <w:top w:val="none" w:sz="0" w:space="0" w:color="auto"/>
                <w:left w:val="none" w:sz="0" w:space="0" w:color="auto"/>
                <w:bottom w:val="none" w:sz="0" w:space="0" w:color="auto"/>
                <w:right w:val="none" w:sz="0" w:space="0" w:color="auto"/>
              </w:divBdr>
              <w:divsChild>
                <w:div w:id="1588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4775">
      <w:bodyDiv w:val="1"/>
      <w:marLeft w:val="0"/>
      <w:marRight w:val="0"/>
      <w:marTop w:val="0"/>
      <w:marBottom w:val="0"/>
      <w:divBdr>
        <w:top w:val="none" w:sz="0" w:space="0" w:color="auto"/>
        <w:left w:val="none" w:sz="0" w:space="0" w:color="auto"/>
        <w:bottom w:val="none" w:sz="0" w:space="0" w:color="auto"/>
        <w:right w:val="none" w:sz="0" w:space="0" w:color="auto"/>
      </w:divBdr>
      <w:divsChild>
        <w:div w:id="1043484849">
          <w:marLeft w:val="0"/>
          <w:marRight w:val="0"/>
          <w:marTop w:val="0"/>
          <w:marBottom w:val="0"/>
          <w:divBdr>
            <w:top w:val="none" w:sz="0" w:space="0" w:color="auto"/>
            <w:left w:val="none" w:sz="0" w:space="0" w:color="auto"/>
            <w:bottom w:val="none" w:sz="0" w:space="0" w:color="auto"/>
            <w:right w:val="none" w:sz="0" w:space="0" w:color="auto"/>
          </w:divBdr>
          <w:divsChild>
            <w:div w:id="654145936">
              <w:marLeft w:val="0"/>
              <w:marRight w:val="0"/>
              <w:marTop w:val="0"/>
              <w:marBottom w:val="0"/>
              <w:divBdr>
                <w:top w:val="none" w:sz="0" w:space="0" w:color="auto"/>
                <w:left w:val="none" w:sz="0" w:space="0" w:color="auto"/>
                <w:bottom w:val="none" w:sz="0" w:space="0" w:color="auto"/>
                <w:right w:val="none" w:sz="0" w:space="0" w:color="auto"/>
              </w:divBdr>
              <w:divsChild>
                <w:div w:id="18131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40640">
      <w:bodyDiv w:val="1"/>
      <w:marLeft w:val="0"/>
      <w:marRight w:val="0"/>
      <w:marTop w:val="0"/>
      <w:marBottom w:val="0"/>
      <w:divBdr>
        <w:top w:val="none" w:sz="0" w:space="0" w:color="auto"/>
        <w:left w:val="none" w:sz="0" w:space="0" w:color="auto"/>
        <w:bottom w:val="none" w:sz="0" w:space="0" w:color="auto"/>
        <w:right w:val="none" w:sz="0" w:space="0" w:color="auto"/>
      </w:divBdr>
    </w:div>
    <w:div w:id="1251163817">
      <w:bodyDiv w:val="1"/>
      <w:marLeft w:val="0"/>
      <w:marRight w:val="0"/>
      <w:marTop w:val="0"/>
      <w:marBottom w:val="0"/>
      <w:divBdr>
        <w:top w:val="none" w:sz="0" w:space="0" w:color="auto"/>
        <w:left w:val="none" w:sz="0" w:space="0" w:color="auto"/>
        <w:bottom w:val="none" w:sz="0" w:space="0" w:color="auto"/>
        <w:right w:val="none" w:sz="0" w:space="0" w:color="auto"/>
      </w:divBdr>
      <w:divsChild>
        <w:div w:id="84545953">
          <w:marLeft w:val="0"/>
          <w:marRight w:val="0"/>
          <w:marTop w:val="0"/>
          <w:marBottom w:val="0"/>
          <w:divBdr>
            <w:top w:val="none" w:sz="0" w:space="0" w:color="auto"/>
            <w:left w:val="none" w:sz="0" w:space="0" w:color="auto"/>
            <w:bottom w:val="none" w:sz="0" w:space="0" w:color="auto"/>
            <w:right w:val="none" w:sz="0" w:space="0" w:color="auto"/>
          </w:divBdr>
          <w:divsChild>
            <w:div w:id="345639189">
              <w:marLeft w:val="0"/>
              <w:marRight w:val="0"/>
              <w:marTop w:val="0"/>
              <w:marBottom w:val="0"/>
              <w:divBdr>
                <w:top w:val="none" w:sz="0" w:space="0" w:color="auto"/>
                <w:left w:val="none" w:sz="0" w:space="0" w:color="auto"/>
                <w:bottom w:val="none" w:sz="0" w:space="0" w:color="auto"/>
                <w:right w:val="none" w:sz="0" w:space="0" w:color="auto"/>
              </w:divBdr>
              <w:divsChild>
                <w:div w:id="19567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2572">
      <w:bodyDiv w:val="1"/>
      <w:marLeft w:val="0"/>
      <w:marRight w:val="0"/>
      <w:marTop w:val="0"/>
      <w:marBottom w:val="0"/>
      <w:divBdr>
        <w:top w:val="none" w:sz="0" w:space="0" w:color="auto"/>
        <w:left w:val="none" w:sz="0" w:space="0" w:color="auto"/>
        <w:bottom w:val="none" w:sz="0" w:space="0" w:color="auto"/>
        <w:right w:val="none" w:sz="0" w:space="0" w:color="auto"/>
      </w:divBdr>
    </w:div>
    <w:div w:id="1287854345">
      <w:bodyDiv w:val="1"/>
      <w:marLeft w:val="0"/>
      <w:marRight w:val="0"/>
      <w:marTop w:val="0"/>
      <w:marBottom w:val="0"/>
      <w:divBdr>
        <w:top w:val="none" w:sz="0" w:space="0" w:color="auto"/>
        <w:left w:val="none" w:sz="0" w:space="0" w:color="auto"/>
        <w:bottom w:val="none" w:sz="0" w:space="0" w:color="auto"/>
        <w:right w:val="none" w:sz="0" w:space="0" w:color="auto"/>
      </w:divBdr>
      <w:divsChild>
        <w:div w:id="1821383791">
          <w:marLeft w:val="0"/>
          <w:marRight w:val="0"/>
          <w:marTop w:val="0"/>
          <w:marBottom w:val="0"/>
          <w:divBdr>
            <w:top w:val="none" w:sz="0" w:space="0" w:color="auto"/>
            <w:left w:val="none" w:sz="0" w:space="0" w:color="auto"/>
            <w:bottom w:val="none" w:sz="0" w:space="0" w:color="auto"/>
            <w:right w:val="none" w:sz="0" w:space="0" w:color="auto"/>
          </w:divBdr>
          <w:divsChild>
            <w:div w:id="1669089671">
              <w:marLeft w:val="0"/>
              <w:marRight w:val="0"/>
              <w:marTop w:val="0"/>
              <w:marBottom w:val="0"/>
              <w:divBdr>
                <w:top w:val="none" w:sz="0" w:space="0" w:color="auto"/>
                <w:left w:val="none" w:sz="0" w:space="0" w:color="auto"/>
                <w:bottom w:val="none" w:sz="0" w:space="0" w:color="auto"/>
                <w:right w:val="none" w:sz="0" w:space="0" w:color="auto"/>
              </w:divBdr>
              <w:divsChild>
                <w:div w:id="10287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98836">
      <w:bodyDiv w:val="1"/>
      <w:marLeft w:val="0"/>
      <w:marRight w:val="0"/>
      <w:marTop w:val="0"/>
      <w:marBottom w:val="0"/>
      <w:divBdr>
        <w:top w:val="none" w:sz="0" w:space="0" w:color="auto"/>
        <w:left w:val="none" w:sz="0" w:space="0" w:color="auto"/>
        <w:bottom w:val="none" w:sz="0" w:space="0" w:color="auto"/>
        <w:right w:val="none" w:sz="0" w:space="0" w:color="auto"/>
      </w:divBdr>
      <w:divsChild>
        <w:div w:id="1736586653">
          <w:marLeft w:val="0"/>
          <w:marRight w:val="0"/>
          <w:marTop w:val="0"/>
          <w:marBottom w:val="0"/>
          <w:divBdr>
            <w:top w:val="none" w:sz="0" w:space="0" w:color="auto"/>
            <w:left w:val="none" w:sz="0" w:space="0" w:color="auto"/>
            <w:bottom w:val="none" w:sz="0" w:space="0" w:color="auto"/>
            <w:right w:val="none" w:sz="0" w:space="0" w:color="auto"/>
          </w:divBdr>
          <w:divsChild>
            <w:div w:id="2104641093">
              <w:marLeft w:val="0"/>
              <w:marRight w:val="0"/>
              <w:marTop w:val="0"/>
              <w:marBottom w:val="0"/>
              <w:divBdr>
                <w:top w:val="none" w:sz="0" w:space="0" w:color="auto"/>
                <w:left w:val="none" w:sz="0" w:space="0" w:color="auto"/>
                <w:bottom w:val="none" w:sz="0" w:space="0" w:color="auto"/>
                <w:right w:val="none" w:sz="0" w:space="0" w:color="auto"/>
              </w:divBdr>
              <w:divsChild>
                <w:div w:id="11455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57220">
      <w:bodyDiv w:val="1"/>
      <w:marLeft w:val="0"/>
      <w:marRight w:val="0"/>
      <w:marTop w:val="0"/>
      <w:marBottom w:val="0"/>
      <w:divBdr>
        <w:top w:val="none" w:sz="0" w:space="0" w:color="auto"/>
        <w:left w:val="none" w:sz="0" w:space="0" w:color="auto"/>
        <w:bottom w:val="none" w:sz="0" w:space="0" w:color="auto"/>
        <w:right w:val="none" w:sz="0" w:space="0" w:color="auto"/>
      </w:divBdr>
      <w:divsChild>
        <w:div w:id="270820007">
          <w:marLeft w:val="0"/>
          <w:marRight w:val="0"/>
          <w:marTop w:val="0"/>
          <w:marBottom w:val="0"/>
          <w:divBdr>
            <w:top w:val="none" w:sz="0" w:space="0" w:color="auto"/>
            <w:left w:val="none" w:sz="0" w:space="0" w:color="auto"/>
            <w:bottom w:val="none" w:sz="0" w:space="0" w:color="auto"/>
            <w:right w:val="none" w:sz="0" w:space="0" w:color="auto"/>
          </w:divBdr>
          <w:divsChild>
            <w:div w:id="1159269557">
              <w:marLeft w:val="0"/>
              <w:marRight w:val="0"/>
              <w:marTop w:val="0"/>
              <w:marBottom w:val="0"/>
              <w:divBdr>
                <w:top w:val="none" w:sz="0" w:space="0" w:color="auto"/>
                <w:left w:val="none" w:sz="0" w:space="0" w:color="auto"/>
                <w:bottom w:val="none" w:sz="0" w:space="0" w:color="auto"/>
                <w:right w:val="none" w:sz="0" w:space="0" w:color="auto"/>
              </w:divBdr>
              <w:divsChild>
                <w:div w:id="14013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8194">
      <w:bodyDiv w:val="1"/>
      <w:marLeft w:val="0"/>
      <w:marRight w:val="0"/>
      <w:marTop w:val="0"/>
      <w:marBottom w:val="0"/>
      <w:divBdr>
        <w:top w:val="none" w:sz="0" w:space="0" w:color="auto"/>
        <w:left w:val="none" w:sz="0" w:space="0" w:color="auto"/>
        <w:bottom w:val="none" w:sz="0" w:space="0" w:color="auto"/>
        <w:right w:val="none" w:sz="0" w:space="0" w:color="auto"/>
      </w:divBdr>
      <w:divsChild>
        <w:div w:id="1337345628">
          <w:marLeft w:val="0"/>
          <w:marRight w:val="0"/>
          <w:marTop w:val="0"/>
          <w:marBottom w:val="0"/>
          <w:divBdr>
            <w:top w:val="none" w:sz="0" w:space="0" w:color="auto"/>
            <w:left w:val="none" w:sz="0" w:space="0" w:color="auto"/>
            <w:bottom w:val="none" w:sz="0" w:space="0" w:color="auto"/>
            <w:right w:val="none" w:sz="0" w:space="0" w:color="auto"/>
          </w:divBdr>
          <w:divsChild>
            <w:div w:id="873157360">
              <w:marLeft w:val="0"/>
              <w:marRight w:val="0"/>
              <w:marTop w:val="0"/>
              <w:marBottom w:val="0"/>
              <w:divBdr>
                <w:top w:val="none" w:sz="0" w:space="0" w:color="auto"/>
                <w:left w:val="none" w:sz="0" w:space="0" w:color="auto"/>
                <w:bottom w:val="none" w:sz="0" w:space="0" w:color="auto"/>
                <w:right w:val="none" w:sz="0" w:space="0" w:color="auto"/>
              </w:divBdr>
              <w:divsChild>
                <w:div w:id="1930041097">
                  <w:marLeft w:val="0"/>
                  <w:marRight w:val="0"/>
                  <w:marTop w:val="0"/>
                  <w:marBottom w:val="0"/>
                  <w:divBdr>
                    <w:top w:val="none" w:sz="0" w:space="0" w:color="auto"/>
                    <w:left w:val="none" w:sz="0" w:space="0" w:color="auto"/>
                    <w:bottom w:val="none" w:sz="0" w:space="0" w:color="auto"/>
                    <w:right w:val="none" w:sz="0" w:space="0" w:color="auto"/>
                  </w:divBdr>
                  <w:divsChild>
                    <w:div w:id="7546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900941">
      <w:bodyDiv w:val="1"/>
      <w:marLeft w:val="0"/>
      <w:marRight w:val="0"/>
      <w:marTop w:val="0"/>
      <w:marBottom w:val="0"/>
      <w:divBdr>
        <w:top w:val="none" w:sz="0" w:space="0" w:color="auto"/>
        <w:left w:val="none" w:sz="0" w:space="0" w:color="auto"/>
        <w:bottom w:val="none" w:sz="0" w:space="0" w:color="auto"/>
        <w:right w:val="none" w:sz="0" w:space="0" w:color="auto"/>
      </w:divBdr>
      <w:divsChild>
        <w:div w:id="1014069952">
          <w:marLeft w:val="0"/>
          <w:marRight w:val="0"/>
          <w:marTop w:val="0"/>
          <w:marBottom w:val="0"/>
          <w:divBdr>
            <w:top w:val="none" w:sz="0" w:space="0" w:color="auto"/>
            <w:left w:val="none" w:sz="0" w:space="0" w:color="auto"/>
            <w:bottom w:val="none" w:sz="0" w:space="0" w:color="auto"/>
            <w:right w:val="none" w:sz="0" w:space="0" w:color="auto"/>
          </w:divBdr>
          <w:divsChild>
            <w:div w:id="413820356">
              <w:marLeft w:val="0"/>
              <w:marRight w:val="0"/>
              <w:marTop w:val="0"/>
              <w:marBottom w:val="0"/>
              <w:divBdr>
                <w:top w:val="none" w:sz="0" w:space="0" w:color="auto"/>
                <w:left w:val="none" w:sz="0" w:space="0" w:color="auto"/>
                <w:bottom w:val="none" w:sz="0" w:space="0" w:color="auto"/>
                <w:right w:val="none" w:sz="0" w:space="0" w:color="auto"/>
              </w:divBdr>
              <w:divsChild>
                <w:div w:id="4219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29892">
      <w:bodyDiv w:val="1"/>
      <w:marLeft w:val="0"/>
      <w:marRight w:val="0"/>
      <w:marTop w:val="0"/>
      <w:marBottom w:val="0"/>
      <w:divBdr>
        <w:top w:val="none" w:sz="0" w:space="0" w:color="auto"/>
        <w:left w:val="none" w:sz="0" w:space="0" w:color="auto"/>
        <w:bottom w:val="none" w:sz="0" w:space="0" w:color="auto"/>
        <w:right w:val="none" w:sz="0" w:space="0" w:color="auto"/>
      </w:divBdr>
      <w:divsChild>
        <w:div w:id="204290398">
          <w:marLeft w:val="0"/>
          <w:marRight w:val="0"/>
          <w:marTop w:val="0"/>
          <w:marBottom w:val="0"/>
          <w:divBdr>
            <w:top w:val="none" w:sz="0" w:space="0" w:color="auto"/>
            <w:left w:val="none" w:sz="0" w:space="0" w:color="auto"/>
            <w:bottom w:val="none" w:sz="0" w:space="0" w:color="auto"/>
            <w:right w:val="none" w:sz="0" w:space="0" w:color="auto"/>
          </w:divBdr>
          <w:divsChild>
            <w:div w:id="2048066817">
              <w:marLeft w:val="0"/>
              <w:marRight w:val="0"/>
              <w:marTop w:val="0"/>
              <w:marBottom w:val="0"/>
              <w:divBdr>
                <w:top w:val="none" w:sz="0" w:space="0" w:color="auto"/>
                <w:left w:val="none" w:sz="0" w:space="0" w:color="auto"/>
                <w:bottom w:val="none" w:sz="0" w:space="0" w:color="auto"/>
                <w:right w:val="none" w:sz="0" w:space="0" w:color="auto"/>
              </w:divBdr>
              <w:divsChild>
                <w:div w:id="93333366">
                  <w:marLeft w:val="0"/>
                  <w:marRight w:val="0"/>
                  <w:marTop w:val="0"/>
                  <w:marBottom w:val="0"/>
                  <w:divBdr>
                    <w:top w:val="none" w:sz="0" w:space="0" w:color="auto"/>
                    <w:left w:val="none" w:sz="0" w:space="0" w:color="auto"/>
                    <w:bottom w:val="none" w:sz="0" w:space="0" w:color="auto"/>
                    <w:right w:val="none" w:sz="0" w:space="0" w:color="auto"/>
                  </w:divBdr>
                  <w:divsChild>
                    <w:div w:id="108372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5839">
          <w:marLeft w:val="0"/>
          <w:marRight w:val="0"/>
          <w:marTop w:val="0"/>
          <w:marBottom w:val="0"/>
          <w:divBdr>
            <w:top w:val="none" w:sz="0" w:space="0" w:color="auto"/>
            <w:left w:val="none" w:sz="0" w:space="0" w:color="auto"/>
            <w:bottom w:val="none" w:sz="0" w:space="0" w:color="auto"/>
            <w:right w:val="none" w:sz="0" w:space="0" w:color="auto"/>
          </w:divBdr>
          <w:divsChild>
            <w:div w:id="2125493215">
              <w:marLeft w:val="0"/>
              <w:marRight w:val="0"/>
              <w:marTop w:val="0"/>
              <w:marBottom w:val="0"/>
              <w:divBdr>
                <w:top w:val="none" w:sz="0" w:space="0" w:color="auto"/>
                <w:left w:val="none" w:sz="0" w:space="0" w:color="auto"/>
                <w:bottom w:val="none" w:sz="0" w:space="0" w:color="auto"/>
                <w:right w:val="none" w:sz="0" w:space="0" w:color="auto"/>
              </w:divBdr>
              <w:divsChild>
                <w:div w:id="1617323559">
                  <w:marLeft w:val="0"/>
                  <w:marRight w:val="0"/>
                  <w:marTop w:val="0"/>
                  <w:marBottom w:val="0"/>
                  <w:divBdr>
                    <w:top w:val="none" w:sz="0" w:space="0" w:color="auto"/>
                    <w:left w:val="none" w:sz="0" w:space="0" w:color="auto"/>
                    <w:bottom w:val="none" w:sz="0" w:space="0" w:color="auto"/>
                    <w:right w:val="none" w:sz="0" w:space="0" w:color="auto"/>
                  </w:divBdr>
                </w:div>
              </w:divsChild>
            </w:div>
            <w:div w:id="317340664">
              <w:marLeft w:val="0"/>
              <w:marRight w:val="0"/>
              <w:marTop w:val="0"/>
              <w:marBottom w:val="0"/>
              <w:divBdr>
                <w:top w:val="none" w:sz="0" w:space="0" w:color="auto"/>
                <w:left w:val="none" w:sz="0" w:space="0" w:color="auto"/>
                <w:bottom w:val="none" w:sz="0" w:space="0" w:color="auto"/>
                <w:right w:val="none" w:sz="0" w:space="0" w:color="auto"/>
              </w:divBdr>
              <w:divsChild>
                <w:div w:id="14656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3230">
      <w:bodyDiv w:val="1"/>
      <w:marLeft w:val="0"/>
      <w:marRight w:val="0"/>
      <w:marTop w:val="0"/>
      <w:marBottom w:val="0"/>
      <w:divBdr>
        <w:top w:val="none" w:sz="0" w:space="0" w:color="auto"/>
        <w:left w:val="none" w:sz="0" w:space="0" w:color="auto"/>
        <w:bottom w:val="none" w:sz="0" w:space="0" w:color="auto"/>
        <w:right w:val="none" w:sz="0" w:space="0" w:color="auto"/>
      </w:divBdr>
      <w:divsChild>
        <w:div w:id="1239168393">
          <w:marLeft w:val="0"/>
          <w:marRight w:val="0"/>
          <w:marTop w:val="0"/>
          <w:marBottom w:val="0"/>
          <w:divBdr>
            <w:top w:val="none" w:sz="0" w:space="0" w:color="auto"/>
            <w:left w:val="none" w:sz="0" w:space="0" w:color="auto"/>
            <w:bottom w:val="none" w:sz="0" w:space="0" w:color="auto"/>
            <w:right w:val="none" w:sz="0" w:space="0" w:color="auto"/>
          </w:divBdr>
          <w:divsChild>
            <w:div w:id="1393889700">
              <w:marLeft w:val="0"/>
              <w:marRight w:val="0"/>
              <w:marTop w:val="0"/>
              <w:marBottom w:val="0"/>
              <w:divBdr>
                <w:top w:val="none" w:sz="0" w:space="0" w:color="auto"/>
                <w:left w:val="none" w:sz="0" w:space="0" w:color="auto"/>
                <w:bottom w:val="none" w:sz="0" w:space="0" w:color="auto"/>
                <w:right w:val="none" w:sz="0" w:space="0" w:color="auto"/>
              </w:divBdr>
              <w:divsChild>
                <w:div w:id="2124839907">
                  <w:marLeft w:val="0"/>
                  <w:marRight w:val="0"/>
                  <w:marTop w:val="0"/>
                  <w:marBottom w:val="0"/>
                  <w:divBdr>
                    <w:top w:val="none" w:sz="0" w:space="0" w:color="auto"/>
                    <w:left w:val="none" w:sz="0" w:space="0" w:color="auto"/>
                    <w:bottom w:val="none" w:sz="0" w:space="0" w:color="auto"/>
                    <w:right w:val="none" w:sz="0" w:space="0" w:color="auto"/>
                  </w:divBdr>
                  <w:divsChild>
                    <w:div w:id="1027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61598">
      <w:bodyDiv w:val="1"/>
      <w:marLeft w:val="0"/>
      <w:marRight w:val="0"/>
      <w:marTop w:val="0"/>
      <w:marBottom w:val="0"/>
      <w:divBdr>
        <w:top w:val="none" w:sz="0" w:space="0" w:color="auto"/>
        <w:left w:val="none" w:sz="0" w:space="0" w:color="auto"/>
        <w:bottom w:val="none" w:sz="0" w:space="0" w:color="auto"/>
        <w:right w:val="none" w:sz="0" w:space="0" w:color="auto"/>
      </w:divBdr>
      <w:divsChild>
        <w:div w:id="118691510">
          <w:marLeft w:val="0"/>
          <w:marRight w:val="0"/>
          <w:marTop w:val="0"/>
          <w:marBottom w:val="0"/>
          <w:divBdr>
            <w:top w:val="none" w:sz="0" w:space="0" w:color="auto"/>
            <w:left w:val="none" w:sz="0" w:space="0" w:color="auto"/>
            <w:bottom w:val="none" w:sz="0" w:space="0" w:color="auto"/>
            <w:right w:val="none" w:sz="0" w:space="0" w:color="auto"/>
          </w:divBdr>
          <w:divsChild>
            <w:div w:id="1418015801">
              <w:marLeft w:val="0"/>
              <w:marRight w:val="0"/>
              <w:marTop w:val="0"/>
              <w:marBottom w:val="0"/>
              <w:divBdr>
                <w:top w:val="none" w:sz="0" w:space="0" w:color="auto"/>
                <w:left w:val="none" w:sz="0" w:space="0" w:color="auto"/>
                <w:bottom w:val="none" w:sz="0" w:space="0" w:color="auto"/>
                <w:right w:val="none" w:sz="0" w:space="0" w:color="auto"/>
              </w:divBdr>
              <w:divsChild>
                <w:div w:id="1944149464">
                  <w:marLeft w:val="0"/>
                  <w:marRight w:val="0"/>
                  <w:marTop w:val="0"/>
                  <w:marBottom w:val="0"/>
                  <w:divBdr>
                    <w:top w:val="none" w:sz="0" w:space="0" w:color="auto"/>
                    <w:left w:val="none" w:sz="0" w:space="0" w:color="auto"/>
                    <w:bottom w:val="none" w:sz="0" w:space="0" w:color="auto"/>
                    <w:right w:val="none" w:sz="0" w:space="0" w:color="auto"/>
                  </w:divBdr>
                </w:div>
              </w:divsChild>
            </w:div>
            <w:div w:id="932594429">
              <w:marLeft w:val="0"/>
              <w:marRight w:val="0"/>
              <w:marTop w:val="0"/>
              <w:marBottom w:val="0"/>
              <w:divBdr>
                <w:top w:val="none" w:sz="0" w:space="0" w:color="auto"/>
                <w:left w:val="none" w:sz="0" w:space="0" w:color="auto"/>
                <w:bottom w:val="none" w:sz="0" w:space="0" w:color="auto"/>
                <w:right w:val="none" w:sz="0" w:space="0" w:color="auto"/>
              </w:divBdr>
              <w:divsChild>
                <w:div w:id="1975407836">
                  <w:marLeft w:val="0"/>
                  <w:marRight w:val="0"/>
                  <w:marTop w:val="0"/>
                  <w:marBottom w:val="0"/>
                  <w:divBdr>
                    <w:top w:val="none" w:sz="0" w:space="0" w:color="auto"/>
                    <w:left w:val="none" w:sz="0" w:space="0" w:color="auto"/>
                    <w:bottom w:val="none" w:sz="0" w:space="0" w:color="auto"/>
                    <w:right w:val="none" w:sz="0" w:space="0" w:color="auto"/>
                  </w:divBdr>
                </w:div>
                <w:div w:id="7027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60930">
      <w:bodyDiv w:val="1"/>
      <w:marLeft w:val="0"/>
      <w:marRight w:val="0"/>
      <w:marTop w:val="0"/>
      <w:marBottom w:val="0"/>
      <w:divBdr>
        <w:top w:val="none" w:sz="0" w:space="0" w:color="auto"/>
        <w:left w:val="none" w:sz="0" w:space="0" w:color="auto"/>
        <w:bottom w:val="none" w:sz="0" w:space="0" w:color="auto"/>
        <w:right w:val="none" w:sz="0" w:space="0" w:color="auto"/>
      </w:divBdr>
      <w:divsChild>
        <w:div w:id="1372531370">
          <w:marLeft w:val="0"/>
          <w:marRight w:val="0"/>
          <w:marTop w:val="0"/>
          <w:marBottom w:val="0"/>
          <w:divBdr>
            <w:top w:val="none" w:sz="0" w:space="0" w:color="auto"/>
            <w:left w:val="none" w:sz="0" w:space="0" w:color="auto"/>
            <w:bottom w:val="none" w:sz="0" w:space="0" w:color="auto"/>
            <w:right w:val="none" w:sz="0" w:space="0" w:color="auto"/>
          </w:divBdr>
          <w:divsChild>
            <w:div w:id="1647591297">
              <w:marLeft w:val="0"/>
              <w:marRight w:val="0"/>
              <w:marTop w:val="0"/>
              <w:marBottom w:val="0"/>
              <w:divBdr>
                <w:top w:val="none" w:sz="0" w:space="0" w:color="auto"/>
                <w:left w:val="none" w:sz="0" w:space="0" w:color="auto"/>
                <w:bottom w:val="none" w:sz="0" w:space="0" w:color="auto"/>
                <w:right w:val="none" w:sz="0" w:space="0" w:color="auto"/>
              </w:divBdr>
              <w:divsChild>
                <w:div w:id="105076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2562">
      <w:bodyDiv w:val="1"/>
      <w:marLeft w:val="0"/>
      <w:marRight w:val="0"/>
      <w:marTop w:val="0"/>
      <w:marBottom w:val="0"/>
      <w:divBdr>
        <w:top w:val="none" w:sz="0" w:space="0" w:color="auto"/>
        <w:left w:val="none" w:sz="0" w:space="0" w:color="auto"/>
        <w:bottom w:val="none" w:sz="0" w:space="0" w:color="auto"/>
        <w:right w:val="none" w:sz="0" w:space="0" w:color="auto"/>
      </w:divBdr>
      <w:divsChild>
        <w:div w:id="1721973076">
          <w:marLeft w:val="0"/>
          <w:marRight w:val="0"/>
          <w:marTop w:val="0"/>
          <w:marBottom w:val="0"/>
          <w:divBdr>
            <w:top w:val="none" w:sz="0" w:space="0" w:color="auto"/>
            <w:left w:val="none" w:sz="0" w:space="0" w:color="auto"/>
            <w:bottom w:val="none" w:sz="0" w:space="0" w:color="auto"/>
            <w:right w:val="none" w:sz="0" w:space="0" w:color="auto"/>
          </w:divBdr>
          <w:divsChild>
            <w:div w:id="473445916">
              <w:marLeft w:val="0"/>
              <w:marRight w:val="0"/>
              <w:marTop w:val="0"/>
              <w:marBottom w:val="0"/>
              <w:divBdr>
                <w:top w:val="none" w:sz="0" w:space="0" w:color="auto"/>
                <w:left w:val="none" w:sz="0" w:space="0" w:color="auto"/>
                <w:bottom w:val="none" w:sz="0" w:space="0" w:color="auto"/>
                <w:right w:val="none" w:sz="0" w:space="0" w:color="auto"/>
              </w:divBdr>
              <w:divsChild>
                <w:div w:id="9196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92543">
      <w:bodyDiv w:val="1"/>
      <w:marLeft w:val="0"/>
      <w:marRight w:val="0"/>
      <w:marTop w:val="0"/>
      <w:marBottom w:val="0"/>
      <w:divBdr>
        <w:top w:val="none" w:sz="0" w:space="0" w:color="auto"/>
        <w:left w:val="none" w:sz="0" w:space="0" w:color="auto"/>
        <w:bottom w:val="none" w:sz="0" w:space="0" w:color="auto"/>
        <w:right w:val="none" w:sz="0" w:space="0" w:color="auto"/>
      </w:divBdr>
    </w:div>
    <w:div w:id="1410545530">
      <w:bodyDiv w:val="1"/>
      <w:marLeft w:val="0"/>
      <w:marRight w:val="0"/>
      <w:marTop w:val="0"/>
      <w:marBottom w:val="0"/>
      <w:divBdr>
        <w:top w:val="none" w:sz="0" w:space="0" w:color="auto"/>
        <w:left w:val="none" w:sz="0" w:space="0" w:color="auto"/>
        <w:bottom w:val="none" w:sz="0" w:space="0" w:color="auto"/>
        <w:right w:val="none" w:sz="0" w:space="0" w:color="auto"/>
      </w:divBdr>
    </w:div>
    <w:div w:id="1424566759">
      <w:bodyDiv w:val="1"/>
      <w:marLeft w:val="0"/>
      <w:marRight w:val="0"/>
      <w:marTop w:val="0"/>
      <w:marBottom w:val="0"/>
      <w:divBdr>
        <w:top w:val="none" w:sz="0" w:space="0" w:color="auto"/>
        <w:left w:val="none" w:sz="0" w:space="0" w:color="auto"/>
        <w:bottom w:val="none" w:sz="0" w:space="0" w:color="auto"/>
        <w:right w:val="none" w:sz="0" w:space="0" w:color="auto"/>
      </w:divBdr>
    </w:div>
    <w:div w:id="1432898737">
      <w:bodyDiv w:val="1"/>
      <w:marLeft w:val="0"/>
      <w:marRight w:val="0"/>
      <w:marTop w:val="0"/>
      <w:marBottom w:val="0"/>
      <w:divBdr>
        <w:top w:val="none" w:sz="0" w:space="0" w:color="auto"/>
        <w:left w:val="none" w:sz="0" w:space="0" w:color="auto"/>
        <w:bottom w:val="none" w:sz="0" w:space="0" w:color="auto"/>
        <w:right w:val="none" w:sz="0" w:space="0" w:color="auto"/>
      </w:divBdr>
      <w:divsChild>
        <w:div w:id="559949562">
          <w:marLeft w:val="0"/>
          <w:marRight w:val="0"/>
          <w:marTop w:val="0"/>
          <w:marBottom w:val="0"/>
          <w:divBdr>
            <w:top w:val="none" w:sz="0" w:space="0" w:color="auto"/>
            <w:left w:val="none" w:sz="0" w:space="0" w:color="auto"/>
            <w:bottom w:val="none" w:sz="0" w:space="0" w:color="auto"/>
            <w:right w:val="none" w:sz="0" w:space="0" w:color="auto"/>
          </w:divBdr>
        </w:div>
      </w:divsChild>
    </w:div>
    <w:div w:id="1450121394">
      <w:bodyDiv w:val="1"/>
      <w:marLeft w:val="0"/>
      <w:marRight w:val="0"/>
      <w:marTop w:val="0"/>
      <w:marBottom w:val="0"/>
      <w:divBdr>
        <w:top w:val="none" w:sz="0" w:space="0" w:color="auto"/>
        <w:left w:val="none" w:sz="0" w:space="0" w:color="auto"/>
        <w:bottom w:val="none" w:sz="0" w:space="0" w:color="auto"/>
        <w:right w:val="none" w:sz="0" w:space="0" w:color="auto"/>
      </w:divBdr>
      <w:divsChild>
        <w:div w:id="293606904">
          <w:marLeft w:val="0"/>
          <w:marRight w:val="0"/>
          <w:marTop w:val="0"/>
          <w:marBottom w:val="0"/>
          <w:divBdr>
            <w:top w:val="none" w:sz="0" w:space="0" w:color="auto"/>
            <w:left w:val="none" w:sz="0" w:space="0" w:color="auto"/>
            <w:bottom w:val="none" w:sz="0" w:space="0" w:color="auto"/>
            <w:right w:val="none" w:sz="0" w:space="0" w:color="auto"/>
          </w:divBdr>
          <w:divsChild>
            <w:div w:id="1667242703">
              <w:marLeft w:val="0"/>
              <w:marRight w:val="0"/>
              <w:marTop w:val="0"/>
              <w:marBottom w:val="0"/>
              <w:divBdr>
                <w:top w:val="none" w:sz="0" w:space="0" w:color="auto"/>
                <w:left w:val="none" w:sz="0" w:space="0" w:color="auto"/>
                <w:bottom w:val="none" w:sz="0" w:space="0" w:color="auto"/>
                <w:right w:val="none" w:sz="0" w:space="0" w:color="auto"/>
              </w:divBdr>
              <w:divsChild>
                <w:div w:id="15559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25283">
      <w:bodyDiv w:val="1"/>
      <w:marLeft w:val="0"/>
      <w:marRight w:val="0"/>
      <w:marTop w:val="0"/>
      <w:marBottom w:val="0"/>
      <w:divBdr>
        <w:top w:val="none" w:sz="0" w:space="0" w:color="auto"/>
        <w:left w:val="none" w:sz="0" w:space="0" w:color="auto"/>
        <w:bottom w:val="none" w:sz="0" w:space="0" w:color="auto"/>
        <w:right w:val="none" w:sz="0" w:space="0" w:color="auto"/>
      </w:divBdr>
    </w:div>
    <w:div w:id="1462263082">
      <w:bodyDiv w:val="1"/>
      <w:marLeft w:val="0"/>
      <w:marRight w:val="0"/>
      <w:marTop w:val="0"/>
      <w:marBottom w:val="0"/>
      <w:divBdr>
        <w:top w:val="none" w:sz="0" w:space="0" w:color="auto"/>
        <w:left w:val="none" w:sz="0" w:space="0" w:color="auto"/>
        <w:bottom w:val="none" w:sz="0" w:space="0" w:color="auto"/>
        <w:right w:val="none" w:sz="0" w:space="0" w:color="auto"/>
      </w:divBdr>
      <w:divsChild>
        <w:div w:id="1827743108">
          <w:marLeft w:val="0"/>
          <w:marRight w:val="0"/>
          <w:marTop w:val="0"/>
          <w:marBottom w:val="0"/>
          <w:divBdr>
            <w:top w:val="none" w:sz="0" w:space="0" w:color="auto"/>
            <w:left w:val="none" w:sz="0" w:space="0" w:color="auto"/>
            <w:bottom w:val="none" w:sz="0" w:space="0" w:color="auto"/>
            <w:right w:val="none" w:sz="0" w:space="0" w:color="auto"/>
          </w:divBdr>
          <w:divsChild>
            <w:div w:id="670137299">
              <w:marLeft w:val="0"/>
              <w:marRight w:val="0"/>
              <w:marTop w:val="0"/>
              <w:marBottom w:val="0"/>
              <w:divBdr>
                <w:top w:val="none" w:sz="0" w:space="0" w:color="auto"/>
                <w:left w:val="none" w:sz="0" w:space="0" w:color="auto"/>
                <w:bottom w:val="none" w:sz="0" w:space="0" w:color="auto"/>
                <w:right w:val="none" w:sz="0" w:space="0" w:color="auto"/>
              </w:divBdr>
              <w:divsChild>
                <w:div w:id="1309629844">
                  <w:marLeft w:val="0"/>
                  <w:marRight w:val="0"/>
                  <w:marTop w:val="0"/>
                  <w:marBottom w:val="0"/>
                  <w:divBdr>
                    <w:top w:val="none" w:sz="0" w:space="0" w:color="auto"/>
                    <w:left w:val="none" w:sz="0" w:space="0" w:color="auto"/>
                    <w:bottom w:val="none" w:sz="0" w:space="0" w:color="auto"/>
                    <w:right w:val="none" w:sz="0" w:space="0" w:color="auto"/>
                  </w:divBdr>
                  <w:divsChild>
                    <w:div w:id="14321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00482">
      <w:bodyDiv w:val="1"/>
      <w:marLeft w:val="0"/>
      <w:marRight w:val="0"/>
      <w:marTop w:val="0"/>
      <w:marBottom w:val="0"/>
      <w:divBdr>
        <w:top w:val="none" w:sz="0" w:space="0" w:color="auto"/>
        <w:left w:val="none" w:sz="0" w:space="0" w:color="auto"/>
        <w:bottom w:val="none" w:sz="0" w:space="0" w:color="auto"/>
        <w:right w:val="none" w:sz="0" w:space="0" w:color="auto"/>
      </w:divBdr>
      <w:divsChild>
        <w:div w:id="217666408">
          <w:marLeft w:val="0"/>
          <w:marRight w:val="0"/>
          <w:marTop w:val="0"/>
          <w:marBottom w:val="0"/>
          <w:divBdr>
            <w:top w:val="none" w:sz="0" w:space="0" w:color="auto"/>
            <w:left w:val="none" w:sz="0" w:space="0" w:color="auto"/>
            <w:bottom w:val="none" w:sz="0" w:space="0" w:color="auto"/>
            <w:right w:val="none" w:sz="0" w:space="0" w:color="auto"/>
          </w:divBdr>
          <w:divsChild>
            <w:div w:id="2100255394">
              <w:marLeft w:val="0"/>
              <w:marRight w:val="0"/>
              <w:marTop w:val="0"/>
              <w:marBottom w:val="0"/>
              <w:divBdr>
                <w:top w:val="none" w:sz="0" w:space="0" w:color="auto"/>
                <w:left w:val="none" w:sz="0" w:space="0" w:color="auto"/>
                <w:bottom w:val="none" w:sz="0" w:space="0" w:color="auto"/>
                <w:right w:val="none" w:sz="0" w:space="0" w:color="auto"/>
              </w:divBdr>
              <w:divsChild>
                <w:div w:id="290789024">
                  <w:marLeft w:val="0"/>
                  <w:marRight w:val="0"/>
                  <w:marTop w:val="0"/>
                  <w:marBottom w:val="0"/>
                  <w:divBdr>
                    <w:top w:val="none" w:sz="0" w:space="0" w:color="auto"/>
                    <w:left w:val="none" w:sz="0" w:space="0" w:color="auto"/>
                    <w:bottom w:val="none" w:sz="0" w:space="0" w:color="auto"/>
                    <w:right w:val="none" w:sz="0" w:space="0" w:color="auto"/>
                  </w:divBdr>
                  <w:divsChild>
                    <w:div w:id="21377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829267">
      <w:bodyDiv w:val="1"/>
      <w:marLeft w:val="0"/>
      <w:marRight w:val="0"/>
      <w:marTop w:val="0"/>
      <w:marBottom w:val="0"/>
      <w:divBdr>
        <w:top w:val="none" w:sz="0" w:space="0" w:color="auto"/>
        <w:left w:val="none" w:sz="0" w:space="0" w:color="auto"/>
        <w:bottom w:val="none" w:sz="0" w:space="0" w:color="auto"/>
        <w:right w:val="none" w:sz="0" w:space="0" w:color="auto"/>
      </w:divBdr>
      <w:divsChild>
        <w:div w:id="211885377">
          <w:marLeft w:val="0"/>
          <w:marRight w:val="0"/>
          <w:marTop w:val="0"/>
          <w:marBottom w:val="0"/>
          <w:divBdr>
            <w:top w:val="none" w:sz="0" w:space="0" w:color="auto"/>
            <w:left w:val="none" w:sz="0" w:space="0" w:color="auto"/>
            <w:bottom w:val="none" w:sz="0" w:space="0" w:color="auto"/>
            <w:right w:val="none" w:sz="0" w:space="0" w:color="auto"/>
          </w:divBdr>
          <w:divsChild>
            <w:div w:id="560555956">
              <w:marLeft w:val="0"/>
              <w:marRight w:val="0"/>
              <w:marTop w:val="0"/>
              <w:marBottom w:val="0"/>
              <w:divBdr>
                <w:top w:val="none" w:sz="0" w:space="0" w:color="auto"/>
                <w:left w:val="none" w:sz="0" w:space="0" w:color="auto"/>
                <w:bottom w:val="none" w:sz="0" w:space="0" w:color="auto"/>
                <w:right w:val="none" w:sz="0" w:space="0" w:color="auto"/>
              </w:divBdr>
              <w:divsChild>
                <w:div w:id="992752908">
                  <w:marLeft w:val="0"/>
                  <w:marRight w:val="0"/>
                  <w:marTop w:val="0"/>
                  <w:marBottom w:val="0"/>
                  <w:divBdr>
                    <w:top w:val="none" w:sz="0" w:space="0" w:color="auto"/>
                    <w:left w:val="none" w:sz="0" w:space="0" w:color="auto"/>
                    <w:bottom w:val="none" w:sz="0" w:space="0" w:color="auto"/>
                    <w:right w:val="none" w:sz="0" w:space="0" w:color="auto"/>
                  </w:divBdr>
                  <w:divsChild>
                    <w:div w:id="16134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1290">
      <w:bodyDiv w:val="1"/>
      <w:marLeft w:val="0"/>
      <w:marRight w:val="0"/>
      <w:marTop w:val="0"/>
      <w:marBottom w:val="0"/>
      <w:divBdr>
        <w:top w:val="none" w:sz="0" w:space="0" w:color="auto"/>
        <w:left w:val="none" w:sz="0" w:space="0" w:color="auto"/>
        <w:bottom w:val="none" w:sz="0" w:space="0" w:color="auto"/>
        <w:right w:val="none" w:sz="0" w:space="0" w:color="auto"/>
      </w:divBdr>
      <w:divsChild>
        <w:div w:id="765425755">
          <w:marLeft w:val="0"/>
          <w:marRight w:val="0"/>
          <w:marTop w:val="0"/>
          <w:marBottom w:val="0"/>
          <w:divBdr>
            <w:top w:val="none" w:sz="0" w:space="0" w:color="auto"/>
            <w:left w:val="none" w:sz="0" w:space="0" w:color="auto"/>
            <w:bottom w:val="none" w:sz="0" w:space="0" w:color="auto"/>
            <w:right w:val="none" w:sz="0" w:space="0" w:color="auto"/>
          </w:divBdr>
          <w:divsChild>
            <w:div w:id="1389766376">
              <w:marLeft w:val="0"/>
              <w:marRight w:val="0"/>
              <w:marTop w:val="0"/>
              <w:marBottom w:val="0"/>
              <w:divBdr>
                <w:top w:val="none" w:sz="0" w:space="0" w:color="auto"/>
                <w:left w:val="none" w:sz="0" w:space="0" w:color="auto"/>
                <w:bottom w:val="none" w:sz="0" w:space="0" w:color="auto"/>
                <w:right w:val="none" w:sz="0" w:space="0" w:color="auto"/>
              </w:divBdr>
              <w:divsChild>
                <w:div w:id="17313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83599">
      <w:bodyDiv w:val="1"/>
      <w:marLeft w:val="0"/>
      <w:marRight w:val="0"/>
      <w:marTop w:val="0"/>
      <w:marBottom w:val="0"/>
      <w:divBdr>
        <w:top w:val="none" w:sz="0" w:space="0" w:color="auto"/>
        <w:left w:val="none" w:sz="0" w:space="0" w:color="auto"/>
        <w:bottom w:val="none" w:sz="0" w:space="0" w:color="auto"/>
        <w:right w:val="none" w:sz="0" w:space="0" w:color="auto"/>
      </w:divBdr>
    </w:div>
    <w:div w:id="1510409693">
      <w:bodyDiv w:val="1"/>
      <w:marLeft w:val="0"/>
      <w:marRight w:val="0"/>
      <w:marTop w:val="0"/>
      <w:marBottom w:val="0"/>
      <w:divBdr>
        <w:top w:val="none" w:sz="0" w:space="0" w:color="auto"/>
        <w:left w:val="none" w:sz="0" w:space="0" w:color="auto"/>
        <w:bottom w:val="none" w:sz="0" w:space="0" w:color="auto"/>
        <w:right w:val="none" w:sz="0" w:space="0" w:color="auto"/>
      </w:divBdr>
      <w:divsChild>
        <w:div w:id="298269599">
          <w:marLeft w:val="0"/>
          <w:marRight w:val="0"/>
          <w:marTop w:val="0"/>
          <w:marBottom w:val="0"/>
          <w:divBdr>
            <w:top w:val="none" w:sz="0" w:space="0" w:color="auto"/>
            <w:left w:val="none" w:sz="0" w:space="0" w:color="auto"/>
            <w:bottom w:val="none" w:sz="0" w:space="0" w:color="auto"/>
            <w:right w:val="none" w:sz="0" w:space="0" w:color="auto"/>
          </w:divBdr>
          <w:divsChild>
            <w:div w:id="839278239">
              <w:marLeft w:val="0"/>
              <w:marRight w:val="0"/>
              <w:marTop w:val="0"/>
              <w:marBottom w:val="0"/>
              <w:divBdr>
                <w:top w:val="none" w:sz="0" w:space="0" w:color="auto"/>
                <w:left w:val="none" w:sz="0" w:space="0" w:color="auto"/>
                <w:bottom w:val="none" w:sz="0" w:space="0" w:color="auto"/>
                <w:right w:val="none" w:sz="0" w:space="0" w:color="auto"/>
              </w:divBdr>
              <w:divsChild>
                <w:div w:id="22171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35287">
      <w:bodyDiv w:val="1"/>
      <w:marLeft w:val="0"/>
      <w:marRight w:val="0"/>
      <w:marTop w:val="0"/>
      <w:marBottom w:val="0"/>
      <w:divBdr>
        <w:top w:val="none" w:sz="0" w:space="0" w:color="auto"/>
        <w:left w:val="none" w:sz="0" w:space="0" w:color="auto"/>
        <w:bottom w:val="none" w:sz="0" w:space="0" w:color="auto"/>
        <w:right w:val="none" w:sz="0" w:space="0" w:color="auto"/>
      </w:divBdr>
      <w:divsChild>
        <w:div w:id="1060249621">
          <w:marLeft w:val="0"/>
          <w:marRight w:val="0"/>
          <w:marTop w:val="0"/>
          <w:marBottom w:val="0"/>
          <w:divBdr>
            <w:top w:val="none" w:sz="0" w:space="0" w:color="auto"/>
            <w:left w:val="none" w:sz="0" w:space="0" w:color="auto"/>
            <w:bottom w:val="none" w:sz="0" w:space="0" w:color="auto"/>
            <w:right w:val="none" w:sz="0" w:space="0" w:color="auto"/>
          </w:divBdr>
          <w:divsChild>
            <w:div w:id="214631776">
              <w:marLeft w:val="0"/>
              <w:marRight w:val="0"/>
              <w:marTop w:val="0"/>
              <w:marBottom w:val="0"/>
              <w:divBdr>
                <w:top w:val="none" w:sz="0" w:space="0" w:color="auto"/>
                <w:left w:val="none" w:sz="0" w:space="0" w:color="auto"/>
                <w:bottom w:val="none" w:sz="0" w:space="0" w:color="auto"/>
                <w:right w:val="none" w:sz="0" w:space="0" w:color="auto"/>
              </w:divBdr>
              <w:divsChild>
                <w:div w:id="2120102525">
                  <w:marLeft w:val="0"/>
                  <w:marRight w:val="0"/>
                  <w:marTop w:val="0"/>
                  <w:marBottom w:val="0"/>
                  <w:divBdr>
                    <w:top w:val="none" w:sz="0" w:space="0" w:color="auto"/>
                    <w:left w:val="none" w:sz="0" w:space="0" w:color="auto"/>
                    <w:bottom w:val="none" w:sz="0" w:space="0" w:color="auto"/>
                    <w:right w:val="none" w:sz="0" w:space="0" w:color="auto"/>
                  </w:divBdr>
                  <w:divsChild>
                    <w:div w:id="157053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061887">
      <w:bodyDiv w:val="1"/>
      <w:marLeft w:val="0"/>
      <w:marRight w:val="0"/>
      <w:marTop w:val="0"/>
      <w:marBottom w:val="0"/>
      <w:divBdr>
        <w:top w:val="none" w:sz="0" w:space="0" w:color="auto"/>
        <w:left w:val="none" w:sz="0" w:space="0" w:color="auto"/>
        <w:bottom w:val="none" w:sz="0" w:space="0" w:color="auto"/>
        <w:right w:val="none" w:sz="0" w:space="0" w:color="auto"/>
      </w:divBdr>
      <w:divsChild>
        <w:div w:id="1496536466">
          <w:marLeft w:val="0"/>
          <w:marRight w:val="0"/>
          <w:marTop w:val="0"/>
          <w:marBottom w:val="0"/>
          <w:divBdr>
            <w:top w:val="none" w:sz="0" w:space="0" w:color="auto"/>
            <w:left w:val="none" w:sz="0" w:space="0" w:color="auto"/>
            <w:bottom w:val="none" w:sz="0" w:space="0" w:color="auto"/>
            <w:right w:val="none" w:sz="0" w:space="0" w:color="auto"/>
          </w:divBdr>
          <w:divsChild>
            <w:div w:id="158229500">
              <w:marLeft w:val="0"/>
              <w:marRight w:val="0"/>
              <w:marTop w:val="0"/>
              <w:marBottom w:val="0"/>
              <w:divBdr>
                <w:top w:val="none" w:sz="0" w:space="0" w:color="auto"/>
                <w:left w:val="none" w:sz="0" w:space="0" w:color="auto"/>
                <w:bottom w:val="none" w:sz="0" w:space="0" w:color="auto"/>
                <w:right w:val="none" w:sz="0" w:space="0" w:color="auto"/>
              </w:divBdr>
              <w:divsChild>
                <w:div w:id="9552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8658">
      <w:bodyDiv w:val="1"/>
      <w:marLeft w:val="0"/>
      <w:marRight w:val="0"/>
      <w:marTop w:val="0"/>
      <w:marBottom w:val="0"/>
      <w:divBdr>
        <w:top w:val="none" w:sz="0" w:space="0" w:color="auto"/>
        <w:left w:val="none" w:sz="0" w:space="0" w:color="auto"/>
        <w:bottom w:val="none" w:sz="0" w:space="0" w:color="auto"/>
        <w:right w:val="none" w:sz="0" w:space="0" w:color="auto"/>
      </w:divBdr>
    </w:div>
    <w:div w:id="1546333051">
      <w:bodyDiv w:val="1"/>
      <w:marLeft w:val="0"/>
      <w:marRight w:val="0"/>
      <w:marTop w:val="0"/>
      <w:marBottom w:val="0"/>
      <w:divBdr>
        <w:top w:val="none" w:sz="0" w:space="0" w:color="auto"/>
        <w:left w:val="none" w:sz="0" w:space="0" w:color="auto"/>
        <w:bottom w:val="none" w:sz="0" w:space="0" w:color="auto"/>
        <w:right w:val="none" w:sz="0" w:space="0" w:color="auto"/>
      </w:divBdr>
      <w:divsChild>
        <w:div w:id="345405290">
          <w:marLeft w:val="0"/>
          <w:marRight w:val="0"/>
          <w:marTop w:val="0"/>
          <w:marBottom w:val="0"/>
          <w:divBdr>
            <w:top w:val="none" w:sz="0" w:space="0" w:color="auto"/>
            <w:left w:val="none" w:sz="0" w:space="0" w:color="auto"/>
            <w:bottom w:val="none" w:sz="0" w:space="0" w:color="auto"/>
            <w:right w:val="none" w:sz="0" w:space="0" w:color="auto"/>
          </w:divBdr>
          <w:divsChild>
            <w:div w:id="226108285">
              <w:marLeft w:val="0"/>
              <w:marRight w:val="0"/>
              <w:marTop w:val="0"/>
              <w:marBottom w:val="0"/>
              <w:divBdr>
                <w:top w:val="none" w:sz="0" w:space="0" w:color="auto"/>
                <w:left w:val="none" w:sz="0" w:space="0" w:color="auto"/>
                <w:bottom w:val="none" w:sz="0" w:space="0" w:color="auto"/>
                <w:right w:val="none" w:sz="0" w:space="0" w:color="auto"/>
              </w:divBdr>
              <w:divsChild>
                <w:div w:id="16228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90418">
      <w:bodyDiv w:val="1"/>
      <w:marLeft w:val="0"/>
      <w:marRight w:val="0"/>
      <w:marTop w:val="0"/>
      <w:marBottom w:val="0"/>
      <w:divBdr>
        <w:top w:val="none" w:sz="0" w:space="0" w:color="auto"/>
        <w:left w:val="none" w:sz="0" w:space="0" w:color="auto"/>
        <w:bottom w:val="none" w:sz="0" w:space="0" w:color="auto"/>
        <w:right w:val="none" w:sz="0" w:space="0" w:color="auto"/>
      </w:divBdr>
      <w:divsChild>
        <w:div w:id="808128746">
          <w:marLeft w:val="0"/>
          <w:marRight w:val="0"/>
          <w:marTop w:val="0"/>
          <w:marBottom w:val="0"/>
          <w:divBdr>
            <w:top w:val="none" w:sz="0" w:space="0" w:color="auto"/>
            <w:left w:val="none" w:sz="0" w:space="0" w:color="auto"/>
            <w:bottom w:val="none" w:sz="0" w:space="0" w:color="auto"/>
            <w:right w:val="none" w:sz="0" w:space="0" w:color="auto"/>
          </w:divBdr>
          <w:divsChild>
            <w:div w:id="1550262335">
              <w:marLeft w:val="0"/>
              <w:marRight w:val="0"/>
              <w:marTop w:val="0"/>
              <w:marBottom w:val="0"/>
              <w:divBdr>
                <w:top w:val="none" w:sz="0" w:space="0" w:color="auto"/>
                <w:left w:val="none" w:sz="0" w:space="0" w:color="auto"/>
                <w:bottom w:val="none" w:sz="0" w:space="0" w:color="auto"/>
                <w:right w:val="none" w:sz="0" w:space="0" w:color="auto"/>
              </w:divBdr>
              <w:divsChild>
                <w:div w:id="232544828">
                  <w:marLeft w:val="0"/>
                  <w:marRight w:val="0"/>
                  <w:marTop w:val="0"/>
                  <w:marBottom w:val="0"/>
                  <w:divBdr>
                    <w:top w:val="none" w:sz="0" w:space="0" w:color="auto"/>
                    <w:left w:val="none" w:sz="0" w:space="0" w:color="auto"/>
                    <w:bottom w:val="none" w:sz="0" w:space="0" w:color="auto"/>
                    <w:right w:val="none" w:sz="0" w:space="0" w:color="auto"/>
                  </w:divBdr>
                  <w:divsChild>
                    <w:div w:id="3976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982550">
      <w:bodyDiv w:val="1"/>
      <w:marLeft w:val="0"/>
      <w:marRight w:val="0"/>
      <w:marTop w:val="0"/>
      <w:marBottom w:val="0"/>
      <w:divBdr>
        <w:top w:val="none" w:sz="0" w:space="0" w:color="auto"/>
        <w:left w:val="none" w:sz="0" w:space="0" w:color="auto"/>
        <w:bottom w:val="none" w:sz="0" w:space="0" w:color="auto"/>
        <w:right w:val="none" w:sz="0" w:space="0" w:color="auto"/>
      </w:divBdr>
    </w:div>
    <w:div w:id="1586917771">
      <w:bodyDiv w:val="1"/>
      <w:marLeft w:val="0"/>
      <w:marRight w:val="0"/>
      <w:marTop w:val="0"/>
      <w:marBottom w:val="0"/>
      <w:divBdr>
        <w:top w:val="none" w:sz="0" w:space="0" w:color="auto"/>
        <w:left w:val="none" w:sz="0" w:space="0" w:color="auto"/>
        <w:bottom w:val="none" w:sz="0" w:space="0" w:color="auto"/>
        <w:right w:val="none" w:sz="0" w:space="0" w:color="auto"/>
      </w:divBdr>
    </w:div>
    <w:div w:id="1591308866">
      <w:bodyDiv w:val="1"/>
      <w:marLeft w:val="0"/>
      <w:marRight w:val="0"/>
      <w:marTop w:val="0"/>
      <w:marBottom w:val="0"/>
      <w:divBdr>
        <w:top w:val="none" w:sz="0" w:space="0" w:color="auto"/>
        <w:left w:val="none" w:sz="0" w:space="0" w:color="auto"/>
        <w:bottom w:val="none" w:sz="0" w:space="0" w:color="auto"/>
        <w:right w:val="none" w:sz="0" w:space="0" w:color="auto"/>
      </w:divBdr>
      <w:divsChild>
        <w:div w:id="59376913">
          <w:marLeft w:val="0"/>
          <w:marRight w:val="0"/>
          <w:marTop w:val="0"/>
          <w:marBottom w:val="0"/>
          <w:divBdr>
            <w:top w:val="none" w:sz="0" w:space="0" w:color="auto"/>
            <w:left w:val="none" w:sz="0" w:space="0" w:color="auto"/>
            <w:bottom w:val="none" w:sz="0" w:space="0" w:color="auto"/>
            <w:right w:val="none" w:sz="0" w:space="0" w:color="auto"/>
          </w:divBdr>
          <w:divsChild>
            <w:div w:id="803306538">
              <w:marLeft w:val="0"/>
              <w:marRight w:val="0"/>
              <w:marTop w:val="0"/>
              <w:marBottom w:val="0"/>
              <w:divBdr>
                <w:top w:val="none" w:sz="0" w:space="0" w:color="auto"/>
                <w:left w:val="none" w:sz="0" w:space="0" w:color="auto"/>
                <w:bottom w:val="none" w:sz="0" w:space="0" w:color="auto"/>
                <w:right w:val="none" w:sz="0" w:space="0" w:color="auto"/>
              </w:divBdr>
              <w:divsChild>
                <w:div w:id="1250114769">
                  <w:marLeft w:val="0"/>
                  <w:marRight w:val="0"/>
                  <w:marTop w:val="0"/>
                  <w:marBottom w:val="0"/>
                  <w:divBdr>
                    <w:top w:val="none" w:sz="0" w:space="0" w:color="auto"/>
                    <w:left w:val="none" w:sz="0" w:space="0" w:color="auto"/>
                    <w:bottom w:val="none" w:sz="0" w:space="0" w:color="auto"/>
                    <w:right w:val="none" w:sz="0" w:space="0" w:color="auto"/>
                  </w:divBdr>
                  <w:divsChild>
                    <w:div w:id="16749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650987">
      <w:bodyDiv w:val="1"/>
      <w:marLeft w:val="0"/>
      <w:marRight w:val="0"/>
      <w:marTop w:val="0"/>
      <w:marBottom w:val="0"/>
      <w:divBdr>
        <w:top w:val="none" w:sz="0" w:space="0" w:color="auto"/>
        <w:left w:val="none" w:sz="0" w:space="0" w:color="auto"/>
        <w:bottom w:val="none" w:sz="0" w:space="0" w:color="auto"/>
        <w:right w:val="none" w:sz="0" w:space="0" w:color="auto"/>
      </w:divBdr>
      <w:divsChild>
        <w:div w:id="1284314176">
          <w:marLeft w:val="0"/>
          <w:marRight w:val="0"/>
          <w:marTop w:val="0"/>
          <w:marBottom w:val="0"/>
          <w:divBdr>
            <w:top w:val="none" w:sz="0" w:space="0" w:color="auto"/>
            <w:left w:val="none" w:sz="0" w:space="0" w:color="auto"/>
            <w:bottom w:val="none" w:sz="0" w:space="0" w:color="auto"/>
            <w:right w:val="none" w:sz="0" w:space="0" w:color="auto"/>
          </w:divBdr>
          <w:divsChild>
            <w:div w:id="612326125">
              <w:marLeft w:val="0"/>
              <w:marRight w:val="0"/>
              <w:marTop w:val="0"/>
              <w:marBottom w:val="0"/>
              <w:divBdr>
                <w:top w:val="none" w:sz="0" w:space="0" w:color="auto"/>
                <w:left w:val="none" w:sz="0" w:space="0" w:color="auto"/>
                <w:bottom w:val="none" w:sz="0" w:space="0" w:color="auto"/>
                <w:right w:val="none" w:sz="0" w:space="0" w:color="auto"/>
              </w:divBdr>
              <w:divsChild>
                <w:div w:id="6178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52592">
      <w:bodyDiv w:val="1"/>
      <w:marLeft w:val="0"/>
      <w:marRight w:val="0"/>
      <w:marTop w:val="0"/>
      <w:marBottom w:val="0"/>
      <w:divBdr>
        <w:top w:val="none" w:sz="0" w:space="0" w:color="auto"/>
        <w:left w:val="none" w:sz="0" w:space="0" w:color="auto"/>
        <w:bottom w:val="none" w:sz="0" w:space="0" w:color="auto"/>
        <w:right w:val="none" w:sz="0" w:space="0" w:color="auto"/>
      </w:divBdr>
    </w:div>
    <w:div w:id="1624387471">
      <w:bodyDiv w:val="1"/>
      <w:marLeft w:val="0"/>
      <w:marRight w:val="0"/>
      <w:marTop w:val="0"/>
      <w:marBottom w:val="0"/>
      <w:divBdr>
        <w:top w:val="none" w:sz="0" w:space="0" w:color="auto"/>
        <w:left w:val="none" w:sz="0" w:space="0" w:color="auto"/>
        <w:bottom w:val="none" w:sz="0" w:space="0" w:color="auto"/>
        <w:right w:val="none" w:sz="0" w:space="0" w:color="auto"/>
      </w:divBdr>
      <w:divsChild>
        <w:div w:id="1433012837">
          <w:marLeft w:val="0"/>
          <w:marRight w:val="0"/>
          <w:marTop w:val="0"/>
          <w:marBottom w:val="0"/>
          <w:divBdr>
            <w:top w:val="none" w:sz="0" w:space="0" w:color="auto"/>
            <w:left w:val="none" w:sz="0" w:space="0" w:color="auto"/>
            <w:bottom w:val="none" w:sz="0" w:space="0" w:color="auto"/>
            <w:right w:val="none" w:sz="0" w:space="0" w:color="auto"/>
          </w:divBdr>
          <w:divsChild>
            <w:div w:id="1469858739">
              <w:marLeft w:val="0"/>
              <w:marRight w:val="0"/>
              <w:marTop w:val="0"/>
              <w:marBottom w:val="0"/>
              <w:divBdr>
                <w:top w:val="none" w:sz="0" w:space="0" w:color="auto"/>
                <w:left w:val="none" w:sz="0" w:space="0" w:color="auto"/>
                <w:bottom w:val="none" w:sz="0" w:space="0" w:color="auto"/>
                <w:right w:val="none" w:sz="0" w:space="0" w:color="auto"/>
              </w:divBdr>
              <w:divsChild>
                <w:div w:id="140903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79206">
      <w:bodyDiv w:val="1"/>
      <w:marLeft w:val="0"/>
      <w:marRight w:val="0"/>
      <w:marTop w:val="0"/>
      <w:marBottom w:val="0"/>
      <w:divBdr>
        <w:top w:val="none" w:sz="0" w:space="0" w:color="auto"/>
        <w:left w:val="none" w:sz="0" w:space="0" w:color="auto"/>
        <w:bottom w:val="none" w:sz="0" w:space="0" w:color="auto"/>
        <w:right w:val="none" w:sz="0" w:space="0" w:color="auto"/>
      </w:divBdr>
      <w:divsChild>
        <w:div w:id="1049916603">
          <w:marLeft w:val="0"/>
          <w:marRight w:val="0"/>
          <w:marTop w:val="0"/>
          <w:marBottom w:val="0"/>
          <w:divBdr>
            <w:top w:val="none" w:sz="0" w:space="0" w:color="auto"/>
            <w:left w:val="none" w:sz="0" w:space="0" w:color="auto"/>
            <w:bottom w:val="none" w:sz="0" w:space="0" w:color="auto"/>
            <w:right w:val="none" w:sz="0" w:space="0" w:color="auto"/>
          </w:divBdr>
          <w:divsChild>
            <w:div w:id="1225218770">
              <w:marLeft w:val="0"/>
              <w:marRight w:val="0"/>
              <w:marTop w:val="0"/>
              <w:marBottom w:val="0"/>
              <w:divBdr>
                <w:top w:val="none" w:sz="0" w:space="0" w:color="auto"/>
                <w:left w:val="none" w:sz="0" w:space="0" w:color="auto"/>
                <w:bottom w:val="none" w:sz="0" w:space="0" w:color="auto"/>
                <w:right w:val="none" w:sz="0" w:space="0" w:color="auto"/>
              </w:divBdr>
              <w:divsChild>
                <w:div w:id="1742210524">
                  <w:marLeft w:val="0"/>
                  <w:marRight w:val="0"/>
                  <w:marTop w:val="0"/>
                  <w:marBottom w:val="0"/>
                  <w:divBdr>
                    <w:top w:val="none" w:sz="0" w:space="0" w:color="auto"/>
                    <w:left w:val="none" w:sz="0" w:space="0" w:color="auto"/>
                    <w:bottom w:val="none" w:sz="0" w:space="0" w:color="auto"/>
                    <w:right w:val="none" w:sz="0" w:space="0" w:color="auto"/>
                  </w:divBdr>
                  <w:divsChild>
                    <w:div w:id="8049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86491">
      <w:bodyDiv w:val="1"/>
      <w:marLeft w:val="0"/>
      <w:marRight w:val="0"/>
      <w:marTop w:val="0"/>
      <w:marBottom w:val="0"/>
      <w:divBdr>
        <w:top w:val="none" w:sz="0" w:space="0" w:color="auto"/>
        <w:left w:val="none" w:sz="0" w:space="0" w:color="auto"/>
        <w:bottom w:val="none" w:sz="0" w:space="0" w:color="auto"/>
        <w:right w:val="none" w:sz="0" w:space="0" w:color="auto"/>
      </w:divBdr>
    </w:div>
    <w:div w:id="1629822075">
      <w:bodyDiv w:val="1"/>
      <w:marLeft w:val="0"/>
      <w:marRight w:val="0"/>
      <w:marTop w:val="0"/>
      <w:marBottom w:val="0"/>
      <w:divBdr>
        <w:top w:val="none" w:sz="0" w:space="0" w:color="auto"/>
        <w:left w:val="none" w:sz="0" w:space="0" w:color="auto"/>
        <w:bottom w:val="none" w:sz="0" w:space="0" w:color="auto"/>
        <w:right w:val="none" w:sz="0" w:space="0" w:color="auto"/>
      </w:divBdr>
      <w:divsChild>
        <w:div w:id="1419208457">
          <w:marLeft w:val="0"/>
          <w:marRight w:val="0"/>
          <w:marTop w:val="0"/>
          <w:marBottom w:val="0"/>
          <w:divBdr>
            <w:top w:val="none" w:sz="0" w:space="0" w:color="auto"/>
            <w:left w:val="none" w:sz="0" w:space="0" w:color="auto"/>
            <w:bottom w:val="none" w:sz="0" w:space="0" w:color="auto"/>
            <w:right w:val="none" w:sz="0" w:space="0" w:color="auto"/>
          </w:divBdr>
          <w:divsChild>
            <w:div w:id="674528280">
              <w:marLeft w:val="0"/>
              <w:marRight w:val="0"/>
              <w:marTop w:val="0"/>
              <w:marBottom w:val="0"/>
              <w:divBdr>
                <w:top w:val="none" w:sz="0" w:space="0" w:color="auto"/>
                <w:left w:val="none" w:sz="0" w:space="0" w:color="auto"/>
                <w:bottom w:val="none" w:sz="0" w:space="0" w:color="auto"/>
                <w:right w:val="none" w:sz="0" w:space="0" w:color="auto"/>
              </w:divBdr>
              <w:divsChild>
                <w:div w:id="2055423172">
                  <w:marLeft w:val="0"/>
                  <w:marRight w:val="0"/>
                  <w:marTop w:val="0"/>
                  <w:marBottom w:val="0"/>
                  <w:divBdr>
                    <w:top w:val="none" w:sz="0" w:space="0" w:color="auto"/>
                    <w:left w:val="none" w:sz="0" w:space="0" w:color="auto"/>
                    <w:bottom w:val="none" w:sz="0" w:space="0" w:color="auto"/>
                    <w:right w:val="none" w:sz="0" w:space="0" w:color="auto"/>
                  </w:divBdr>
                  <w:divsChild>
                    <w:div w:id="8847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93125">
      <w:bodyDiv w:val="1"/>
      <w:marLeft w:val="0"/>
      <w:marRight w:val="0"/>
      <w:marTop w:val="0"/>
      <w:marBottom w:val="0"/>
      <w:divBdr>
        <w:top w:val="none" w:sz="0" w:space="0" w:color="auto"/>
        <w:left w:val="none" w:sz="0" w:space="0" w:color="auto"/>
        <w:bottom w:val="none" w:sz="0" w:space="0" w:color="auto"/>
        <w:right w:val="none" w:sz="0" w:space="0" w:color="auto"/>
      </w:divBdr>
    </w:div>
    <w:div w:id="1643467214">
      <w:bodyDiv w:val="1"/>
      <w:marLeft w:val="0"/>
      <w:marRight w:val="0"/>
      <w:marTop w:val="0"/>
      <w:marBottom w:val="0"/>
      <w:divBdr>
        <w:top w:val="none" w:sz="0" w:space="0" w:color="auto"/>
        <w:left w:val="none" w:sz="0" w:space="0" w:color="auto"/>
        <w:bottom w:val="none" w:sz="0" w:space="0" w:color="auto"/>
        <w:right w:val="none" w:sz="0" w:space="0" w:color="auto"/>
      </w:divBdr>
      <w:divsChild>
        <w:div w:id="1317607305">
          <w:marLeft w:val="0"/>
          <w:marRight w:val="0"/>
          <w:marTop w:val="0"/>
          <w:marBottom w:val="0"/>
          <w:divBdr>
            <w:top w:val="none" w:sz="0" w:space="0" w:color="auto"/>
            <w:left w:val="none" w:sz="0" w:space="0" w:color="auto"/>
            <w:bottom w:val="none" w:sz="0" w:space="0" w:color="auto"/>
            <w:right w:val="none" w:sz="0" w:space="0" w:color="auto"/>
          </w:divBdr>
          <w:divsChild>
            <w:div w:id="2111124242">
              <w:marLeft w:val="0"/>
              <w:marRight w:val="0"/>
              <w:marTop w:val="0"/>
              <w:marBottom w:val="0"/>
              <w:divBdr>
                <w:top w:val="none" w:sz="0" w:space="0" w:color="auto"/>
                <w:left w:val="none" w:sz="0" w:space="0" w:color="auto"/>
                <w:bottom w:val="none" w:sz="0" w:space="0" w:color="auto"/>
                <w:right w:val="none" w:sz="0" w:space="0" w:color="auto"/>
              </w:divBdr>
              <w:divsChild>
                <w:div w:id="14878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9213">
      <w:bodyDiv w:val="1"/>
      <w:marLeft w:val="0"/>
      <w:marRight w:val="0"/>
      <w:marTop w:val="0"/>
      <w:marBottom w:val="0"/>
      <w:divBdr>
        <w:top w:val="none" w:sz="0" w:space="0" w:color="auto"/>
        <w:left w:val="none" w:sz="0" w:space="0" w:color="auto"/>
        <w:bottom w:val="none" w:sz="0" w:space="0" w:color="auto"/>
        <w:right w:val="none" w:sz="0" w:space="0" w:color="auto"/>
      </w:divBdr>
      <w:divsChild>
        <w:div w:id="1920602092">
          <w:marLeft w:val="0"/>
          <w:marRight w:val="0"/>
          <w:marTop w:val="0"/>
          <w:marBottom w:val="0"/>
          <w:divBdr>
            <w:top w:val="none" w:sz="0" w:space="0" w:color="auto"/>
            <w:left w:val="none" w:sz="0" w:space="0" w:color="auto"/>
            <w:bottom w:val="none" w:sz="0" w:space="0" w:color="auto"/>
            <w:right w:val="none" w:sz="0" w:space="0" w:color="auto"/>
          </w:divBdr>
          <w:divsChild>
            <w:div w:id="1118646474">
              <w:marLeft w:val="0"/>
              <w:marRight w:val="0"/>
              <w:marTop w:val="0"/>
              <w:marBottom w:val="0"/>
              <w:divBdr>
                <w:top w:val="none" w:sz="0" w:space="0" w:color="auto"/>
                <w:left w:val="none" w:sz="0" w:space="0" w:color="auto"/>
                <w:bottom w:val="none" w:sz="0" w:space="0" w:color="auto"/>
                <w:right w:val="none" w:sz="0" w:space="0" w:color="auto"/>
              </w:divBdr>
              <w:divsChild>
                <w:div w:id="1190070785">
                  <w:marLeft w:val="0"/>
                  <w:marRight w:val="0"/>
                  <w:marTop w:val="0"/>
                  <w:marBottom w:val="0"/>
                  <w:divBdr>
                    <w:top w:val="none" w:sz="0" w:space="0" w:color="auto"/>
                    <w:left w:val="none" w:sz="0" w:space="0" w:color="auto"/>
                    <w:bottom w:val="none" w:sz="0" w:space="0" w:color="auto"/>
                    <w:right w:val="none" w:sz="0" w:space="0" w:color="auto"/>
                  </w:divBdr>
                </w:div>
              </w:divsChild>
            </w:div>
            <w:div w:id="706685507">
              <w:marLeft w:val="0"/>
              <w:marRight w:val="0"/>
              <w:marTop w:val="0"/>
              <w:marBottom w:val="0"/>
              <w:divBdr>
                <w:top w:val="none" w:sz="0" w:space="0" w:color="auto"/>
                <w:left w:val="none" w:sz="0" w:space="0" w:color="auto"/>
                <w:bottom w:val="none" w:sz="0" w:space="0" w:color="auto"/>
                <w:right w:val="none" w:sz="0" w:space="0" w:color="auto"/>
              </w:divBdr>
              <w:divsChild>
                <w:div w:id="15553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1906">
      <w:bodyDiv w:val="1"/>
      <w:marLeft w:val="0"/>
      <w:marRight w:val="0"/>
      <w:marTop w:val="0"/>
      <w:marBottom w:val="0"/>
      <w:divBdr>
        <w:top w:val="none" w:sz="0" w:space="0" w:color="auto"/>
        <w:left w:val="none" w:sz="0" w:space="0" w:color="auto"/>
        <w:bottom w:val="none" w:sz="0" w:space="0" w:color="auto"/>
        <w:right w:val="none" w:sz="0" w:space="0" w:color="auto"/>
      </w:divBdr>
    </w:div>
    <w:div w:id="1655530254">
      <w:bodyDiv w:val="1"/>
      <w:marLeft w:val="0"/>
      <w:marRight w:val="0"/>
      <w:marTop w:val="0"/>
      <w:marBottom w:val="0"/>
      <w:divBdr>
        <w:top w:val="none" w:sz="0" w:space="0" w:color="auto"/>
        <w:left w:val="none" w:sz="0" w:space="0" w:color="auto"/>
        <w:bottom w:val="none" w:sz="0" w:space="0" w:color="auto"/>
        <w:right w:val="none" w:sz="0" w:space="0" w:color="auto"/>
      </w:divBdr>
      <w:divsChild>
        <w:div w:id="2135784312">
          <w:marLeft w:val="0"/>
          <w:marRight w:val="0"/>
          <w:marTop w:val="0"/>
          <w:marBottom w:val="0"/>
          <w:divBdr>
            <w:top w:val="none" w:sz="0" w:space="0" w:color="auto"/>
            <w:left w:val="none" w:sz="0" w:space="0" w:color="auto"/>
            <w:bottom w:val="none" w:sz="0" w:space="0" w:color="auto"/>
            <w:right w:val="none" w:sz="0" w:space="0" w:color="auto"/>
          </w:divBdr>
          <w:divsChild>
            <w:div w:id="1398825944">
              <w:marLeft w:val="0"/>
              <w:marRight w:val="0"/>
              <w:marTop w:val="0"/>
              <w:marBottom w:val="0"/>
              <w:divBdr>
                <w:top w:val="none" w:sz="0" w:space="0" w:color="auto"/>
                <w:left w:val="none" w:sz="0" w:space="0" w:color="auto"/>
                <w:bottom w:val="none" w:sz="0" w:space="0" w:color="auto"/>
                <w:right w:val="none" w:sz="0" w:space="0" w:color="auto"/>
              </w:divBdr>
              <w:divsChild>
                <w:div w:id="5538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7105">
      <w:bodyDiv w:val="1"/>
      <w:marLeft w:val="0"/>
      <w:marRight w:val="0"/>
      <w:marTop w:val="0"/>
      <w:marBottom w:val="0"/>
      <w:divBdr>
        <w:top w:val="none" w:sz="0" w:space="0" w:color="auto"/>
        <w:left w:val="none" w:sz="0" w:space="0" w:color="auto"/>
        <w:bottom w:val="none" w:sz="0" w:space="0" w:color="auto"/>
        <w:right w:val="none" w:sz="0" w:space="0" w:color="auto"/>
      </w:divBdr>
      <w:divsChild>
        <w:div w:id="712539117">
          <w:marLeft w:val="0"/>
          <w:marRight w:val="0"/>
          <w:marTop w:val="0"/>
          <w:marBottom w:val="0"/>
          <w:divBdr>
            <w:top w:val="none" w:sz="0" w:space="0" w:color="auto"/>
            <w:left w:val="none" w:sz="0" w:space="0" w:color="auto"/>
            <w:bottom w:val="none" w:sz="0" w:space="0" w:color="auto"/>
            <w:right w:val="none" w:sz="0" w:space="0" w:color="auto"/>
          </w:divBdr>
          <w:divsChild>
            <w:div w:id="1819688932">
              <w:marLeft w:val="0"/>
              <w:marRight w:val="0"/>
              <w:marTop w:val="0"/>
              <w:marBottom w:val="0"/>
              <w:divBdr>
                <w:top w:val="none" w:sz="0" w:space="0" w:color="auto"/>
                <w:left w:val="none" w:sz="0" w:space="0" w:color="auto"/>
                <w:bottom w:val="none" w:sz="0" w:space="0" w:color="auto"/>
                <w:right w:val="none" w:sz="0" w:space="0" w:color="auto"/>
              </w:divBdr>
              <w:divsChild>
                <w:div w:id="601035977">
                  <w:marLeft w:val="0"/>
                  <w:marRight w:val="0"/>
                  <w:marTop w:val="0"/>
                  <w:marBottom w:val="0"/>
                  <w:divBdr>
                    <w:top w:val="none" w:sz="0" w:space="0" w:color="auto"/>
                    <w:left w:val="none" w:sz="0" w:space="0" w:color="auto"/>
                    <w:bottom w:val="none" w:sz="0" w:space="0" w:color="auto"/>
                    <w:right w:val="none" w:sz="0" w:space="0" w:color="auto"/>
                  </w:divBdr>
                  <w:divsChild>
                    <w:div w:id="1519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266825">
      <w:bodyDiv w:val="1"/>
      <w:marLeft w:val="0"/>
      <w:marRight w:val="0"/>
      <w:marTop w:val="0"/>
      <w:marBottom w:val="0"/>
      <w:divBdr>
        <w:top w:val="none" w:sz="0" w:space="0" w:color="auto"/>
        <w:left w:val="none" w:sz="0" w:space="0" w:color="auto"/>
        <w:bottom w:val="none" w:sz="0" w:space="0" w:color="auto"/>
        <w:right w:val="none" w:sz="0" w:space="0" w:color="auto"/>
      </w:divBdr>
      <w:divsChild>
        <w:div w:id="2037777010">
          <w:marLeft w:val="0"/>
          <w:marRight w:val="0"/>
          <w:marTop w:val="0"/>
          <w:marBottom w:val="0"/>
          <w:divBdr>
            <w:top w:val="none" w:sz="0" w:space="0" w:color="auto"/>
            <w:left w:val="none" w:sz="0" w:space="0" w:color="auto"/>
            <w:bottom w:val="none" w:sz="0" w:space="0" w:color="auto"/>
            <w:right w:val="none" w:sz="0" w:space="0" w:color="auto"/>
          </w:divBdr>
          <w:divsChild>
            <w:div w:id="2030720136">
              <w:marLeft w:val="0"/>
              <w:marRight w:val="0"/>
              <w:marTop w:val="0"/>
              <w:marBottom w:val="0"/>
              <w:divBdr>
                <w:top w:val="none" w:sz="0" w:space="0" w:color="auto"/>
                <w:left w:val="none" w:sz="0" w:space="0" w:color="auto"/>
                <w:bottom w:val="none" w:sz="0" w:space="0" w:color="auto"/>
                <w:right w:val="none" w:sz="0" w:space="0" w:color="auto"/>
              </w:divBdr>
              <w:divsChild>
                <w:div w:id="14342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29130">
      <w:bodyDiv w:val="1"/>
      <w:marLeft w:val="0"/>
      <w:marRight w:val="0"/>
      <w:marTop w:val="0"/>
      <w:marBottom w:val="0"/>
      <w:divBdr>
        <w:top w:val="none" w:sz="0" w:space="0" w:color="auto"/>
        <w:left w:val="none" w:sz="0" w:space="0" w:color="auto"/>
        <w:bottom w:val="none" w:sz="0" w:space="0" w:color="auto"/>
        <w:right w:val="none" w:sz="0" w:space="0" w:color="auto"/>
      </w:divBdr>
      <w:divsChild>
        <w:div w:id="733284852">
          <w:marLeft w:val="0"/>
          <w:marRight w:val="0"/>
          <w:marTop w:val="0"/>
          <w:marBottom w:val="0"/>
          <w:divBdr>
            <w:top w:val="none" w:sz="0" w:space="0" w:color="auto"/>
            <w:left w:val="none" w:sz="0" w:space="0" w:color="auto"/>
            <w:bottom w:val="none" w:sz="0" w:space="0" w:color="auto"/>
            <w:right w:val="none" w:sz="0" w:space="0" w:color="auto"/>
          </w:divBdr>
          <w:divsChild>
            <w:div w:id="507670223">
              <w:marLeft w:val="0"/>
              <w:marRight w:val="0"/>
              <w:marTop w:val="0"/>
              <w:marBottom w:val="0"/>
              <w:divBdr>
                <w:top w:val="none" w:sz="0" w:space="0" w:color="auto"/>
                <w:left w:val="none" w:sz="0" w:space="0" w:color="auto"/>
                <w:bottom w:val="none" w:sz="0" w:space="0" w:color="auto"/>
                <w:right w:val="none" w:sz="0" w:space="0" w:color="auto"/>
              </w:divBdr>
              <w:divsChild>
                <w:div w:id="1123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26380">
      <w:bodyDiv w:val="1"/>
      <w:marLeft w:val="0"/>
      <w:marRight w:val="0"/>
      <w:marTop w:val="0"/>
      <w:marBottom w:val="0"/>
      <w:divBdr>
        <w:top w:val="none" w:sz="0" w:space="0" w:color="auto"/>
        <w:left w:val="none" w:sz="0" w:space="0" w:color="auto"/>
        <w:bottom w:val="none" w:sz="0" w:space="0" w:color="auto"/>
        <w:right w:val="none" w:sz="0" w:space="0" w:color="auto"/>
      </w:divBdr>
    </w:div>
    <w:div w:id="1705906337">
      <w:bodyDiv w:val="1"/>
      <w:marLeft w:val="0"/>
      <w:marRight w:val="0"/>
      <w:marTop w:val="0"/>
      <w:marBottom w:val="0"/>
      <w:divBdr>
        <w:top w:val="none" w:sz="0" w:space="0" w:color="auto"/>
        <w:left w:val="none" w:sz="0" w:space="0" w:color="auto"/>
        <w:bottom w:val="none" w:sz="0" w:space="0" w:color="auto"/>
        <w:right w:val="none" w:sz="0" w:space="0" w:color="auto"/>
      </w:divBdr>
      <w:divsChild>
        <w:div w:id="624232825">
          <w:marLeft w:val="0"/>
          <w:marRight w:val="0"/>
          <w:marTop w:val="0"/>
          <w:marBottom w:val="0"/>
          <w:divBdr>
            <w:top w:val="none" w:sz="0" w:space="0" w:color="auto"/>
            <w:left w:val="none" w:sz="0" w:space="0" w:color="auto"/>
            <w:bottom w:val="none" w:sz="0" w:space="0" w:color="auto"/>
            <w:right w:val="none" w:sz="0" w:space="0" w:color="auto"/>
          </w:divBdr>
          <w:divsChild>
            <w:div w:id="1637758811">
              <w:marLeft w:val="0"/>
              <w:marRight w:val="0"/>
              <w:marTop w:val="0"/>
              <w:marBottom w:val="0"/>
              <w:divBdr>
                <w:top w:val="none" w:sz="0" w:space="0" w:color="auto"/>
                <w:left w:val="none" w:sz="0" w:space="0" w:color="auto"/>
                <w:bottom w:val="none" w:sz="0" w:space="0" w:color="auto"/>
                <w:right w:val="none" w:sz="0" w:space="0" w:color="auto"/>
              </w:divBdr>
              <w:divsChild>
                <w:div w:id="8938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7249">
      <w:bodyDiv w:val="1"/>
      <w:marLeft w:val="0"/>
      <w:marRight w:val="0"/>
      <w:marTop w:val="0"/>
      <w:marBottom w:val="0"/>
      <w:divBdr>
        <w:top w:val="none" w:sz="0" w:space="0" w:color="auto"/>
        <w:left w:val="none" w:sz="0" w:space="0" w:color="auto"/>
        <w:bottom w:val="none" w:sz="0" w:space="0" w:color="auto"/>
        <w:right w:val="none" w:sz="0" w:space="0" w:color="auto"/>
      </w:divBdr>
    </w:div>
    <w:div w:id="1722049585">
      <w:bodyDiv w:val="1"/>
      <w:marLeft w:val="0"/>
      <w:marRight w:val="0"/>
      <w:marTop w:val="0"/>
      <w:marBottom w:val="0"/>
      <w:divBdr>
        <w:top w:val="none" w:sz="0" w:space="0" w:color="auto"/>
        <w:left w:val="none" w:sz="0" w:space="0" w:color="auto"/>
        <w:bottom w:val="none" w:sz="0" w:space="0" w:color="auto"/>
        <w:right w:val="none" w:sz="0" w:space="0" w:color="auto"/>
      </w:divBdr>
      <w:divsChild>
        <w:div w:id="1606691659">
          <w:marLeft w:val="0"/>
          <w:marRight w:val="0"/>
          <w:marTop w:val="0"/>
          <w:marBottom w:val="0"/>
          <w:divBdr>
            <w:top w:val="none" w:sz="0" w:space="0" w:color="auto"/>
            <w:left w:val="none" w:sz="0" w:space="0" w:color="auto"/>
            <w:bottom w:val="none" w:sz="0" w:space="0" w:color="auto"/>
            <w:right w:val="none" w:sz="0" w:space="0" w:color="auto"/>
          </w:divBdr>
          <w:divsChild>
            <w:div w:id="501089112">
              <w:marLeft w:val="0"/>
              <w:marRight w:val="0"/>
              <w:marTop w:val="0"/>
              <w:marBottom w:val="0"/>
              <w:divBdr>
                <w:top w:val="none" w:sz="0" w:space="0" w:color="auto"/>
                <w:left w:val="none" w:sz="0" w:space="0" w:color="auto"/>
                <w:bottom w:val="none" w:sz="0" w:space="0" w:color="auto"/>
                <w:right w:val="none" w:sz="0" w:space="0" w:color="auto"/>
              </w:divBdr>
              <w:divsChild>
                <w:div w:id="569659135">
                  <w:marLeft w:val="0"/>
                  <w:marRight w:val="0"/>
                  <w:marTop w:val="0"/>
                  <w:marBottom w:val="0"/>
                  <w:divBdr>
                    <w:top w:val="none" w:sz="0" w:space="0" w:color="auto"/>
                    <w:left w:val="none" w:sz="0" w:space="0" w:color="auto"/>
                    <w:bottom w:val="none" w:sz="0" w:space="0" w:color="auto"/>
                    <w:right w:val="none" w:sz="0" w:space="0" w:color="auto"/>
                  </w:divBdr>
                  <w:divsChild>
                    <w:div w:id="584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09952">
      <w:bodyDiv w:val="1"/>
      <w:marLeft w:val="0"/>
      <w:marRight w:val="0"/>
      <w:marTop w:val="0"/>
      <w:marBottom w:val="0"/>
      <w:divBdr>
        <w:top w:val="none" w:sz="0" w:space="0" w:color="auto"/>
        <w:left w:val="none" w:sz="0" w:space="0" w:color="auto"/>
        <w:bottom w:val="none" w:sz="0" w:space="0" w:color="auto"/>
        <w:right w:val="none" w:sz="0" w:space="0" w:color="auto"/>
      </w:divBdr>
      <w:divsChild>
        <w:div w:id="1669599596">
          <w:marLeft w:val="0"/>
          <w:marRight w:val="0"/>
          <w:marTop w:val="0"/>
          <w:marBottom w:val="0"/>
          <w:divBdr>
            <w:top w:val="none" w:sz="0" w:space="0" w:color="auto"/>
            <w:left w:val="none" w:sz="0" w:space="0" w:color="auto"/>
            <w:bottom w:val="none" w:sz="0" w:space="0" w:color="auto"/>
            <w:right w:val="none" w:sz="0" w:space="0" w:color="auto"/>
          </w:divBdr>
          <w:divsChild>
            <w:div w:id="150754760">
              <w:marLeft w:val="0"/>
              <w:marRight w:val="0"/>
              <w:marTop w:val="0"/>
              <w:marBottom w:val="0"/>
              <w:divBdr>
                <w:top w:val="none" w:sz="0" w:space="0" w:color="auto"/>
                <w:left w:val="none" w:sz="0" w:space="0" w:color="auto"/>
                <w:bottom w:val="none" w:sz="0" w:space="0" w:color="auto"/>
                <w:right w:val="none" w:sz="0" w:space="0" w:color="auto"/>
              </w:divBdr>
              <w:divsChild>
                <w:div w:id="1274097481">
                  <w:marLeft w:val="0"/>
                  <w:marRight w:val="0"/>
                  <w:marTop w:val="0"/>
                  <w:marBottom w:val="0"/>
                  <w:divBdr>
                    <w:top w:val="none" w:sz="0" w:space="0" w:color="auto"/>
                    <w:left w:val="none" w:sz="0" w:space="0" w:color="auto"/>
                    <w:bottom w:val="none" w:sz="0" w:space="0" w:color="auto"/>
                    <w:right w:val="none" w:sz="0" w:space="0" w:color="auto"/>
                  </w:divBdr>
                </w:div>
              </w:divsChild>
            </w:div>
            <w:div w:id="1203052279">
              <w:marLeft w:val="0"/>
              <w:marRight w:val="0"/>
              <w:marTop w:val="0"/>
              <w:marBottom w:val="0"/>
              <w:divBdr>
                <w:top w:val="none" w:sz="0" w:space="0" w:color="auto"/>
                <w:left w:val="none" w:sz="0" w:space="0" w:color="auto"/>
                <w:bottom w:val="none" w:sz="0" w:space="0" w:color="auto"/>
                <w:right w:val="none" w:sz="0" w:space="0" w:color="auto"/>
              </w:divBdr>
              <w:divsChild>
                <w:div w:id="861016309">
                  <w:marLeft w:val="0"/>
                  <w:marRight w:val="0"/>
                  <w:marTop w:val="0"/>
                  <w:marBottom w:val="0"/>
                  <w:divBdr>
                    <w:top w:val="none" w:sz="0" w:space="0" w:color="auto"/>
                    <w:left w:val="none" w:sz="0" w:space="0" w:color="auto"/>
                    <w:bottom w:val="none" w:sz="0" w:space="0" w:color="auto"/>
                    <w:right w:val="none" w:sz="0" w:space="0" w:color="auto"/>
                  </w:divBdr>
                  <w:divsChild>
                    <w:div w:id="1816296254">
                      <w:marLeft w:val="0"/>
                      <w:marRight w:val="0"/>
                      <w:marTop w:val="0"/>
                      <w:marBottom w:val="0"/>
                      <w:divBdr>
                        <w:top w:val="none" w:sz="0" w:space="0" w:color="auto"/>
                        <w:left w:val="none" w:sz="0" w:space="0" w:color="auto"/>
                        <w:bottom w:val="none" w:sz="0" w:space="0" w:color="auto"/>
                        <w:right w:val="none" w:sz="0" w:space="0" w:color="auto"/>
                      </w:divBdr>
                    </w:div>
                  </w:divsChild>
                </w:div>
                <w:div w:id="1898280689">
                  <w:marLeft w:val="0"/>
                  <w:marRight w:val="0"/>
                  <w:marTop w:val="0"/>
                  <w:marBottom w:val="0"/>
                  <w:divBdr>
                    <w:top w:val="none" w:sz="0" w:space="0" w:color="auto"/>
                    <w:left w:val="none" w:sz="0" w:space="0" w:color="auto"/>
                    <w:bottom w:val="none" w:sz="0" w:space="0" w:color="auto"/>
                    <w:right w:val="none" w:sz="0" w:space="0" w:color="auto"/>
                  </w:divBdr>
                  <w:divsChild>
                    <w:div w:id="14118399">
                      <w:marLeft w:val="0"/>
                      <w:marRight w:val="0"/>
                      <w:marTop w:val="0"/>
                      <w:marBottom w:val="0"/>
                      <w:divBdr>
                        <w:top w:val="none" w:sz="0" w:space="0" w:color="auto"/>
                        <w:left w:val="none" w:sz="0" w:space="0" w:color="auto"/>
                        <w:bottom w:val="none" w:sz="0" w:space="0" w:color="auto"/>
                        <w:right w:val="none" w:sz="0" w:space="0" w:color="auto"/>
                      </w:divBdr>
                    </w:div>
                  </w:divsChild>
                </w:div>
                <w:div w:id="777137195">
                  <w:marLeft w:val="0"/>
                  <w:marRight w:val="0"/>
                  <w:marTop w:val="0"/>
                  <w:marBottom w:val="0"/>
                  <w:divBdr>
                    <w:top w:val="none" w:sz="0" w:space="0" w:color="auto"/>
                    <w:left w:val="none" w:sz="0" w:space="0" w:color="auto"/>
                    <w:bottom w:val="none" w:sz="0" w:space="0" w:color="auto"/>
                    <w:right w:val="none" w:sz="0" w:space="0" w:color="auto"/>
                  </w:divBdr>
                  <w:divsChild>
                    <w:div w:id="976446662">
                      <w:marLeft w:val="0"/>
                      <w:marRight w:val="0"/>
                      <w:marTop w:val="0"/>
                      <w:marBottom w:val="0"/>
                      <w:divBdr>
                        <w:top w:val="none" w:sz="0" w:space="0" w:color="auto"/>
                        <w:left w:val="none" w:sz="0" w:space="0" w:color="auto"/>
                        <w:bottom w:val="none" w:sz="0" w:space="0" w:color="auto"/>
                        <w:right w:val="none" w:sz="0" w:space="0" w:color="auto"/>
                      </w:divBdr>
                    </w:div>
                  </w:divsChild>
                </w:div>
                <w:div w:id="448087219">
                  <w:marLeft w:val="0"/>
                  <w:marRight w:val="0"/>
                  <w:marTop w:val="0"/>
                  <w:marBottom w:val="0"/>
                  <w:divBdr>
                    <w:top w:val="none" w:sz="0" w:space="0" w:color="auto"/>
                    <w:left w:val="none" w:sz="0" w:space="0" w:color="auto"/>
                    <w:bottom w:val="none" w:sz="0" w:space="0" w:color="auto"/>
                    <w:right w:val="none" w:sz="0" w:space="0" w:color="auto"/>
                  </w:divBdr>
                  <w:divsChild>
                    <w:div w:id="342051559">
                      <w:marLeft w:val="0"/>
                      <w:marRight w:val="0"/>
                      <w:marTop w:val="0"/>
                      <w:marBottom w:val="0"/>
                      <w:divBdr>
                        <w:top w:val="none" w:sz="0" w:space="0" w:color="auto"/>
                        <w:left w:val="none" w:sz="0" w:space="0" w:color="auto"/>
                        <w:bottom w:val="none" w:sz="0" w:space="0" w:color="auto"/>
                        <w:right w:val="none" w:sz="0" w:space="0" w:color="auto"/>
                      </w:divBdr>
                    </w:div>
                  </w:divsChild>
                </w:div>
                <w:div w:id="70784121">
                  <w:marLeft w:val="0"/>
                  <w:marRight w:val="0"/>
                  <w:marTop w:val="0"/>
                  <w:marBottom w:val="0"/>
                  <w:divBdr>
                    <w:top w:val="none" w:sz="0" w:space="0" w:color="auto"/>
                    <w:left w:val="none" w:sz="0" w:space="0" w:color="auto"/>
                    <w:bottom w:val="none" w:sz="0" w:space="0" w:color="auto"/>
                    <w:right w:val="none" w:sz="0" w:space="0" w:color="auto"/>
                  </w:divBdr>
                  <w:divsChild>
                    <w:div w:id="285047323">
                      <w:marLeft w:val="0"/>
                      <w:marRight w:val="0"/>
                      <w:marTop w:val="0"/>
                      <w:marBottom w:val="0"/>
                      <w:divBdr>
                        <w:top w:val="none" w:sz="0" w:space="0" w:color="auto"/>
                        <w:left w:val="none" w:sz="0" w:space="0" w:color="auto"/>
                        <w:bottom w:val="none" w:sz="0" w:space="0" w:color="auto"/>
                        <w:right w:val="none" w:sz="0" w:space="0" w:color="auto"/>
                      </w:divBdr>
                    </w:div>
                  </w:divsChild>
                </w:div>
                <w:div w:id="1098330317">
                  <w:marLeft w:val="0"/>
                  <w:marRight w:val="0"/>
                  <w:marTop w:val="0"/>
                  <w:marBottom w:val="0"/>
                  <w:divBdr>
                    <w:top w:val="none" w:sz="0" w:space="0" w:color="auto"/>
                    <w:left w:val="none" w:sz="0" w:space="0" w:color="auto"/>
                    <w:bottom w:val="none" w:sz="0" w:space="0" w:color="auto"/>
                    <w:right w:val="none" w:sz="0" w:space="0" w:color="auto"/>
                  </w:divBdr>
                  <w:divsChild>
                    <w:div w:id="2039039653">
                      <w:marLeft w:val="0"/>
                      <w:marRight w:val="0"/>
                      <w:marTop w:val="0"/>
                      <w:marBottom w:val="0"/>
                      <w:divBdr>
                        <w:top w:val="none" w:sz="0" w:space="0" w:color="auto"/>
                        <w:left w:val="none" w:sz="0" w:space="0" w:color="auto"/>
                        <w:bottom w:val="none" w:sz="0" w:space="0" w:color="auto"/>
                        <w:right w:val="none" w:sz="0" w:space="0" w:color="auto"/>
                      </w:divBdr>
                    </w:div>
                  </w:divsChild>
                </w:div>
                <w:div w:id="1347444683">
                  <w:marLeft w:val="0"/>
                  <w:marRight w:val="0"/>
                  <w:marTop w:val="0"/>
                  <w:marBottom w:val="0"/>
                  <w:divBdr>
                    <w:top w:val="none" w:sz="0" w:space="0" w:color="auto"/>
                    <w:left w:val="none" w:sz="0" w:space="0" w:color="auto"/>
                    <w:bottom w:val="none" w:sz="0" w:space="0" w:color="auto"/>
                    <w:right w:val="none" w:sz="0" w:space="0" w:color="auto"/>
                  </w:divBdr>
                  <w:divsChild>
                    <w:div w:id="1215847666">
                      <w:marLeft w:val="0"/>
                      <w:marRight w:val="0"/>
                      <w:marTop w:val="0"/>
                      <w:marBottom w:val="0"/>
                      <w:divBdr>
                        <w:top w:val="none" w:sz="0" w:space="0" w:color="auto"/>
                        <w:left w:val="none" w:sz="0" w:space="0" w:color="auto"/>
                        <w:bottom w:val="none" w:sz="0" w:space="0" w:color="auto"/>
                        <w:right w:val="none" w:sz="0" w:space="0" w:color="auto"/>
                      </w:divBdr>
                    </w:div>
                  </w:divsChild>
                </w:div>
                <w:div w:id="655259763">
                  <w:marLeft w:val="0"/>
                  <w:marRight w:val="0"/>
                  <w:marTop w:val="0"/>
                  <w:marBottom w:val="0"/>
                  <w:divBdr>
                    <w:top w:val="none" w:sz="0" w:space="0" w:color="auto"/>
                    <w:left w:val="none" w:sz="0" w:space="0" w:color="auto"/>
                    <w:bottom w:val="none" w:sz="0" w:space="0" w:color="auto"/>
                    <w:right w:val="none" w:sz="0" w:space="0" w:color="auto"/>
                  </w:divBdr>
                  <w:divsChild>
                    <w:div w:id="145171623">
                      <w:marLeft w:val="0"/>
                      <w:marRight w:val="0"/>
                      <w:marTop w:val="0"/>
                      <w:marBottom w:val="0"/>
                      <w:divBdr>
                        <w:top w:val="none" w:sz="0" w:space="0" w:color="auto"/>
                        <w:left w:val="none" w:sz="0" w:space="0" w:color="auto"/>
                        <w:bottom w:val="none" w:sz="0" w:space="0" w:color="auto"/>
                        <w:right w:val="none" w:sz="0" w:space="0" w:color="auto"/>
                      </w:divBdr>
                    </w:div>
                  </w:divsChild>
                </w:div>
                <w:div w:id="1926960445">
                  <w:marLeft w:val="0"/>
                  <w:marRight w:val="0"/>
                  <w:marTop w:val="0"/>
                  <w:marBottom w:val="0"/>
                  <w:divBdr>
                    <w:top w:val="none" w:sz="0" w:space="0" w:color="auto"/>
                    <w:left w:val="none" w:sz="0" w:space="0" w:color="auto"/>
                    <w:bottom w:val="none" w:sz="0" w:space="0" w:color="auto"/>
                    <w:right w:val="none" w:sz="0" w:space="0" w:color="auto"/>
                  </w:divBdr>
                  <w:divsChild>
                    <w:div w:id="1930389601">
                      <w:marLeft w:val="0"/>
                      <w:marRight w:val="0"/>
                      <w:marTop w:val="0"/>
                      <w:marBottom w:val="0"/>
                      <w:divBdr>
                        <w:top w:val="none" w:sz="0" w:space="0" w:color="auto"/>
                        <w:left w:val="none" w:sz="0" w:space="0" w:color="auto"/>
                        <w:bottom w:val="none" w:sz="0" w:space="0" w:color="auto"/>
                        <w:right w:val="none" w:sz="0" w:space="0" w:color="auto"/>
                      </w:divBdr>
                    </w:div>
                  </w:divsChild>
                </w:div>
                <w:div w:id="843008622">
                  <w:marLeft w:val="0"/>
                  <w:marRight w:val="0"/>
                  <w:marTop w:val="0"/>
                  <w:marBottom w:val="0"/>
                  <w:divBdr>
                    <w:top w:val="none" w:sz="0" w:space="0" w:color="auto"/>
                    <w:left w:val="none" w:sz="0" w:space="0" w:color="auto"/>
                    <w:bottom w:val="none" w:sz="0" w:space="0" w:color="auto"/>
                    <w:right w:val="none" w:sz="0" w:space="0" w:color="auto"/>
                  </w:divBdr>
                  <w:divsChild>
                    <w:div w:id="1226069216">
                      <w:marLeft w:val="0"/>
                      <w:marRight w:val="0"/>
                      <w:marTop w:val="0"/>
                      <w:marBottom w:val="0"/>
                      <w:divBdr>
                        <w:top w:val="none" w:sz="0" w:space="0" w:color="auto"/>
                        <w:left w:val="none" w:sz="0" w:space="0" w:color="auto"/>
                        <w:bottom w:val="none" w:sz="0" w:space="0" w:color="auto"/>
                        <w:right w:val="none" w:sz="0" w:space="0" w:color="auto"/>
                      </w:divBdr>
                    </w:div>
                  </w:divsChild>
                </w:div>
                <w:div w:id="1590850993">
                  <w:marLeft w:val="0"/>
                  <w:marRight w:val="0"/>
                  <w:marTop w:val="0"/>
                  <w:marBottom w:val="0"/>
                  <w:divBdr>
                    <w:top w:val="none" w:sz="0" w:space="0" w:color="auto"/>
                    <w:left w:val="none" w:sz="0" w:space="0" w:color="auto"/>
                    <w:bottom w:val="none" w:sz="0" w:space="0" w:color="auto"/>
                    <w:right w:val="none" w:sz="0" w:space="0" w:color="auto"/>
                  </w:divBdr>
                  <w:divsChild>
                    <w:div w:id="1790202441">
                      <w:marLeft w:val="0"/>
                      <w:marRight w:val="0"/>
                      <w:marTop w:val="0"/>
                      <w:marBottom w:val="0"/>
                      <w:divBdr>
                        <w:top w:val="none" w:sz="0" w:space="0" w:color="auto"/>
                        <w:left w:val="none" w:sz="0" w:space="0" w:color="auto"/>
                        <w:bottom w:val="none" w:sz="0" w:space="0" w:color="auto"/>
                        <w:right w:val="none" w:sz="0" w:space="0" w:color="auto"/>
                      </w:divBdr>
                    </w:div>
                  </w:divsChild>
                </w:div>
                <w:div w:id="983503732">
                  <w:marLeft w:val="0"/>
                  <w:marRight w:val="0"/>
                  <w:marTop w:val="0"/>
                  <w:marBottom w:val="0"/>
                  <w:divBdr>
                    <w:top w:val="none" w:sz="0" w:space="0" w:color="auto"/>
                    <w:left w:val="none" w:sz="0" w:space="0" w:color="auto"/>
                    <w:bottom w:val="none" w:sz="0" w:space="0" w:color="auto"/>
                    <w:right w:val="none" w:sz="0" w:space="0" w:color="auto"/>
                  </w:divBdr>
                  <w:divsChild>
                    <w:div w:id="892078012">
                      <w:marLeft w:val="0"/>
                      <w:marRight w:val="0"/>
                      <w:marTop w:val="0"/>
                      <w:marBottom w:val="0"/>
                      <w:divBdr>
                        <w:top w:val="none" w:sz="0" w:space="0" w:color="auto"/>
                        <w:left w:val="none" w:sz="0" w:space="0" w:color="auto"/>
                        <w:bottom w:val="none" w:sz="0" w:space="0" w:color="auto"/>
                        <w:right w:val="none" w:sz="0" w:space="0" w:color="auto"/>
                      </w:divBdr>
                    </w:div>
                  </w:divsChild>
                </w:div>
                <w:div w:id="2060203631">
                  <w:marLeft w:val="0"/>
                  <w:marRight w:val="0"/>
                  <w:marTop w:val="0"/>
                  <w:marBottom w:val="0"/>
                  <w:divBdr>
                    <w:top w:val="none" w:sz="0" w:space="0" w:color="auto"/>
                    <w:left w:val="none" w:sz="0" w:space="0" w:color="auto"/>
                    <w:bottom w:val="none" w:sz="0" w:space="0" w:color="auto"/>
                    <w:right w:val="none" w:sz="0" w:space="0" w:color="auto"/>
                  </w:divBdr>
                  <w:divsChild>
                    <w:div w:id="1741832567">
                      <w:marLeft w:val="0"/>
                      <w:marRight w:val="0"/>
                      <w:marTop w:val="0"/>
                      <w:marBottom w:val="0"/>
                      <w:divBdr>
                        <w:top w:val="none" w:sz="0" w:space="0" w:color="auto"/>
                        <w:left w:val="none" w:sz="0" w:space="0" w:color="auto"/>
                        <w:bottom w:val="none" w:sz="0" w:space="0" w:color="auto"/>
                        <w:right w:val="none" w:sz="0" w:space="0" w:color="auto"/>
                      </w:divBdr>
                    </w:div>
                  </w:divsChild>
                </w:div>
                <w:div w:id="1312325631">
                  <w:marLeft w:val="0"/>
                  <w:marRight w:val="0"/>
                  <w:marTop w:val="0"/>
                  <w:marBottom w:val="0"/>
                  <w:divBdr>
                    <w:top w:val="none" w:sz="0" w:space="0" w:color="auto"/>
                    <w:left w:val="none" w:sz="0" w:space="0" w:color="auto"/>
                    <w:bottom w:val="none" w:sz="0" w:space="0" w:color="auto"/>
                    <w:right w:val="none" w:sz="0" w:space="0" w:color="auto"/>
                  </w:divBdr>
                  <w:divsChild>
                    <w:div w:id="1314791111">
                      <w:marLeft w:val="0"/>
                      <w:marRight w:val="0"/>
                      <w:marTop w:val="0"/>
                      <w:marBottom w:val="0"/>
                      <w:divBdr>
                        <w:top w:val="none" w:sz="0" w:space="0" w:color="auto"/>
                        <w:left w:val="none" w:sz="0" w:space="0" w:color="auto"/>
                        <w:bottom w:val="none" w:sz="0" w:space="0" w:color="auto"/>
                        <w:right w:val="none" w:sz="0" w:space="0" w:color="auto"/>
                      </w:divBdr>
                    </w:div>
                  </w:divsChild>
                </w:div>
                <w:div w:id="1925261839">
                  <w:marLeft w:val="0"/>
                  <w:marRight w:val="0"/>
                  <w:marTop w:val="0"/>
                  <w:marBottom w:val="0"/>
                  <w:divBdr>
                    <w:top w:val="none" w:sz="0" w:space="0" w:color="auto"/>
                    <w:left w:val="none" w:sz="0" w:space="0" w:color="auto"/>
                    <w:bottom w:val="none" w:sz="0" w:space="0" w:color="auto"/>
                    <w:right w:val="none" w:sz="0" w:space="0" w:color="auto"/>
                  </w:divBdr>
                  <w:divsChild>
                    <w:div w:id="261960857">
                      <w:marLeft w:val="0"/>
                      <w:marRight w:val="0"/>
                      <w:marTop w:val="0"/>
                      <w:marBottom w:val="0"/>
                      <w:divBdr>
                        <w:top w:val="none" w:sz="0" w:space="0" w:color="auto"/>
                        <w:left w:val="none" w:sz="0" w:space="0" w:color="auto"/>
                        <w:bottom w:val="none" w:sz="0" w:space="0" w:color="auto"/>
                        <w:right w:val="none" w:sz="0" w:space="0" w:color="auto"/>
                      </w:divBdr>
                    </w:div>
                  </w:divsChild>
                </w:div>
                <w:div w:id="407458463">
                  <w:marLeft w:val="0"/>
                  <w:marRight w:val="0"/>
                  <w:marTop w:val="0"/>
                  <w:marBottom w:val="0"/>
                  <w:divBdr>
                    <w:top w:val="none" w:sz="0" w:space="0" w:color="auto"/>
                    <w:left w:val="none" w:sz="0" w:space="0" w:color="auto"/>
                    <w:bottom w:val="none" w:sz="0" w:space="0" w:color="auto"/>
                    <w:right w:val="none" w:sz="0" w:space="0" w:color="auto"/>
                  </w:divBdr>
                  <w:divsChild>
                    <w:div w:id="345250345">
                      <w:marLeft w:val="0"/>
                      <w:marRight w:val="0"/>
                      <w:marTop w:val="0"/>
                      <w:marBottom w:val="0"/>
                      <w:divBdr>
                        <w:top w:val="none" w:sz="0" w:space="0" w:color="auto"/>
                        <w:left w:val="none" w:sz="0" w:space="0" w:color="auto"/>
                        <w:bottom w:val="none" w:sz="0" w:space="0" w:color="auto"/>
                        <w:right w:val="none" w:sz="0" w:space="0" w:color="auto"/>
                      </w:divBdr>
                    </w:div>
                  </w:divsChild>
                </w:div>
                <w:div w:id="1044207717">
                  <w:marLeft w:val="0"/>
                  <w:marRight w:val="0"/>
                  <w:marTop w:val="0"/>
                  <w:marBottom w:val="0"/>
                  <w:divBdr>
                    <w:top w:val="none" w:sz="0" w:space="0" w:color="auto"/>
                    <w:left w:val="none" w:sz="0" w:space="0" w:color="auto"/>
                    <w:bottom w:val="none" w:sz="0" w:space="0" w:color="auto"/>
                    <w:right w:val="none" w:sz="0" w:space="0" w:color="auto"/>
                  </w:divBdr>
                  <w:divsChild>
                    <w:div w:id="7915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3293">
              <w:marLeft w:val="0"/>
              <w:marRight w:val="0"/>
              <w:marTop w:val="0"/>
              <w:marBottom w:val="0"/>
              <w:divBdr>
                <w:top w:val="none" w:sz="0" w:space="0" w:color="auto"/>
                <w:left w:val="none" w:sz="0" w:space="0" w:color="auto"/>
                <w:bottom w:val="none" w:sz="0" w:space="0" w:color="auto"/>
                <w:right w:val="none" w:sz="0" w:space="0" w:color="auto"/>
              </w:divBdr>
              <w:divsChild>
                <w:div w:id="1732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659790">
      <w:bodyDiv w:val="1"/>
      <w:marLeft w:val="0"/>
      <w:marRight w:val="0"/>
      <w:marTop w:val="0"/>
      <w:marBottom w:val="0"/>
      <w:divBdr>
        <w:top w:val="none" w:sz="0" w:space="0" w:color="auto"/>
        <w:left w:val="none" w:sz="0" w:space="0" w:color="auto"/>
        <w:bottom w:val="none" w:sz="0" w:space="0" w:color="auto"/>
        <w:right w:val="none" w:sz="0" w:space="0" w:color="auto"/>
      </w:divBdr>
      <w:divsChild>
        <w:div w:id="1800689189">
          <w:marLeft w:val="0"/>
          <w:marRight w:val="0"/>
          <w:marTop w:val="0"/>
          <w:marBottom w:val="0"/>
          <w:divBdr>
            <w:top w:val="none" w:sz="0" w:space="0" w:color="auto"/>
            <w:left w:val="none" w:sz="0" w:space="0" w:color="auto"/>
            <w:bottom w:val="none" w:sz="0" w:space="0" w:color="auto"/>
            <w:right w:val="none" w:sz="0" w:space="0" w:color="auto"/>
          </w:divBdr>
          <w:divsChild>
            <w:div w:id="1419248112">
              <w:marLeft w:val="0"/>
              <w:marRight w:val="0"/>
              <w:marTop w:val="0"/>
              <w:marBottom w:val="0"/>
              <w:divBdr>
                <w:top w:val="none" w:sz="0" w:space="0" w:color="auto"/>
                <w:left w:val="none" w:sz="0" w:space="0" w:color="auto"/>
                <w:bottom w:val="none" w:sz="0" w:space="0" w:color="auto"/>
                <w:right w:val="none" w:sz="0" w:space="0" w:color="auto"/>
              </w:divBdr>
              <w:divsChild>
                <w:div w:id="15674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37485">
      <w:bodyDiv w:val="1"/>
      <w:marLeft w:val="0"/>
      <w:marRight w:val="0"/>
      <w:marTop w:val="0"/>
      <w:marBottom w:val="0"/>
      <w:divBdr>
        <w:top w:val="none" w:sz="0" w:space="0" w:color="auto"/>
        <w:left w:val="none" w:sz="0" w:space="0" w:color="auto"/>
        <w:bottom w:val="none" w:sz="0" w:space="0" w:color="auto"/>
        <w:right w:val="none" w:sz="0" w:space="0" w:color="auto"/>
      </w:divBdr>
    </w:div>
    <w:div w:id="1749957599">
      <w:bodyDiv w:val="1"/>
      <w:marLeft w:val="0"/>
      <w:marRight w:val="0"/>
      <w:marTop w:val="0"/>
      <w:marBottom w:val="0"/>
      <w:divBdr>
        <w:top w:val="none" w:sz="0" w:space="0" w:color="auto"/>
        <w:left w:val="none" w:sz="0" w:space="0" w:color="auto"/>
        <w:bottom w:val="none" w:sz="0" w:space="0" w:color="auto"/>
        <w:right w:val="none" w:sz="0" w:space="0" w:color="auto"/>
      </w:divBdr>
      <w:divsChild>
        <w:div w:id="1278678754">
          <w:marLeft w:val="0"/>
          <w:marRight w:val="0"/>
          <w:marTop w:val="0"/>
          <w:marBottom w:val="0"/>
          <w:divBdr>
            <w:top w:val="none" w:sz="0" w:space="0" w:color="auto"/>
            <w:left w:val="none" w:sz="0" w:space="0" w:color="auto"/>
            <w:bottom w:val="none" w:sz="0" w:space="0" w:color="auto"/>
            <w:right w:val="none" w:sz="0" w:space="0" w:color="auto"/>
          </w:divBdr>
          <w:divsChild>
            <w:div w:id="1534339364">
              <w:marLeft w:val="0"/>
              <w:marRight w:val="0"/>
              <w:marTop w:val="0"/>
              <w:marBottom w:val="0"/>
              <w:divBdr>
                <w:top w:val="none" w:sz="0" w:space="0" w:color="auto"/>
                <w:left w:val="none" w:sz="0" w:space="0" w:color="auto"/>
                <w:bottom w:val="none" w:sz="0" w:space="0" w:color="auto"/>
                <w:right w:val="none" w:sz="0" w:space="0" w:color="auto"/>
              </w:divBdr>
              <w:divsChild>
                <w:div w:id="2282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95563">
      <w:bodyDiv w:val="1"/>
      <w:marLeft w:val="0"/>
      <w:marRight w:val="0"/>
      <w:marTop w:val="0"/>
      <w:marBottom w:val="0"/>
      <w:divBdr>
        <w:top w:val="none" w:sz="0" w:space="0" w:color="auto"/>
        <w:left w:val="none" w:sz="0" w:space="0" w:color="auto"/>
        <w:bottom w:val="none" w:sz="0" w:space="0" w:color="auto"/>
        <w:right w:val="none" w:sz="0" w:space="0" w:color="auto"/>
      </w:divBdr>
    </w:div>
    <w:div w:id="1813057560">
      <w:bodyDiv w:val="1"/>
      <w:marLeft w:val="0"/>
      <w:marRight w:val="0"/>
      <w:marTop w:val="0"/>
      <w:marBottom w:val="0"/>
      <w:divBdr>
        <w:top w:val="none" w:sz="0" w:space="0" w:color="auto"/>
        <w:left w:val="none" w:sz="0" w:space="0" w:color="auto"/>
        <w:bottom w:val="none" w:sz="0" w:space="0" w:color="auto"/>
        <w:right w:val="none" w:sz="0" w:space="0" w:color="auto"/>
      </w:divBdr>
      <w:divsChild>
        <w:div w:id="530413232">
          <w:marLeft w:val="0"/>
          <w:marRight w:val="0"/>
          <w:marTop w:val="0"/>
          <w:marBottom w:val="0"/>
          <w:divBdr>
            <w:top w:val="none" w:sz="0" w:space="0" w:color="auto"/>
            <w:left w:val="none" w:sz="0" w:space="0" w:color="auto"/>
            <w:bottom w:val="none" w:sz="0" w:space="0" w:color="auto"/>
            <w:right w:val="none" w:sz="0" w:space="0" w:color="auto"/>
          </w:divBdr>
          <w:divsChild>
            <w:div w:id="644622480">
              <w:marLeft w:val="0"/>
              <w:marRight w:val="0"/>
              <w:marTop w:val="0"/>
              <w:marBottom w:val="0"/>
              <w:divBdr>
                <w:top w:val="none" w:sz="0" w:space="0" w:color="auto"/>
                <w:left w:val="none" w:sz="0" w:space="0" w:color="auto"/>
                <w:bottom w:val="none" w:sz="0" w:space="0" w:color="auto"/>
                <w:right w:val="none" w:sz="0" w:space="0" w:color="auto"/>
              </w:divBdr>
              <w:divsChild>
                <w:div w:id="2436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832">
      <w:bodyDiv w:val="1"/>
      <w:marLeft w:val="0"/>
      <w:marRight w:val="0"/>
      <w:marTop w:val="0"/>
      <w:marBottom w:val="0"/>
      <w:divBdr>
        <w:top w:val="none" w:sz="0" w:space="0" w:color="auto"/>
        <w:left w:val="none" w:sz="0" w:space="0" w:color="auto"/>
        <w:bottom w:val="none" w:sz="0" w:space="0" w:color="auto"/>
        <w:right w:val="none" w:sz="0" w:space="0" w:color="auto"/>
      </w:divBdr>
      <w:divsChild>
        <w:div w:id="1061713077">
          <w:marLeft w:val="0"/>
          <w:marRight w:val="0"/>
          <w:marTop w:val="0"/>
          <w:marBottom w:val="0"/>
          <w:divBdr>
            <w:top w:val="none" w:sz="0" w:space="0" w:color="auto"/>
            <w:left w:val="none" w:sz="0" w:space="0" w:color="auto"/>
            <w:bottom w:val="none" w:sz="0" w:space="0" w:color="auto"/>
            <w:right w:val="none" w:sz="0" w:space="0" w:color="auto"/>
          </w:divBdr>
          <w:divsChild>
            <w:div w:id="527792121">
              <w:marLeft w:val="0"/>
              <w:marRight w:val="0"/>
              <w:marTop w:val="0"/>
              <w:marBottom w:val="0"/>
              <w:divBdr>
                <w:top w:val="none" w:sz="0" w:space="0" w:color="auto"/>
                <w:left w:val="none" w:sz="0" w:space="0" w:color="auto"/>
                <w:bottom w:val="none" w:sz="0" w:space="0" w:color="auto"/>
                <w:right w:val="none" w:sz="0" w:space="0" w:color="auto"/>
              </w:divBdr>
              <w:divsChild>
                <w:div w:id="8516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6133">
      <w:bodyDiv w:val="1"/>
      <w:marLeft w:val="0"/>
      <w:marRight w:val="0"/>
      <w:marTop w:val="0"/>
      <w:marBottom w:val="0"/>
      <w:divBdr>
        <w:top w:val="none" w:sz="0" w:space="0" w:color="auto"/>
        <w:left w:val="none" w:sz="0" w:space="0" w:color="auto"/>
        <w:bottom w:val="none" w:sz="0" w:space="0" w:color="auto"/>
        <w:right w:val="none" w:sz="0" w:space="0" w:color="auto"/>
      </w:divBdr>
      <w:divsChild>
        <w:div w:id="116530197">
          <w:marLeft w:val="0"/>
          <w:marRight w:val="0"/>
          <w:marTop w:val="0"/>
          <w:marBottom w:val="0"/>
          <w:divBdr>
            <w:top w:val="none" w:sz="0" w:space="0" w:color="auto"/>
            <w:left w:val="none" w:sz="0" w:space="0" w:color="auto"/>
            <w:bottom w:val="none" w:sz="0" w:space="0" w:color="auto"/>
            <w:right w:val="none" w:sz="0" w:space="0" w:color="auto"/>
          </w:divBdr>
          <w:divsChild>
            <w:div w:id="1276790362">
              <w:marLeft w:val="0"/>
              <w:marRight w:val="0"/>
              <w:marTop w:val="0"/>
              <w:marBottom w:val="0"/>
              <w:divBdr>
                <w:top w:val="none" w:sz="0" w:space="0" w:color="auto"/>
                <w:left w:val="none" w:sz="0" w:space="0" w:color="auto"/>
                <w:bottom w:val="none" w:sz="0" w:space="0" w:color="auto"/>
                <w:right w:val="none" w:sz="0" w:space="0" w:color="auto"/>
              </w:divBdr>
              <w:divsChild>
                <w:div w:id="289091666">
                  <w:marLeft w:val="0"/>
                  <w:marRight w:val="0"/>
                  <w:marTop w:val="0"/>
                  <w:marBottom w:val="0"/>
                  <w:divBdr>
                    <w:top w:val="none" w:sz="0" w:space="0" w:color="auto"/>
                    <w:left w:val="none" w:sz="0" w:space="0" w:color="auto"/>
                    <w:bottom w:val="none" w:sz="0" w:space="0" w:color="auto"/>
                    <w:right w:val="none" w:sz="0" w:space="0" w:color="auto"/>
                  </w:divBdr>
                  <w:divsChild>
                    <w:div w:id="9667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59468">
      <w:bodyDiv w:val="1"/>
      <w:marLeft w:val="0"/>
      <w:marRight w:val="0"/>
      <w:marTop w:val="0"/>
      <w:marBottom w:val="0"/>
      <w:divBdr>
        <w:top w:val="none" w:sz="0" w:space="0" w:color="auto"/>
        <w:left w:val="none" w:sz="0" w:space="0" w:color="auto"/>
        <w:bottom w:val="none" w:sz="0" w:space="0" w:color="auto"/>
        <w:right w:val="none" w:sz="0" w:space="0" w:color="auto"/>
      </w:divBdr>
      <w:divsChild>
        <w:div w:id="98264094">
          <w:marLeft w:val="0"/>
          <w:marRight w:val="0"/>
          <w:marTop w:val="0"/>
          <w:marBottom w:val="0"/>
          <w:divBdr>
            <w:top w:val="none" w:sz="0" w:space="0" w:color="auto"/>
            <w:left w:val="none" w:sz="0" w:space="0" w:color="auto"/>
            <w:bottom w:val="none" w:sz="0" w:space="0" w:color="auto"/>
            <w:right w:val="none" w:sz="0" w:space="0" w:color="auto"/>
          </w:divBdr>
          <w:divsChild>
            <w:div w:id="248659264">
              <w:marLeft w:val="0"/>
              <w:marRight w:val="0"/>
              <w:marTop w:val="0"/>
              <w:marBottom w:val="0"/>
              <w:divBdr>
                <w:top w:val="none" w:sz="0" w:space="0" w:color="auto"/>
                <w:left w:val="none" w:sz="0" w:space="0" w:color="auto"/>
                <w:bottom w:val="none" w:sz="0" w:space="0" w:color="auto"/>
                <w:right w:val="none" w:sz="0" w:space="0" w:color="auto"/>
              </w:divBdr>
              <w:divsChild>
                <w:div w:id="599220178">
                  <w:marLeft w:val="0"/>
                  <w:marRight w:val="0"/>
                  <w:marTop w:val="0"/>
                  <w:marBottom w:val="0"/>
                  <w:divBdr>
                    <w:top w:val="none" w:sz="0" w:space="0" w:color="auto"/>
                    <w:left w:val="none" w:sz="0" w:space="0" w:color="auto"/>
                    <w:bottom w:val="none" w:sz="0" w:space="0" w:color="auto"/>
                    <w:right w:val="none" w:sz="0" w:space="0" w:color="auto"/>
                  </w:divBdr>
                </w:div>
              </w:divsChild>
            </w:div>
            <w:div w:id="1307470075">
              <w:marLeft w:val="0"/>
              <w:marRight w:val="0"/>
              <w:marTop w:val="0"/>
              <w:marBottom w:val="0"/>
              <w:divBdr>
                <w:top w:val="none" w:sz="0" w:space="0" w:color="auto"/>
                <w:left w:val="none" w:sz="0" w:space="0" w:color="auto"/>
                <w:bottom w:val="none" w:sz="0" w:space="0" w:color="auto"/>
                <w:right w:val="none" w:sz="0" w:space="0" w:color="auto"/>
              </w:divBdr>
              <w:divsChild>
                <w:div w:id="1585065585">
                  <w:marLeft w:val="0"/>
                  <w:marRight w:val="0"/>
                  <w:marTop w:val="0"/>
                  <w:marBottom w:val="0"/>
                  <w:divBdr>
                    <w:top w:val="none" w:sz="0" w:space="0" w:color="auto"/>
                    <w:left w:val="none" w:sz="0" w:space="0" w:color="auto"/>
                    <w:bottom w:val="none" w:sz="0" w:space="0" w:color="auto"/>
                    <w:right w:val="none" w:sz="0" w:space="0" w:color="auto"/>
                  </w:divBdr>
                  <w:divsChild>
                    <w:div w:id="1778216743">
                      <w:marLeft w:val="0"/>
                      <w:marRight w:val="0"/>
                      <w:marTop w:val="0"/>
                      <w:marBottom w:val="0"/>
                      <w:divBdr>
                        <w:top w:val="none" w:sz="0" w:space="0" w:color="auto"/>
                        <w:left w:val="none" w:sz="0" w:space="0" w:color="auto"/>
                        <w:bottom w:val="none" w:sz="0" w:space="0" w:color="auto"/>
                        <w:right w:val="none" w:sz="0" w:space="0" w:color="auto"/>
                      </w:divBdr>
                    </w:div>
                  </w:divsChild>
                </w:div>
                <w:div w:id="1392849416">
                  <w:marLeft w:val="0"/>
                  <w:marRight w:val="0"/>
                  <w:marTop w:val="0"/>
                  <w:marBottom w:val="0"/>
                  <w:divBdr>
                    <w:top w:val="none" w:sz="0" w:space="0" w:color="auto"/>
                    <w:left w:val="none" w:sz="0" w:space="0" w:color="auto"/>
                    <w:bottom w:val="none" w:sz="0" w:space="0" w:color="auto"/>
                    <w:right w:val="none" w:sz="0" w:space="0" w:color="auto"/>
                  </w:divBdr>
                  <w:divsChild>
                    <w:div w:id="1165320621">
                      <w:marLeft w:val="0"/>
                      <w:marRight w:val="0"/>
                      <w:marTop w:val="0"/>
                      <w:marBottom w:val="0"/>
                      <w:divBdr>
                        <w:top w:val="none" w:sz="0" w:space="0" w:color="auto"/>
                        <w:left w:val="none" w:sz="0" w:space="0" w:color="auto"/>
                        <w:bottom w:val="none" w:sz="0" w:space="0" w:color="auto"/>
                        <w:right w:val="none" w:sz="0" w:space="0" w:color="auto"/>
                      </w:divBdr>
                    </w:div>
                  </w:divsChild>
                </w:div>
                <w:div w:id="405156123">
                  <w:marLeft w:val="0"/>
                  <w:marRight w:val="0"/>
                  <w:marTop w:val="0"/>
                  <w:marBottom w:val="0"/>
                  <w:divBdr>
                    <w:top w:val="none" w:sz="0" w:space="0" w:color="auto"/>
                    <w:left w:val="none" w:sz="0" w:space="0" w:color="auto"/>
                    <w:bottom w:val="none" w:sz="0" w:space="0" w:color="auto"/>
                    <w:right w:val="none" w:sz="0" w:space="0" w:color="auto"/>
                  </w:divBdr>
                  <w:divsChild>
                    <w:div w:id="1914583004">
                      <w:marLeft w:val="0"/>
                      <w:marRight w:val="0"/>
                      <w:marTop w:val="0"/>
                      <w:marBottom w:val="0"/>
                      <w:divBdr>
                        <w:top w:val="none" w:sz="0" w:space="0" w:color="auto"/>
                        <w:left w:val="none" w:sz="0" w:space="0" w:color="auto"/>
                        <w:bottom w:val="none" w:sz="0" w:space="0" w:color="auto"/>
                        <w:right w:val="none" w:sz="0" w:space="0" w:color="auto"/>
                      </w:divBdr>
                    </w:div>
                  </w:divsChild>
                </w:div>
                <w:div w:id="58598085">
                  <w:marLeft w:val="0"/>
                  <w:marRight w:val="0"/>
                  <w:marTop w:val="0"/>
                  <w:marBottom w:val="0"/>
                  <w:divBdr>
                    <w:top w:val="none" w:sz="0" w:space="0" w:color="auto"/>
                    <w:left w:val="none" w:sz="0" w:space="0" w:color="auto"/>
                    <w:bottom w:val="none" w:sz="0" w:space="0" w:color="auto"/>
                    <w:right w:val="none" w:sz="0" w:space="0" w:color="auto"/>
                  </w:divBdr>
                  <w:divsChild>
                    <w:div w:id="1721243393">
                      <w:marLeft w:val="0"/>
                      <w:marRight w:val="0"/>
                      <w:marTop w:val="0"/>
                      <w:marBottom w:val="0"/>
                      <w:divBdr>
                        <w:top w:val="none" w:sz="0" w:space="0" w:color="auto"/>
                        <w:left w:val="none" w:sz="0" w:space="0" w:color="auto"/>
                        <w:bottom w:val="none" w:sz="0" w:space="0" w:color="auto"/>
                        <w:right w:val="none" w:sz="0" w:space="0" w:color="auto"/>
                      </w:divBdr>
                    </w:div>
                  </w:divsChild>
                </w:div>
                <w:div w:id="2017271544">
                  <w:marLeft w:val="0"/>
                  <w:marRight w:val="0"/>
                  <w:marTop w:val="0"/>
                  <w:marBottom w:val="0"/>
                  <w:divBdr>
                    <w:top w:val="none" w:sz="0" w:space="0" w:color="auto"/>
                    <w:left w:val="none" w:sz="0" w:space="0" w:color="auto"/>
                    <w:bottom w:val="none" w:sz="0" w:space="0" w:color="auto"/>
                    <w:right w:val="none" w:sz="0" w:space="0" w:color="auto"/>
                  </w:divBdr>
                  <w:divsChild>
                    <w:div w:id="1761484388">
                      <w:marLeft w:val="0"/>
                      <w:marRight w:val="0"/>
                      <w:marTop w:val="0"/>
                      <w:marBottom w:val="0"/>
                      <w:divBdr>
                        <w:top w:val="none" w:sz="0" w:space="0" w:color="auto"/>
                        <w:left w:val="none" w:sz="0" w:space="0" w:color="auto"/>
                        <w:bottom w:val="none" w:sz="0" w:space="0" w:color="auto"/>
                        <w:right w:val="none" w:sz="0" w:space="0" w:color="auto"/>
                      </w:divBdr>
                    </w:div>
                  </w:divsChild>
                </w:div>
                <w:div w:id="1140263965">
                  <w:marLeft w:val="0"/>
                  <w:marRight w:val="0"/>
                  <w:marTop w:val="0"/>
                  <w:marBottom w:val="0"/>
                  <w:divBdr>
                    <w:top w:val="none" w:sz="0" w:space="0" w:color="auto"/>
                    <w:left w:val="none" w:sz="0" w:space="0" w:color="auto"/>
                    <w:bottom w:val="none" w:sz="0" w:space="0" w:color="auto"/>
                    <w:right w:val="none" w:sz="0" w:space="0" w:color="auto"/>
                  </w:divBdr>
                  <w:divsChild>
                    <w:div w:id="752316626">
                      <w:marLeft w:val="0"/>
                      <w:marRight w:val="0"/>
                      <w:marTop w:val="0"/>
                      <w:marBottom w:val="0"/>
                      <w:divBdr>
                        <w:top w:val="none" w:sz="0" w:space="0" w:color="auto"/>
                        <w:left w:val="none" w:sz="0" w:space="0" w:color="auto"/>
                        <w:bottom w:val="none" w:sz="0" w:space="0" w:color="auto"/>
                        <w:right w:val="none" w:sz="0" w:space="0" w:color="auto"/>
                      </w:divBdr>
                    </w:div>
                  </w:divsChild>
                </w:div>
                <w:div w:id="1803034288">
                  <w:marLeft w:val="0"/>
                  <w:marRight w:val="0"/>
                  <w:marTop w:val="0"/>
                  <w:marBottom w:val="0"/>
                  <w:divBdr>
                    <w:top w:val="none" w:sz="0" w:space="0" w:color="auto"/>
                    <w:left w:val="none" w:sz="0" w:space="0" w:color="auto"/>
                    <w:bottom w:val="none" w:sz="0" w:space="0" w:color="auto"/>
                    <w:right w:val="none" w:sz="0" w:space="0" w:color="auto"/>
                  </w:divBdr>
                  <w:divsChild>
                    <w:div w:id="819882928">
                      <w:marLeft w:val="0"/>
                      <w:marRight w:val="0"/>
                      <w:marTop w:val="0"/>
                      <w:marBottom w:val="0"/>
                      <w:divBdr>
                        <w:top w:val="none" w:sz="0" w:space="0" w:color="auto"/>
                        <w:left w:val="none" w:sz="0" w:space="0" w:color="auto"/>
                        <w:bottom w:val="none" w:sz="0" w:space="0" w:color="auto"/>
                        <w:right w:val="none" w:sz="0" w:space="0" w:color="auto"/>
                      </w:divBdr>
                    </w:div>
                  </w:divsChild>
                </w:div>
                <w:div w:id="837768639">
                  <w:marLeft w:val="0"/>
                  <w:marRight w:val="0"/>
                  <w:marTop w:val="0"/>
                  <w:marBottom w:val="0"/>
                  <w:divBdr>
                    <w:top w:val="none" w:sz="0" w:space="0" w:color="auto"/>
                    <w:left w:val="none" w:sz="0" w:space="0" w:color="auto"/>
                    <w:bottom w:val="none" w:sz="0" w:space="0" w:color="auto"/>
                    <w:right w:val="none" w:sz="0" w:space="0" w:color="auto"/>
                  </w:divBdr>
                  <w:divsChild>
                    <w:div w:id="1345859435">
                      <w:marLeft w:val="0"/>
                      <w:marRight w:val="0"/>
                      <w:marTop w:val="0"/>
                      <w:marBottom w:val="0"/>
                      <w:divBdr>
                        <w:top w:val="none" w:sz="0" w:space="0" w:color="auto"/>
                        <w:left w:val="none" w:sz="0" w:space="0" w:color="auto"/>
                        <w:bottom w:val="none" w:sz="0" w:space="0" w:color="auto"/>
                        <w:right w:val="none" w:sz="0" w:space="0" w:color="auto"/>
                      </w:divBdr>
                    </w:div>
                  </w:divsChild>
                </w:div>
                <w:div w:id="1229421285">
                  <w:marLeft w:val="0"/>
                  <w:marRight w:val="0"/>
                  <w:marTop w:val="0"/>
                  <w:marBottom w:val="0"/>
                  <w:divBdr>
                    <w:top w:val="none" w:sz="0" w:space="0" w:color="auto"/>
                    <w:left w:val="none" w:sz="0" w:space="0" w:color="auto"/>
                    <w:bottom w:val="none" w:sz="0" w:space="0" w:color="auto"/>
                    <w:right w:val="none" w:sz="0" w:space="0" w:color="auto"/>
                  </w:divBdr>
                  <w:divsChild>
                    <w:div w:id="563223262">
                      <w:marLeft w:val="0"/>
                      <w:marRight w:val="0"/>
                      <w:marTop w:val="0"/>
                      <w:marBottom w:val="0"/>
                      <w:divBdr>
                        <w:top w:val="none" w:sz="0" w:space="0" w:color="auto"/>
                        <w:left w:val="none" w:sz="0" w:space="0" w:color="auto"/>
                        <w:bottom w:val="none" w:sz="0" w:space="0" w:color="auto"/>
                        <w:right w:val="none" w:sz="0" w:space="0" w:color="auto"/>
                      </w:divBdr>
                    </w:div>
                  </w:divsChild>
                </w:div>
                <w:div w:id="933132450">
                  <w:marLeft w:val="0"/>
                  <w:marRight w:val="0"/>
                  <w:marTop w:val="0"/>
                  <w:marBottom w:val="0"/>
                  <w:divBdr>
                    <w:top w:val="none" w:sz="0" w:space="0" w:color="auto"/>
                    <w:left w:val="none" w:sz="0" w:space="0" w:color="auto"/>
                    <w:bottom w:val="none" w:sz="0" w:space="0" w:color="auto"/>
                    <w:right w:val="none" w:sz="0" w:space="0" w:color="auto"/>
                  </w:divBdr>
                  <w:divsChild>
                    <w:div w:id="1450929151">
                      <w:marLeft w:val="0"/>
                      <w:marRight w:val="0"/>
                      <w:marTop w:val="0"/>
                      <w:marBottom w:val="0"/>
                      <w:divBdr>
                        <w:top w:val="none" w:sz="0" w:space="0" w:color="auto"/>
                        <w:left w:val="none" w:sz="0" w:space="0" w:color="auto"/>
                        <w:bottom w:val="none" w:sz="0" w:space="0" w:color="auto"/>
                        <w:right w:val="none" w:sz="0" w:space="0" w:color="auto"/>
                      </w:divBdr>
                    </w:div>
                  </w:divsChild>
                </w:div>
                <w:div w:id="1768185251">
                  <w:marLeft w:val="0"/>
                  <w:marRight w:val="0"/>
                  <w:marTop w:val="0"/>
                  <w:marBottom w:val="0"/>
                  <w:divBdr>
                    <w:top w:val="none" w:sz="0" w:space="0" w:color="auto"/>
                    <w:left w:val="none" w:sz="0" w:space="0" w:color="auto"/>
                    <w:bottom w:val="none" w:sz="0" w:space="0" w:color="auto"/>
                    <w:right w:val="none" w:sz="0" w:space="0" w:color="auto"/>
                  </w:divBdr>
                  <w:divsChild>
                    <w:div w:id="174420172">
                      <w:marLeft w:val="0"/>
                      <w:marRight w:val="0"/>
                      <w:marTop w:val="0"/>
                      <w:marBottom w:val="0"/>
                      <w:divBdr>
                        <w:top w:val="none" w:sz="0" w:space="0" w:color="auto"/>
                        <w:left w:val="none" w:sz="0" w:space="0" w:color="auto"/>
                        <w:bottom w:val="none" w:sz="0" w:space="0" w:color="auto"/>
                        <w:right w:val="none" w:sz="0" w:space="0" w:color="auto"/>
                      </w:divBdr>
                    </w:div>
                  </w:divsChild>
                </w:div>
                <w:div w:id="143357922">
                  <w:marLeft w:val="0"/>
                  <w:marRight w:val="0"/>
                  <w:marTop w:val="0"/>
                  <w:marBottom w:val="0"/>
                  <w:divBdr>
                    <w:top w:val="none" w:sz="0" w:space="0" w:color="auto"/>
                    <w:left w:val="none" w:sz="0" w:space="0" w:color="auto"/>
                    <w:bottom w:val="none" w:sz="0" w:space="0" w:color="auto"/>
                    <w:right w:val="none" w:sz="0" w:space="0" w:color="auto"/>
                  </w:divBdr>
                  <w:divsChild>
                    <w:div w:id="1460416906">
                      <w:marLeft w:val="0"/>
                      <w:marRight w:val="0"/>
                      <w:marTop w:val="0"/>
                      <w:marBottom w:val="0"/>
                      <w:divBdr>
                        <w:top w:val="none" w:sz="0" w:space="0" w:color="auto"/>
                        <w:left w:val="none" w:sz="0" w:space="0" w:color="auto"/>
                        <w:bottom w:val="none" w:sz="0" w:space="0" w:color="auto"/>
                        <w:right w:val="none" w:sz="0" w:space="0" w:color="auto"/>
                      </w:divBdr>
                    </w:div>
                  </w:divsChild>
                </w:div>
                <w:div w:id="1109929607">
                  <w:marLeft w:val="0"/>
                  <w:marRight w:val="0"/>
                  <w:marTop w:val="0"/>
                  <w:marBottom w:val="0"/>
                  <w:divBdr>
                    <w:top w:val="none" w:sz="0" w:space="0" w:color="auto"/>
                    <w:left w:val="none" w:sz="0" w:space="0" w:color="auto"/>
                    <w:bottom w:val="none" w:sz="0" w:space="0" w:color="auto"/>
                    <w:right w:val="none" w:sz="0" w:space="0" w:color="auto"/>
                  </w:divBdr>
                  <w:divsChild>
                    <w:div w:id="1330984231">
                      <w:marLeft w:val="0"/>
                      <w:marRight w:val="0"/>
                      <w:marTop w:val="0"/>
                      <w:marBottom w:val="0"/>
                      <w:divBdr>
                        <w:top w:val="none" w:sz="0" w:space="0" w:color="auto"/>
                        <w:left w:val="none" w:sz="0" w:space="0" w:color="auto"/>
                        <w:bottom w:val="none" w:sz="0" w:space="0" w:color="auto"/>
                        <w:right w:val="none" w:sz="0" w:space="0" w:color="auto"/>
                      </w:divBdr>
                    </w:div>
                  </w:divsChild>
                </w:div>
                <w:div w:id="1449935875">
                  <w:marLeft w:val="0"/>
                  <w:marRight w:val="0"/>
                  <w:marTop w:val="0"/>
                  <w:marBottom w:val="0"/>
                  <w:divBdr>
                    <w:top w:val="none" w:sz="0" w:space="0" w:color="auto"/>
                    <w:left w:val="none" w:sz="0" w:space="0" w:color="auto"/>
                    <w:bottom w:val="none" w:sz="0" w:space="0" w:color="auto"/>
                    <w:right w:val="none" w:sz="0" w:space="0" w:color="auto"/>
                  </w:divBdr>
                  <w:divsChild>
                    <w:div w:id="2140754522">
                      <w:marLeft w:val="0"/>
                      <w:marRight w:val="0"/>
                      <w:marTop w:val="0"/>
                      <w:marBottom w:val="0"/>
                      <w:divBdr>
                        <w:top w:val="none" w:sz="0" w:space="0" w:color="auto"/>
                        <w:left w:val="none" w:sz="0" w:space="0" w:color="auto"/>
                        <w:bottom w:val="none" w:sz="0" w:space="0" w:color="auto"/>
                        <w:right w:val="none" w:sz="0" w:space="0" w:color="auto"/>
                      </w:divBdr>
                    </w:div>
                  </w:divsChild>
                </w:div>
                <w:div w:id="1488327907">
                  <w:marLeft w:val="0"/>
                  <w:marRight w:val="0"/>
                  <w:marTop w:val="0"/>
                  <w:marBottom w:val="0"/>
                  <w:divBdr>
                    <w:top w:val="none" w:sz="0" w:space="0" w:color="auto"/>
                    <w:left w:val="none" w:sz="0" w:space="0" w:color="auto"/>
                    <w:bottom w:val="none" w:sz="0" w:space="0" w:color="auto"/>
                    <w:right w:val="none" w:sz="0" w:space="0" w:color="auto"/>
                  </w:divBdr>
                  <w:divsChild>
                    <w:div w:id="843319375">
                      <w:marLeft w:val="0"/>
                      <w:marRight w:val="0"/>
                      <w:marTop w:val="0"/>
                      <w:marBottom w:val="0"/>
                      <w:divBdr>
                        <w:top w:val="none" w:sz="0" w:space="0" w:color="auto"/>
                        <w:left w:val="none" w:sz="0" w:space="0" w:color="auto"/>
                        <w:bottom w:val="none" w:sz="0" w:space="0" w:color="auto"/>
                        <w:right w:val="none" w:sz="0" w:space="0" w:color="auto"/>
                      </w:divBdr>
                    </w:div>
                  </w:divsChild>
                </w:div>
                <w:div w:id="1979915502">
                  <w:marLeft w:val="0"/>
                  <w:marRight w:val="0"/>
                  <w:marTop w:val="0"/>
                  <w:marBottom w:val="0"/>
                  <w:divBdr>
                    <w:top w:val="none" w:sz="0" w:space="0" w:color="auto"/>
                    <w:left w:val="none" w:sz="0" w:space="0" w:color="auto"/>
                    <w:bottom w:val="none" w:sz="0" w:space="0" w:color="auto"/>
                    <w:right w:val="none" w:sz="0" w:space="0" w:color="auto"/>
                  </w:divBdr>
                  <w:divsChild>
                    <w:div w:id="1374042543">
                      <w:marLeft w:val="0"/>
                      <w:marRight w:val="0"/>
                      <w:marTop w:val="0"/>
                      <w:marBottom w:val="0"/>
                      <w:divBdr>
                        <w:top w:val="none" w:sz="0" w:space="0" w:color="auto"/>
                        <w:left w:val="none" w:sz="0" w:space="0" w:color="auto"/>
                        <w:bottom w:val="none" w:sz="0" w:space="0" w:color="auto"/>
                        <w:right w:val="none" w:sz="0" w:space="0" w:color="auto"/>
                      </w:divBdr>
                    </w:div>
                  </w:divsChild>
                </w:div>
                <w:div w:id="1127623128">
                  <w:marLeft w:val="0"/>
                  <w:marRight w:val="0"/>
                  <w:marTop w:val="0"/>
                  <w:marBottom w:val="0"/>
                  <w:divBdr>
                    <w:top w:val="none" w:sz="0" w:space="0" w:color="auto"/>
                    <w:left w:val="none" w:sz="0" w:space="0" w:color="auto"/>
                    <w:bottom w:val="none" w:sz="0" w:space="0" w:color="auto"/>
                    <w:right w:val="none" w:sz="0" w:space="0" w:color="auto"/>
                  </w:divBdr>
                  <w:divsChild>
                    <w:div w:id="167287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83870">
              <w:marLeft w:val="0"/>
              <w:marRight w:val="0"/>
              <w:marTop w:val="0"/>
              <w:marBottom w:val="0"/>
              <w:divBdr>
                <w:top w:val="none" w:sz="0" w:space="0" w:color="auto"/>
                <w:left w:val="none" w:sz="0" w:space="0" w:color="auto"/>
                <w:bottom w:val="none" w:sz="0" w:space="0" w:color="auto"/>
                <w:right w:val="none" w:sz="0" w:space="0" w:color="auto"/>
              </w:divBdr>
              <w:divsChild>
                <w:div w:id="1457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0562">
      <w:bodyDiv w:val="1"/>
      <w:marLeft w:val="0"/>
      <w:marRight w:val="0"/>
      <w:marTop w:val="0"/>
      <w:marBottom w:val="0"/>
      <w:divBdr>
        <w:top w:val="none" w:sz="0" w:space="0" w:color="auto"/>
        <w:left w:val="none" w:sz="0" w:space="0" w:color="auto"/>
        <w:bottom w:val="none" w:sz="0" w:space="0" w:color="auto"/>
        <w:right w:val="none" w:sz="0" w:space="0" w:color="auto"/>
      </w:divBdr>
      <w:divsChild>
        <w:div w:id="1840847223">
          <w:marLeft w:val="0"/>
          <w:marRight w:val="0"/>
          <w:marTop w:val="0"/>
          <w:marBottom w:val="0"/>
          <w:divBdr>
            <w:top w:val="none" w:sz="0" w:space="0" w:color="auto"/>
            <w:left w:val="none" w:sz="0" w:space="0" w:color="auto"/>
            <w:bottom w:val="none" w:sz="0" w:space="0" w:color="auto"/>
            <w:right w:val="none" w:sz="0" w:space="0" w:color="auto"/>
          </w:divBdr>
          <w:divsChild>
            <w:div w:id="937443332">
              <w:marLeft w:val="0"/>
              <w:marRight w:val="0"/>
              <w:marTop w:val="0"/>
              <w:marBottom w:val="0"/>
              <w:divBdr>
                <w:top w:val="none" w:sz="0" w:space="0" w:color="auto"/>
                <w:left w:val="none" w:sz="0" w:space="0" w:color="auto"/>
                <w:bottom w:val="none" w:sz="0" w:space="0" w:color="auto"/>
                <w:right w:val="none" w:sz="0" w:space="0" w:color="auto"/>
              </w:divBdr>
              <w:divsChild>
                <w:div w:id="13482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36759">
      <w:bodyDiv w:val="1"/>
      <w:marLeft w:val="0"/>
      <w:marRight w:val="0"/>
      <w:marTop w:val="0"/>
      <w:marBottom w:val="0"/>
      <w:divBdr>
        <w:top w:val="none" w:sz="0" w:space="0" w:color="auto"/>
        <w:left w:val="none" w:sz="0" w:space="0" w:color="auto"/>
        <w:bottom w:val="none" w:sz="0" w:space="0" w:color="auto"/>
        <w:right w:val="none" w:sz="0" w:space="0" w:color="auto"/>
      </w:divBdr>
      <w:divsChild>
        <w:div w:id="369232986">
          <w:marLeft w:val="0"/>
          <w:marRight w:val="0"/>
          <w:marTop w:val="0"/>
          <w:marBottom w:val="0"/>
          <w:divBdr>
            <w:top w:val="none" w:sz="0" w:space="0" w:color="auto"/>
            <w:left w:val="none" w:sz="0" w:space="0" w:color="auto"/>
            <w:bottom w:val="none" w:sz="0" w:space="0" w:color="auto"/>
            <w:right w:val="none" w:sz="0" w:space="0" w:color="auto"/>
          </w:divBdr>
          <w:divsChild>
            <w:div w:id="2092854076">
              <w:marLeft w:val="0"/>
              <w:marRight w:val="0"/>
              <w:marTop w:val="0"/>
              <w:marBottom w:val="0"/>
              <w:divBdr>
                <w:top w:val="none" w:sz="0" w:space="0" w:color="auto"/>
                <w:left w:val="none" w:sz="0" w:space="0" w:color="auto"/>
                <w:bottom w:val="none" w:sz="0" w:space="0" w:color="auto"/>
                <w:right w:val="none" w:sz="0" w:space="0" w:color="auto"/>
              </w:divBdr>
              <w:divsChild>
                <w:div w:id="1002319588">
                  <w:marLeft w:val="0"/>
                  <w:marRight w:val="0"/>
                  <w:marTop w:val="0"/>
                  <w:marBottom w:val="0"/>
                  <w:divBdr>
                    <w:top w:val="none" w:sz="0" w:space="0" w:color="auto"/>
                    <w:left w:val="none" w:sz="0" w:space="0" w:color="auto"/>
                    <w:bottom w:val="none" w:sz="0" w:space="0" w:color="auto"/>
                    <w:right w:val="none" w:sz="0" w:space="0" w:color="auto"/>
                  </w:divBdr>
                  <w:divsChild>
                    <w:div w:id="15222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8545">
      <w:bodyDiv w:val="1"/>
      <w:marLeft w:val="0"/>
      <w:marRight w:val="0"/>
      <w:marTop w:val="0"/>
      <w:marBottom w:val="0"/>
      <w:divBdr>
        <w:top w:val="none" w:sz="0" w:space="0" w:color="auto"/>
        <w:left w:val="none" w:sz="0" w:space="0" w:color="auto"/>
        <w:bottom w:val="none" w:sz="0" w:space="0" w:color="auto"/>
        <w:right w:val="none" w:sz="0" w:space="0" w:color="auto"/>
      </w:divBdr>
    </w:div>
    <w:div w:id="1966345125">
      <w:bodyDiv w:val="1"/>
      <w:marLeft w:val="0"/>
      <w:marRight w:val="0"/>
      <w:marTop w:val="0"/>
      <w:marBottom w:val="0"/>
      <w:divBdr>
        <w:top w:val="none" w:sz="0" w:space="0" w:color="auto"/>
        <w:left w:val="none" w:sz="0" w:space="0" w:color="auto"/>
        <w:bottom w:val="none" w:sz="0" w:space="0" w:color="auto"/>
        <w:right w:val="none" w:sz="0" w:space="0" w:color="auto"/>
      </w:divBdr>
      <w:divsChild>
        <w:div w:id="576862238">
          <w:marLeft w:val="0"/>
          <w:marRight w:val="0"/>
          <w:marTop w:val="0"/>
          <w:marBottom w:val="0"/>
          <w:divBdr>
            <w:top w:val="none" w:sz="0" w:space="0" w:color="auto"/>
            <w:left w:val="none" w:sz="0" w:space="0" w:color="auto"/>
            <w:bottom w:val="none" w:sz="0" w:space="0" w:color="auto"/>
            <w:right w:val="none" w:sz="0" w:space="0" w:color="auto"/>
          </w:divBdr>
          <w:divsChild>
            <w:div w:id="99373363">
              <w:marLeft w:val="0"/>
              <w:marRight w:val="0"/>
              <w:marTop w:val="0"/>
              <w:marBottom w:val="0"/>
              <w:divBdr>
                <w:top w:val="none" w:sz="0" w:space="0" w:color="auto"/>
                <w:left w:val="none" w:sz="0" w:space="0" w:color="auto"/>
                <w:bottom w:val="none" w:sz="0" w:space="0" w:color="auto"/>
                <w:right w:val="none" w:sz="0" w:space="0" w:color="auto"/>
              </w:divBdr>
              <w:divsChild>
                <w:div w:id="658120096">
                  <w:marLeft w:val="0"/>
                  <w:marRight w:val="0"/>
                  <w:marTop w:val="0"/>
                  <w:marBottom w:val="0"/>
                  <w:divBdr>
                    <w:top w:val="none" w:sz="0" w:space="0" w:color="auto"/>
                    <w:left w:val="none" w:sz="0" w:space="0" w:color="auto"/>
                    <w:bottom w:val="none" w:sz="0" w:space="0" w:color="auto"/>
                    <w:right w:val="none" w:sz="0" w:space="0" w:color="auto"/>
                  </w:divBdr>
                  <w:divsChild>
                    <w:div w:id="1579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31639">
      <w:bodyDiv w:val="1"/>
      <w:marLeft w:val="0"/>
      <w:marRight w:val="0"/>
      <w:marTop w:val="0"/>
      <w:marBottom w:val="0"/>
      <w:divBdr>
        <w:top w:val="none" w:sz="0" w:space="0" w:color="auto"/>
        <w:left w:val="none" w:sz="0" w:space="0" w:color="auto"/>
        <w:bottom w:val="none" w:sz="0" w:space="0" w:color="auto"/>
        <w:right w:val="none" w:sz="0" w:space="0" w:color="auto"/>
      </w:divBdr>
      <w:divsChild>
        <w:div w:id="471170653">
          <w:marLeft w:val="0"/>
          <w:marRight w:val="0"/>
          <w:marTop w:val="0"/>
          <w:marBottom w:val="0"/>
          <w:divBdr>
            <w:top w:val="none" w:sz="0" w:space="0" w:color="auto"/>
            <w:left w:val="none" w:sz="0" w:space="0" w:color="auto"/>
            <w:bottom w:val="none" w:sz="0" w:space="0" w:color="auto"/>
            <w:right w:val="none" w:sz="0" w:space="0" w:color="auto"/>
          </w:divBdr>
          <w:divsChild>
            <w:div w:id="1203446777">
              <w:marLeft w:val="0"/>
              <w:marRight w:val="0"/>
              <w:marTop w:val="0"/>
              <w:marBottom w:val="0"/>
              <w:divBdr>
                <w:top w:val="none" w:sz="0" w:space="0" w:color="auto"/>
                <w:left w:val="none" w:sz="0" w:space="0" w:color="auto"/>
                <w:bottom w:val="none" w:sz="0" w:space="0" w:color="auto"/>
                <w:right w:val="none" w:sz="0" w:space="0" w:color="auto"/>
              </w:divBdr>
              <w:divsChild>
                <w:div w:id="10993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02182">
      <w:bodyDiv w:val="1"/>
      <w:marLeft w:val="0"/>
      <w:marRight w:val="0"/>
      <w:marTop w:val="0"/>
      <w:marBottom w:val="0"/>
      <w:divBdr>
        <w:top w:val="none" w:sz="0" w:space="0" w:color="auto"/>
        <w:left w:val="none" w:sz="0" w:space="0" w:color="auto"/>
        <w:bottom w:val="none" w:sz="0" w:space="0" w:color="auto"/>
        <w:right w:val="none" w:sz="0" w:space="0" w:color="auto"/>
      </w:divBdr>
    </w:div>
    <w:div w:id="1974677676">
      <w:bodyDiv w:val="1"/>
      <w:marLeft w:val="0"/>
      <w:marRight w:val="0"/>
      <w:marTop w:val="0"/>
      <w:marBottom w:val="0"/>
      <w:divBdr>
        <w:top w:val="none" w:sz="0" w:space="0" w:color="auto"/>
        <w:left w:val="none" w:sz="0" w:space="0" w:color="auto"/>
        <w:bottom w:val="none" w:sz="0" w:space="0" w:color="auto"/>
        <w:right w:val="none" w:sz="0" w:space="0" w:color="auto"/>
      </w:divBdr>
      <w:divsChild>
        <w:div w:id="1743722611">
          <w:marLeft w:val="0"/>
          <w:marRight w:val="0"/>
          <w:marTop w:val="0"/>
          <w:marBottom w:val="0"/>
          <w:divBdr>
            <w:top w:val="none" w:sz="0" w:space="0" w:color="auto"/>
            <w:left w:val="none" w:sz="0" w:space="0" w:color="auto"/>
            <w:bottom w:val="none" w:sz="0" w:space="0" w:color="auto"/>
            <w:right w:val="none" w:sz="0" w:space="0" w:color="auto"/>
          </w:divBdr>
          <w:divsChild>
            <w:div w:id="1097099344">
              <w:marLeft w:val="0"/>
              <w:marRight w:val="0"/>
              <w:marTop w:val="0"/>
              <w:marBottom w:val="0"/>
              <w:divBdr>
                <w:top w:val="none" w:sz="0" w:space="0" w:color="auto"/>
                <w:left w:val="none" w:sz="0" w:space="0" w:color="auto"/>
                <w:bottom w:val="none" w:sz="0" w:space="0" w:color="auto"/>
                <w:right w:val="none" w:sz="0" w:space="0" w:color="auto"/>
              </w:divBdr>
              <w:divsChild>
                <w:div w:id="14332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82190">
      <w:bodyDiv w:val="1"/>
      <w:marLeft w:val="0"/>
      <w:marRight w:val="0"/>
      <w:marTop w:val="0"/>
      <w:marBottom w:val="0"/>
      <w:divBdr>
        <w:top w:val="none" w:sz="0" w:space="0" w:color="auto"/>
        <w:left w:val="none" w:sz="0" w:space="0" w:color="auto"/>
        <w:bottom w:val="none" w:sz="0" w:space="0" w:color="auto"/>
        <w:right w:val="none" w:sz="0" w:space="0" w:color="auto"/>
      </w:divBdr>
      <w:divsChild>
        <w:div w:id="1091316785">
          <w:marLeft w:val="0"/>
          <w:marRight w:val="0"/>
          <w:marTop w:val="0"/>
          <w:marBottom w:val="0"/>
          <w:divBdr>
            <w:top w:val="none" w:sz="0" w:space="0" w:color="auto"/>
            <w:left w:val="none" w:sz="0" w:space="0" w:color="auto"/>
            <w:bottom w:val="none" w:sz="0" w:space="0" w:color="auto"/>
            <w:right w:val="none" w:sz="0" w:space="0" w:color="auto"/>
          </w:divBdr>
          <w:divsChild>
            <w:div w:id="1145315031">
              <w:marLeft w:val="0"/>
              <w:marRight w:val="0"/>
              <w:marTop w:val="0"/>
              <w:marBottom w:val="0"/>
              <w:divBdr>
                <w:top w:val="none" w:sz="0" w:space="0" w:color="auto"/>
                <w:left w:val="none" w:sz="0" w:space="0" w:color="auto"/>
                <w:bottom w:val="none" w:sz="0" w:space="0" w:color="auto"/>
                <w:right w:val="none" w:sz="0" w:space="0" w:color="auto"/>
              </w:divBdr>
              <w:divsChild>
                <w:div w:id="7208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033322">
      <w:bodyDiv w:val="1"/>
      <w:marLeft w:val="0"/>
      <w:marRight w:val="0"/>
      <w:marTop w:val="0"/>
      <w:marBottom w:val="0"/>
      <w:divBdr>
        <w:top w:val="none" w:sz="0" w:space="0" w:color="auto"/>
        <w:left w:val="none" w:sz="0" w:space="0" w:color="auto"/>
        <w:bottom w:val="none" w:sz="0" w:space="0" w:color="auto"/>
        <w:right w:val="none" w:sz="0" w:space="0" w:color="auto"/>
      </w:divBdr>
    </w:div>
    <w:div w:id="2009558791">
      <w:bodyDiv w:val="1"/>
      <w:marLeft w:val="0"/>
      <w:marRight w:val="0"/>
      <w:marTop w:val="0"/>
      <w:marBottom w:val="0"/>
      <w:divBdr>
        <w:top w:val="none" w:sz="0" w:space="0" w:color="auto"/>
        <w:left w:val="none" w:sz="0" w:space="0" w:color="auto"/>
        <w:bottom w:val="none" w:sz="0" w:space="0" w:color="auto"/>
        <w:right w:val="none" w:sz="0" w:space="0" w:color="auto"/>
      </w:divBdr>
      <w:divsChild>
        <w:div w:id="1919899811">
          <w:marLeft w:val="0"/>
          <w:marRight w:val="0"/>
          <w:marTop w:val="0"/>
          <w:marBottom w:val="0"/>
          <w:divBdr>
            <w:top w:val="none" w:sz="0" w:space="0" w:color="auto"/>
            <w:left w:val="none" w:sz="0" w:space="0" w:color="auto"/>
            <w:bottom w:val="none" w:sz="0" w:space="0" w:color="auto"/>
            <w:right w:val="none" w:sz="0" w:space="0" w:color="auto"/>
          </w:divBdr>
          <w:divsChild>
            <w:div w:id="1447122536">
              <w:marLeft w:val="0"/>
              <w:marRight w:val="0"/>
              <w:marTop w:val="0"/>
              <w:marBottom w:val="0"/>
              <w:divBdr>
                <w:top w:val="none" w:sz="0" w:space="0" w:color="auto"/>
                <w:left w:val="none" w:sz="0" w:space="0" w:color="auto"/>
                <w:bottom w:val="none" w:sz="0" w:space="0" w:color="auto"/>
                <w:right w:val="none" w:sz="0" w:space="0" w:color="auto"/>
              </w:divBdr>
              <w:divsChild>
                <w:div w:id="15640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58415">
      <w:bodyDiv w:val="1"/>
      <w:marLeft w:val="0"/>
      <w:marRight w:val="0"/>
      <w:marTop w:val="0"/>
      <w:marBottom w:val="0"/>
      <w:divBdr>
        <w:top w:val="none" w:sz="0" w:space="0" w:color="auto"/>
        <w:left w:val="none" w:sz="0" w:space="0" w:color="auto"/>
        <w:bottom w:val="none" w:sz="0" w:space="0" w:color="auto"/>
        <w:right w:val="none" w:sz="0" w:space="0" w:color="auto"/>
      </w:divBdr>
      <w:divsChild>
        <w:div w:id="1918828904">
          <w:marLeft w:val="0"/>
          <w:marRight w:val="0"/>
          <w:marTop w:val="0"/>
          <w:marBottom w:val="0"/>
          <w:divBdr>
            <w:top w:val="none" w:sz="0" w:space="0" w:color="auto"/>
            <w:left w:val="none" w:sz="0" w:space="0" w:color="auto"/>
            <w:bottom w:val="none" w:sz="0" w:space="0" w:color="auto"/>
            <w:right w:val="none" w:sz="0" w:space="0" w:color="auto"/>
          </w:divBdr>
          <w:divsChild>
            <w:div w:id="165172633">
              <w:marLeft w:val="0"/>
              <w:marRight w:val="0"/>
              <w:marTop w:val="0"/>
              <w:marBottom w:val="0"/>
              <w:divBdr>
                <w:top w:val="none" w:sz="0" w:space="0" w:color="auto"/>
                <w:left w:val="none" w:sz="0" w:space="0" w:color="auto"/>
                <w:bottom w:val="none" w:sz="0" w:space="0" w:color="auto"/>
                <w:right w:val="none" w:sz="0" w:space="0" w:color="auto"/>
              </w:divBdr>
              <w:divsChild>
                <w:div w:id="136112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3225">
      <w:bodyDiv w:val="1"/>
      <w:marLeft w:val="0"/>
      <w:marRight w:val="0"/>
      <w:marTop w:val="0"/>
      <w:marBottom w:val="0"/>
      <w:divBdr>
        <w:top w:val="none" w:sz="0" w:space="0" w:color="auto"/>
        <w:left w:val="none" w:sz="0" w:space="0" w:color="auto"/>
        <w:bottom w:val="none" w:sz="0" w:space="0" w:color="auto"/>
        <w:right w:val="none" w:sz="0" w:space="0" w:color="auto"/>
      </w:divBdr>
    </w:div>
    <w:div w:id="2033259232">
      <w:bodyDiv w:val="1"/>
      <w:marLeft w:val="0"/>
      <w:marRight w:val="0"/>
      <w:marTop w:val="0"/>
      <w:marBottom w:val="0"/>
      <w:divBdr>
        <w:top w:val="none" w:sz="0" w:space="0" w:color="auto"/>
        <w:left w:val="none" w:sz="0" w:space="0" w:color="auto"/>
        <w:bottom w:val="none" w:sz="0" w:space="0" w:color="auto"/>
        <w:right w:val="none" w:sz="0" w:space="0" w:color="auto"/>
      </w:divBdr>
    </w:div>
    <w:div w:id="2044017539">
      <w:bodyDiv w:val="1"/>
      <w:marLeft w:val="0"/>
      <w:marRight w:val="0"/>
      <w:marTop w:val="0"/>
      <w:marBottom w:val="0"/>
      <w:divBdr>
        <w:top w:val="none" w:sz="0" w:space="0" w:color="auto"/>
        <w:left w:val="none" w:sz="0" w:space="0" w:color="auto"/>
        <w:bottom w:val="none" w:sz="0" w:space="0" w:color="auto"/>
        <w:right w:val="none" w:sz="0" w:space="0" w:color="auto"/>
      </w:divBdr>
    </w:div>
    <w:div w:id="2064451305">
      <w:bodyDiv w:val="1"/>
      <w:marLeft w:val="0"/>
      <w:marRight w:val="0"/>
      <w:marTop w:val="0"/>
      <w:marBottom w:val="0"/>
      <w:divBdr>
        <w:top w:val="none" w:sz="0" w:space="0" w:color="auto"/>
        <w:left w:val="none" w:sz="0" w:space="0" w:color="auto"/>
        <w:bottom w:val="none" w:sz="0" w:space="0" w:color="auto"/>
        <w:right w:val="none" w:sz="0" w:space="0" w:color="auto"/>
      </w:divBdr>
      <w:divsChild>
        <w:div w:id="87896347">
          <w:marLeft w:val="0"/>
          <w:marRight w:val="0"/>
          <w:marTop w:val="0"/>
          <w:marBottom w:val="0"/>
          <w:divBdr>
            <w:top w:val="none" w:sz="0" w:space="0" w:color="auto"/>
            <w:left w:val="none" w:sz="0" w:space="0" w:color="auto"/>
            <w:bottom w:val="none" w:sz="0" w:space="0" w:color="auto"/>
            <w:right w:val="none" w:sz="0" w:space="0" w:color="auto"/>
          </w:divBdr>
          <w:divsChild>
            <w:div w:id="770471284">
              <w:marLeft w:val="0"/>
              <w:marRight w:val="0"/>
              <w:marTop w:val="0"/>
              <w:marBottom w:val="0"/>
              <w:divBdr>
                <w:top w:val="none" w:sz="0" w:space="0" w:color="auto"/>
                <w:left w:val="none" w:sz="0" w:space="0" w:color="auto"/>
                <w:bottom w:val="none" w:sz="0" w:space="0" w:color="auto"/>
                <w:right w:val="none" w:sz="0" w:space="0" w:color="auto"/>
              </w:divBdr>
              <w:divsChild>
                <w:div w:id="5971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06327">
      <w:bodyDiv w:val="1"/>
      <w:marLeft w:val="0"/>
      <w:marRight w:val="0"/>
      <w:marTop w:val="0"/>
      <w:marBottom w:val="0"/>
      <w:divBdr>
        <w:top w:val="none" w:sz="0" w:space="0" w:color="auto"/>
        <w:left w:val="none" w:sz="0" w:space="0" w:color="auto"/>
        <w:bottom w:val="none" w:sz="0" w:space="0" w:color="auto"/>
        <w:right w:val="none" w:sz="0" w:space="0" w:color="auto"/>
      </w:divBdr>
      <w:divsChild>
        <w:div w:id="1864585912">
          <w:marLeft w:val="0"/>
          <w:marRight w:val="0"/>
          <w:marTop w:val="0"/>
          <w:marBottom w:val="0"/>
          <w:divBdr>
            <w:top w:val="none" w:sz="0" w:space="0" w:color="auto"/>
            <w:left w:val="none" w:sz="0" w:space="0" w:color="auto"/>
            <w:bottom w:val="none" w:sz="0" w:space="0" w:color="auto"/>
            <w:right w:val="none" w:sz="0" w:space="0" w:color="auto"/>
          </w:divBdr>
          <w:divsChild>
            <w:div w:id="754131883">
              <w:marLeft w:val="0"/>
              <w:marRight w:val="0"/>
              <w:marTop w:val="0"/>
              <w:marBottom w:val="0"/>
              <w:divBdr>
                <w:top w:val="none" w:sz="0" w:space="0" w:color="auto"/>
                <w:left w:val="none" w:sz="0" w:space="0" w:color="auto"/>
                <w:bottom w:val="none" w:sz="0" w:space="0" w:color="auto"/>
                <w:right w:val="none" w:sz="0" w:space="0" w:color="auto"/>
              </w:divBdr>
              <w:divsChild>
                <w:div w:id="6237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54814">
      <w:bodyDiv w:val="1"/>
      <w:marLeft w:val="0"/>
      <w:marRight w:val="0"/>
      <w:marTop w:val="0"/>
      <w:marBottom w:val="0"/>
      <w:divBdr>
        <w:top w:val="none" w:sz="0" w:space="0" w:color="auto"/>
        <w:left w:val="none" w:sz="0" w:space="0" w:color="auto"/>
        <w:bottom w:val="none" w:sz="0" w:space="0" w:color="auto"/>
        <w:right w:val="none" w:sz="0" w:space="0" w:color="auto"/>
      </w:divBdr>
      <w:divsChild>
        <w:div w:id="1188568036">
          <w:marLeft w:val="0"/>
          <w:marRight w:val="0"/>
          <w:marTop w:val="0"/>
          <w:marBottom w:val="0"/>
          <w:divBdr>
            <w:top w:val="none" w:sz="0" w:space="0" w:color="auto"/>
            <w:left w:val="none" w:sz="0" w:space="0" w:color="auto"/>
            <w:bottom w:val="none" w:sz="0" w:space="0" w:color="auto"/>
            <w:right w:val="none" w:sz="0" w:space="0" w:color="auto"/>
          </w:divBdr>
          <w:divsChild>
            <w:div w:id="1186752808">
              <w:marLeft w:val="0"/>
              <w:marRight w:val="0"/>
              <w:marTop w:val="0"/>
              <w:marBottom w:val="0"/>
              <w:divBdr>
                <w:top w:val="none" w:sz="0" w:space="0" w:color="auto"/>
                <w:left w:val="none" w:sz="0" w:space="0" w:color="auto"/>
                <w:bottom w:val="none" w:sz="0" w:space="0" w:color="auto"/>
                <w:right w:val="none" w:sz="0" w:space="0" w:color="auto"/>
              </w:divBdr>
              <w:divsChild>
                <w:div w:id="120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62252">
      <w:bodyDiv w:val="1"/>
      <w:marLeft w:val="0"/>
      <w:marRight w:val="0"/>
      <w:marTop w:val="0"/>
      <w:marBottom w:val="0"/>
      <w:divBdr>
        <w:top w:val="none" w:sz="0" w:space="0" w:color="auto"/>
        <w:left w:val="none" w:sz="0" w:space="0" w:color="auto"/>
        <w:bottom w:val="none" w:sz="0" w:space="0" w:color="auto"/>
        <w:right w:val="none" w:sz="0" w:space="0" w:color="auto"/>
      </w:divBdr>
      <w:divsChild>
        <w:div w:id="1350334165">
          <w:marLeft w:val="0"/>
          <w:marRight w:val="0"/>
          <w:marTop w:val="0"/>
          <w:marBottom w:val="0"/>
          <w:divBdr>
            <w:top w:val="none" w:sz="0" w:space="0" w:color="auto"/>
            <w:left w:val="none" w:sz="0" w:space="0" w:color="auto"/>
            <w:bottom w:val="none" w:sz="0" w:space="0" w:color="auto"/>
            <w:right w:val="none" w:sz="0" w:space="0" w:color="auto"/>
          </w:divBdr>
          <w:divsChild>
            <w:div w:id="511653523">
              <w:marLeft w:val="0"/>
              <w:marRight w:val="0"/>
              <w:marTop w:val="0"/>
              <w:marBottom w:val="0"/>
              <w:divBdr>
                <w:top w:val="none" w:sz="0" w:space="0" w:color="auto"/>
                <w:left w:val="none" w:sz="0" w:space="0" w:color="auto"/>
                <w:bottom w:val="none" w:sz="0" w:space="0" w:color="auto"/>
                <w:right w:val="none" w:sz="0" w:space="0" w:color="auto"/>
              </w:divBdr>
              <w:divsChild>
                <w:div w:id="5668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02622">
      <w:bodyDiv w:val="1"/>
      <w:marLeft w:val="0"/>
      <w:marRight w:val="0"/>
      <w:marTop w:val="0"/>
      <w:marBottom w:val="0"/>
      <w:divBdr>
        <w:top w:val="none" w:sz="0" w:space="0" w:color="auto"/>
        <w:left w:val="none" w:sz="0" w:space="0" w:color="auto"/>
        <w:bottom w:val="none" w:sz="0" w:space="0" w:color="auto"/>
        <w:right w:val="none" w:sz="0" w:space="0" w:color="auto"/>
      </w:divBdr>
      <w:divsChild>
        <w:div w:id="1008098727">
          <w:marLeft w:val="0"/>
          <w:marRight w:val="0"/>
          <w:marTop w:val="0"/>
          <w:marBottom w:val="0"/>
          <w:divBdr>
            <w:top w:val="none" w:sz="0" w:space="0" w:color="auto"/>
            <w:left w:val="none" w:sz="0" w:space="0" w:color="auto"/>
            <w:bottom w:val="none" w:sz="0" w:space="0" w:color="auto"/>
            <w:right w:val="none" w:sz="0" w:space="0" w:color="auto"/>
          </w:divBdr>
          <w:divsChild>
            <w:div w:id="1182819683">
              <w:marLeft w:val="0"/>
              <w:marRight w:val="0"/>
              <w:marTop w:val="0"/>
              <w:marBottom w:val="0"/>
              <w:divBdr>
                <w:top w:val="none" w:sz="0" w:space="0" w:color="auto"/>
                <w:left w:val="none" w:sz="0" w:space="0" w:color="auto"/>
                <w:bottom w:val="none" w:sz="0" w:space="0" w:color="auto"/>
                <w:right w:val="none" w:sz="0" w:space="0" w:color="auto"/>
              </w:divBdr>
              <w:divsChild>
                <w:div w:id="860633000">
                  <w:marLeft w:val="0"/>
                  <w:marRight w:val="0"/>
                  <w:marTop w:val="0"/>
                  <w:marBottom w:val="0"/>
                  <w:divBdr>
                    <w:top w:val="none" w:sz="0" w:space="0" w:color="auto"/>
                    <w:left w:val="none" w:sz="0" w:space="0" w:color="auto"/>
                    <w:bottom w:val="none" w:sz="0" w:space="0" w:color="auto"/>
                    <w:right w:val="none" w:sz="0" w:space="0" w:color="auto"/>
                  </w:divBdr>
                  <w:divsChild>
                    <w:div w:id="1169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71240">
      <w:bodyDiv w:val="1"/>
      <w:marLeft w:val="0"/>
      <w:marRight w:val="0"/>
      <w:marTop w:val="0"/>
      <w:marBottom w:val="0"/>
      <w:divBdr>
        <w:top w:val="none" w:sz="0" w:space="0" w:color="auto"/>
        <w:left w:val="none" w:sz="0" w:space="0" w:color="auto"/>
        <w:bottom w:val="none" w:sz="0" w:space="0" w:color="auto"/>
        <w:right w:val="none" w:sz="0" w:space="0" w:color="auto"/>
      </w:divBdr>
      <w:divsChild>
        <w:div w:id="638148571">
          <w:marLeft w:val="0"/>
          <w:marRight w:val="0"/>
          <w:marTop w:val="0"/>
          <w:marBottom w:val="0"/>
          <w:divBdr>
            <w:top w:val="none" w:sz="0" w:space="0" w:color="auto"/>
            <w:left w:val="none" w:sz="0" w:space="0" w:color="auto"/>
            <w:bottom w:val="none" w:sz="0" w:space="0" w:color="auto"/>
            <w:right w:val="none" w:sz="0" w:space="0" w:color="auto"/>
          </w:divBdr>
          <w:divsChild>
            <w:div w:id="1428506079">
              <w:marLeft w:val="0"/>
              <w:marRight w:val="0"/>
              <w:marTop w:val="0"/>
              <w:marBottom w:val="0"/>
              <w:divBdr>
                <w:top w:val="none" w:sz="0" w:space="0" w:color="auto"/>
                <w:left w:val="none" w:sz="0" w:space="0" w:color="auto"/>
                <w:bottom w:val="none" w:sz="0" w:space="0" w:color="auto"/>
                <w:right w:val="none" w:sz="0" w:space="0" w:color="auto"/>
              </w:divBdr>
              <w:divsChild>
                <w:div w:id="1241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c.ca/news/canada/hamilton/headlines/hamilton-ranked-no-1-place-to-invest-in-new-report-1.1161114" TargetMode="External"/><Relationship Id="rId18" Type="http://schemas.openxmlformats.org/officeDocument/2006/relationships/hyperlink" Target="https://www.britannica.com/topic/structuration-theory" TargetMode="External"/><Relationship Id="rId26" Type="http://schemas.openxmlformats.org/officeDocument/2006/relationships/hyperlink" Target="https://www.unhcr.org/5ee200e37.pdf" TargetMode="External"/><Relationship Id="rId39" Type="http://schemas.openxmlformats.org/officeDocument/2006/relationships/image" Target="media/image4.png"/><Relationship Id="rId21" Type="http://schemas.openxmlformats.org/officeDocument/2006/relationships/hyperlink" Target="https://www.mentalhealthcommission.ca/English/resources/mhcc-reports/mental-health-strategy-canada" TargetMode="External"/><Relationship Id="rId34" Type="http://schemas.openxmlformats.org/officeDocument/2006/relationships/hyperlink" Target="https://en.wikipedia.org/wiki/Canadians" TargetMode="External"/><Relationship Id="rId42" Type="http://schemas.openxmlformats.org/officeDocument/2006/relationships/diagramQuickStyle" Target="diagrams/quickStyle1.xml"/><Relationship Id="rId47" Type="http://schemas.openxmlformats.org/officeDocument/2006/relationships/hyperlink" Target="https://www.mentalhealthcommission.ca/sites/default/files/2016-10/case_for_diversity_oct_2016_eng.pdf" TargetMode="External"/><Relationship Id="rId50" Type="http://schemas.openxmlformats.org/officeDocument/2006/relationships/hyperlink" Target="https://www150.statcan.gc.ca/n1/en/pub/11f0019m/11f0019m2019019-eng.pdf?st=tkcVxUsq" TargetMode="External"/><Relationship Id="rId55" Type="http://schemas.openxmlformats.org/officeDocument/2006/relationships/hyperlink" Target="http://www1.lso.ca/specialist/jsp/detailinfo1.jsp?number=50808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amiltonimmigration.ca/sites/default/files/docs/hipc_informal_network_report_april_2019_compressed.pdf" TargetMode="External"/><Relationship Id="rId29" Type="http://schemas.openxmlformats.org/officeDocument/2006/relationships/chart" Target="charts/chart2.xml"/><Relationship Id="rId11" Type="http://schemas.openxmlformats.org/officeDocument/2006/relationships/footer" Target="footer3.xml"/><Relationship Id="rId24" Type="http://schemas.openxmlformats.org/officeDocument/2006/relationships/hyperlink" Target="http://www.sprc.hamilton.on.ca/wp-content/uploads/2016/09/Demographic-Shifts-Immigration-and-languages.pdf" TargetMode="External"/><Relationship Id="rId32" Type="http://schemas.openxmlformats.org/officeDocument/2006/relationships/hyperlink" Target="http://www.cic.gc.ca/english/work/employers/lmo-basics.asp" TargetMode="External"/><Relationship Id="rId37" Type="http://schemas.openxmlformats.org/officeDocument/2006/relationships/hyperlink" Target="http://open" TargetMode="External"/><Relationship Id="rId40" Type="http://schemas.openxmlformats.org/officeDocument/2006/relationships/diagramData" Target="diagrams/data1.xml"/><Relationship Id="rId45" Type="http://schemas.openxmlformats.org/officeDocument/2006/relationships/hyperlink" Target="https://cmha.ca/fast-facts-about-mental-illness" TargetMode="External"/><Relationship Id="rId53" Type="http://schemas.openxmlformats.org/officeDocument/2006/relationships/hyperlink" Target="http://www.metropolis.net/pdfs/immigrant_mental_health_10aug10.pdf" TargetMode="External"/><Relationship Id="rId58"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britannica.com/topic/structural-functionalism" TargetMode="External"/><Relationship Id="rId14" Type="http://schemas.openxmlformats.org/officeDocument/2006/relationships/hyperlink" Target="https://www.thespec.com/news/hamilton-region/2016/09/06/the-changing-face-of-hamilton-no-longer-the-city-of-immigrants.html" TargetMode="External"/><Relationship Id="rId22" Type="http://schemas.openxmlformats.org/officeDocument/2006/relationships/hyperlink" Target="https://www.mentalhealthcommission.ca/sites/default/files/MHStrategy_Strategy_ENG.pdf" TargetMode="External"/><Relationship Id="rId27" Type="http://schemas.openxmlformats.org/officeDocument/2006/relationships/image" Target="media/image1.jpeg"/><Relationship Id="rId30" Type="http://schemas.openxmlformats.org/officeDocument/2006/relationships/image" Target="media/image2.emf"/><Relationship Id="rId35" Type="http://schemas.openxmlformats.org/officeDocument/2006/relationships/hyperlink" Target="https://en.wikipedia.org/wiki/Canadian_nationality_law" TargetMode="External"/><Relationship Id="rId43" Type="http://schemas.openxmlformats.org/officeDocument/2006/relationships/diagramColors" Target="diagrams/colors1.xml"/><Relationship Id="rId48" Type="http://schemas.openxmlformats.org/officeDocument/2006/relationships/hyperlink" Target="http://www.metropolis.net/pdfs/immigrant_mental_health_10aug10.pdf" TargetMode="External"/><Relationship Id="rId56" Type="http://schemas.openxmlformats.org/officeDocument/2006/relationships/hyperlink" Target="mailto:newbold@mcmaster.ca" TargetMode="External"/><Relationship Id="rId8" Type="http://schemas.openxmlformats.org/officeDocument/2006/relationships/footer" Target="footer1.xml"/><Relationship Id="rId51" Type="http://schemas.openxmlformats.org/officeDocument/2006/relationships/hyperlink" Target="https://www.ontario.ca/laws/statute/90e02/v82" TargetMode="External"/><Relationship Id="rId3" Type="http://schemas.openxmlformats.org/officeDocument/2006/relationships/styles" Target="styles.xml"/><Relationship Id="rId12" Type="http://schemas.openxmlformats.org/officeDocument/2006/relationships/hyperlink" Target="https://forum.academica.ca/forum/2019-canadian-higher-ed-year-in-review" TargetMode="External"/><Relationship Id="rId17" Type="http://schemas.openxmlformats.org/officeDocument/2006/relationships/hyperlink" Target="https://www.thespec.com/news/hamilton-region/2011/01/15/the-siso-empire-falls.html" TargetMode="External"/><Relationship Id="rId25" Type="http://schemas.openxmlformats.org/officeDocument/2006/relationships/hyperlink" Target="https://www12.statcan.gc.ca/census-recensement/2016/as-sa/fogs-spg/Facts-can-eng.cfm?Lang=Eng&amp;GK=CAN&amp;GC=01&amp;TOPIC=7" TargetMode="External"/><Relationship Id="rId33" Type="http://schemas.openxmlformats.org/officeDocument/2006/relationships/hyperlink" Target="http://www.esdc.gc.ca/" TargetMode="External"/><Relationship Id="rId38" Type="http://schemas.openxmlformats.org/officeDocument/2006/relationships/image" Target="media/image3.png"/><Relationship Id="rId46" Type="http://schemas.openxmlformats.org/officeDocument/2006/relationships/hyperlink" Target="http://www.metropolis.net/pdfs/immigrant_mental_health_10aug10.pdf" TargetMode="External"/><Relationship Id="rId59" Type="http://schemas.openxmlformats.org/officeDocument/2006/relationships/header" Target="header2.xml"/><Relationship Id="rId20" Type="http://schemas.openxmlformats.org/officeDocument/2006/relationships/hyperlink" Target="https://www.canada.ca/en/immigration-refugees-citizenship/corporate/publications-manuals/departmental-plan-2019-2020/departmental-plan.html" TargetMode="External"/><Relationship Id="rId41" Type="http://schemas.openxmlformats.org/officeDocument/2006/relationships/diagramLayout" Target="diagrams/layout1.xml"/><Relationship Id="rId54" Type="http://schemas.openxmlformats.org/officeDocument/2006/relationships/image" Target="media/image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vestinhamilton.ca/industries/" TargetMode="External"/><Relationship Id="rId23" Type="http://schemas.openxmlformats.org/officeDocument/2006/relationships/hyperlink" Target="https://www.stcatharinesstandard.ca/ths/opinion/contributors/2018/04/21/the-gentrification-of-hamilton.html" TargetMode="External"/><Relationship Id="rId28" Type="http://schemas.openxmlformats.org/officeDocument/2006/relationships/chart" Target="charts/chart1.xml"/><Relationship Id="rId36" Type="http://schemas.openxmlformats.org/officeDocument/2006/relationships/hyperlink" Target="https://en.wikipedia.org/wiki/Canada" TargetMode="External"/><Relationship Id="rId49" Type="http://schemas.openxmlformats.org/officeDocument/2006/relationships/hyperlink" Target="https://www.who.int/mental_health/maternal-child/child_adolescent/en/" TargetMode="External"/><Relationship Id="rId57" Type="http://schemas.openxmlformats.org/officeDocument/2006/relationships/hyperlink" Target="mailto:ethicsoffice@mcmaster.ca" TargetMode="External"/><Relationship Id="rId10" Type="http://schemas.openxmlformats.org/officeDocument/2006/relationships/header" Target="header1.xml"/><Relationship Id="rId31" Type="http://schemas.openxmlformats.org/officeDocument/2006/relationships/hyperlink" Target="http://www.cic.gc.ca/english/resources/tools/perm/definitions.asp?letterNum=19" TargetMode="External"/><Relationship Id="rId44" Type="http://schemas.microsoft.com/office/2007/relationships/diagramDrawing" Target="diagrams/drawing1.xml"/><Relationship Id="rId52" Type="http://schemas.openxmlformats.org/officeDocument/2006/relationships/hyperlink" Target="https://www.canada.ca/en/immigration-refugees-citizenship/news/notices/supplementary-immigration-levels-2021-2023.html"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828282828282797E-2"/>
          <c:y val="7.1713147410358599E-2"/>
          <c:w val="0.93434343434343403"/>
          <c:h val="0.77132854409135099"/>
        </c:manualLayout>
      </c:layout>
      <c:barChart>
        <c:barDir val="col"/>
        <c:grouping val="clustered"/>
        <c:varyColors val="0"/>
        <c:ser>
          <c:idx val="0"/>
          <c:order val="0"/>
          <c:spPr>
            <a:solidFill>
              <a:schemeClr val="accent1"/>
            </a:solidFill>
            <a:ln w="12700" cap="flat" cmpd="sng" algn="ctr">
              <a:noFill/>
              <a:prstDash val="solid"/>
              <a:miter lim="800000"/>
            </a:ln>
            <a:effectLst/>
          </c:spPr>
          <c:invertIfNegative val="0"/>
          <c:dPt>
            <c:idx val="1"/>
            <c:invertIfNegative val="0"/>
            <c:bubble3D val="0"/>
            <c:spPr>
              <a:solidFill>
                <a:schemeClr val="accent2"/>
              </a:solidFill>
              <a:ln w="12700" cap="flat" cmpd="sng" algn="ctr">
                <a:noFill/>
                <a:prstDash val="solid"/>
                <a:miter lim="800000"/>
              </a:ln>
              <a:effectLst/>
            </c:spPr>
            <c:extLst>
              <c:ext xmlns:c16="http://schemas.microsoft.com/office/drawing/2014/chart" uri="{C3380CC4-5D6E-409C-BE32-E72D297353CC}">
                <c16:uniqueId val="{00000001-4054-294D-A4C2-D8560F6127A6}"/>
              </c:ext>
            </c:extLst>
          </c:dPt>
          <c:dPt>
            <c:idx val="2"/>
            <c:invertIfNegative val="0"/>
            <c:bubble3D val="0"/>
            <c:spPr>
              <a:solidFill>
                <a:schemeClr val="accent3"/>
              </a:solidFill>
              <a:ln w="12700" cap="flat" cmpd="sng" algn="ctr">
                <a:noFill/>
                <a:prstDash val="solid"/>
                <a:miter lim="800000"/>
              </a:ln>
              <a:effectLst/>
            </c:spPr>
            <c:extLst>
              <c:ext xmlns:c16="http://schemas.microsoft.com/office/drawing/2014/chart" uri="{C3380CC4-5D6E-409C-BE32-E72D297353CC}">
                <c16:uniqueId val="{00000003-4054-294D-A4C2-D8560F6127A6}"/>
              </c:ext>
            </c:extLst>
          </c:dPt>
          <c:dPt>
            <c:idx val="3"/>
            <c:invertIfNegative val="0"/>
            <c:bubble3D val="0"/>
            <c:spPr>
              <a:solidFill>
                <a:schemeClr val="accent4"/>
              </a:solidFill>
              <a:ln w="12700" cap="flat" cmpd="sng" algn="ctr">
                <a:noFill/>
                <a:prstDash val="solid"/>
                <a:miter lim="800000"/>
              </a:ln>
              <a:effectLst/>
            </c:spPr>
            <c:extLst>
              <c:ext xmlns:c16="http://schemas.microsoft.com/office/drawing/2014/chart" uri="{C3380CC4-5D6E-409C-BE32-E72D297353CC}">
                <c16:uniqueId val="{00000005-4054-294D-A4C2-D8560F6127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charset="0"/>
                    <a:ea typeface="Calibri" charset="0"/>
                    <a:cs typeface="Calibri"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Sheet1!$A$35:$A$38</c:f>
              <c:strCache>
                <c:ptCount val="4"/>
                <c:pt idx="0">
                  <c:v>&lt;401</c:v>
                </c:pt>
                <c:pt idx="1">
                  <c:v>401-425</c:v>
                </c:pt>
                <c:pt idx="2">
                  <c:v>426-450</c:v>
                </c:pt>
                <c:pt idx="3">
                  <c:v>&gt;450</c:v>
                </c:pt>
              </c:strCache>
            </c:strRef>
          </c:cat>
          <c:val>
            <c:numRef>
              <c:f>Sheet1!$B$35:$B$38</c:f>
              <c:numCache>
                <c:formatCode>#,##0</c:formatCode>
                <c:ptCount val="4"/>
                <c:pt idx="0">
                  <c:v>3335</c:v>
                </c:pt>
                <c:pt idx="1">
                  <c:v>1800</c:v>
                </c:pt>
                <c:pt idx="2">
                  <c:v>1941</c:v>
                </c:pt>
                <c:pt idx="3">
                  <c:v>707</c:v>
                </c:pt>
              </c:numCache>
            </c:numRef>
          </c:val>
          <c:extLst>
            <c:ext xmlns:c16="http://schemas.microsoft.com/office/drawing/2014/chart" uri="{C3380CC4-5D6E-409C-BE32-E72D297353CC}">
              <c16:uniqueId val="{00000006-4054-294D-A4C2-D8560F6127A6}"/>
            </c:ext>
          </c:extLst>
        </c:ser>
        <c:dLbls>
          <c:dLblPos val="outEnd"/>
          <c:showLegendKey val="0"/>
          <c:showVal val="1"/>
          <c:showCatName val="0"/>
          <c:showSerName val="0"/>
          <c:showPercent val="0"/>
          <c:showBubbleSize val="0"/>
        </c:dLbls>
        <c:gapWidth val="164"/>
        <c:overlap val="-22"/>
        <c:axId val="2101536880"/>
        <c:axId val="2100593088"/>
      </c:barChart>
      <c:catAx>
        <c:axId val="21015368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charset="0"/>
                <a:ea typeface="Calibri" charset="0"/>
                <a:cs typeface="Calibri" charset="0"/>
              </a:defRPr>
            </a:pPr>
            <a:endParaRPr lang="en-US"/>
          </a:p>
        </c:txPr>
        <c:crossAx val="2100593088"/>
        <c:crosses val="autoZero"/>
        <c:auto val="1"/>
        <c:lblAlgn val="ctr"/>
        <c:lblOffset val="100"/>
        <c:noMultiLvlLbl val="0"/>
      </c:catAx>
      <c:valAx>
        <c:axId val="2100593088"/>
        <c:scaling>
          <c:orientation val="minMax"/>
        </c:scaling>
        <c:delete val="1"/>
        <c:axPos val="l"/>
        <c:numFmt formatCode="#,##0" sourceLinked="0"/>
        <c:majorTickMark val="none"/>
        <c:minorTickMark val="none"/>
        <c:tickLblPos val="nextTo"/>
        <c:crossAx val="2101536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9619355590003E-2"/>
          <c:y val="3.6399279569822598E-2"/>
          <c:w val="0.96666038064440996"/>
          <c:h val="0.80919718850172595"/>
        </c:manualLayout>
      </c:layout>
      <c:barChart>
        <c:barDir val="col"/>
        <c:grouping val="clustered"/>
        <c:varyColors val="0"/>
        <c:ser>
          <c:idx val="0"/>
          <c:order val="0"/>
          <c:spPr>
            <a:solidFill>
              <a:schemeClr val="accent1"/>
            </a:solidFill>
            <a:ln w="12700" cap="flat" cmpd="sng" algn="ctr">
              <a:noFill/>
              <a:prstDash val="solid"/>
              <a:miter lim="800000"/>
            </a:ln>
            <a:effectLst/>
          </c:spPr>
          <c:invertIfNegative val="0"/>
          <c:dPt>
            <c:idx val="0"/>
            <c:invertIfNegative val="0"/>
            <c:bubble3D val="0"/>
            <c:spPr>
              <a:solidFill>
                <a:schemeClr val="accent1"/>
              </a:solidFill>
              <a:ln w="12700" cap="flat" cmpd="sng" algn="ctr">
                <a:solidFill>
                  <a:schemeClr val="accent1"/>
                </a:solidFill>
                <a:prstDash val="solid"/>
                <a:miter lim="800000"/>
              </a:ln>
              <a:effectLst/>
            </c:spPr>
            <c:extLst>
              <c:ext xmlns:c16="http://schemas.microsoft.com/office/drawing/2014/chart" uri="{C3380CC4-5D6E-409C-BE32-E72D297353CC}">
                <c16:uniqueId val="{00000001-24A9-784E-B51F-4443E4AE84BA}"/>
              </c:ext>
            </c:extLst>
          </c:dPt>
          <c:dPt>
            <c:idx val="1"/>
            <c:invertIfNegative val="0"/>
            <c:bubble3D val="0"/>
            <c:spPr>
              <a:solidFill>
                <a:schemeClr val="accent2"/>
              </a:solidFill>
              <a:ln w="12700" cap="flat" cmpd="sng" algn="ctr">
                <a:noFill/>
                <a:prstDash val="solid"/>
                <a:miter lim="800000"/>
              </a:ln>
              <a:effectLst/>
            </c:spPr>
            <c:extLst>
              <c:ext xmlns:c16="http://schemas.microsoft.com/office/drawing/2014/chart" uri="{C3380CC4-5D6E-409C-BE32-E72D297353CC}">
                <c16:uniqueId val="{00000003-24A9-784E-B51F-4443E4AE84BA}"/>
              </c:ext>
            </c:extLst>
          </c:dPt>
          <c:dPt>
            <c:idx val="2"/>
            <c:invertIfNegative val="0"/>
            <c:bubble3D val="0"/>
            <c:spPr>
              <a:solidFill>
                <a:schemeClr val="accent3"/>
              </a:solidFill>
              <a:ln w="12700" cap="flat" cmpd="sng" algn="ctr">
                <a:noFill/>
                <a:prstDash val="solid"/>
                <a:miter lim="800000"/>
              </a:ln>
              <a:effectLst/>
            </c:spPr>
            <c:extLst>
              <c:ext xmlns:c16="http://schemas.microsoft.com/office/drawing/2014/chart" uri="{C3380CC4-5D6E-409C-BE32-E72D297353CC}">
                <c16:uniqueId val="{00000005-24A9-784E-B51F-4443E4AE84BA}"/>
              </c:ext>
            </c:extLst>
          </c:dPt>
          <c:dPt>
            <c:idx val="3"/>
            <c:invertIfNegative val="0"/>
            <c:bubble3D val="0"/>
            <c:spPr>
              <a:solidFill>
                <a:schemeClr val="accent4"/>
              </a:solidFill>
              <a:ln w="12700" cap="flat" cmpd="sng" algn="ctr">
                <a:solidFill>
                  <a:schemeClr val="accent4"/>
                </a:solidFill>
                <a:prstDash val="solid"/>
                <a:miter lim="800000"/>
              </a:ln>
              <a:effectLst/>
            </c:spPr>
            <c:extLst>
              <c:ext xmlns:c16="http://schemas.microsoft.com/office/drawing/2014/chart" uri="{C3380CC4-5D6E-409C-BE32-E72D297353CC}">
                <c16:uniqueId val="{00000007-24A9-784E-B51F-4443E4AE84BA}"/>
              </c:ext>
            </c:extLst>
          </c:dPt>
          <c:dLbls>
            <c:dLbl>
              <c:idx val="0"/>
              <c:layout>
                <c:manualLayout>
                  <c:x val="1.03049545190832E-7"/>
                  <c:y val="-0.144927536231884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Calibri" charset="0"/>
                      <a:ea typeface="Calibri" charset="0"/>
                      <a:cs typeface="Calibri"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1511582253631699E-2"/>
                      <c:h val="0.15931187949332401"/>
                    </c:manualLayout>
                  </c15:layout>
                </c:ext>
                <c:ext xmlns:c16="http://schemas.microsoft.com/office/drawing/2014/chart" uri="{C3380CC4-5D6E-409C-BE32-E72D297353CC}">
                  <c16:uniqueId val="{00000001-24A9-784E-B51F-4443E4AE84BA}"/>
                </c:ext>
              </c:extLst>
            </c:dLbl>
            <c:dLbl>
              <c:idx val="3"/>
              <c:layout>
                <c:manualLayout>
                  <c:x val="3.9260846222254203E-3"/>
                  <c:y val="-0.115941743695082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Calibri" charset="0"/>
                      <a:ea typeface="Calibri" charset="0"/>
                      <a:cs typeface="Calibri"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9.2620725118429698E-2"/>
                      <c:h val="0.12623587812393"/>
                    </c:manualLayout>
                  </c15:layout>
                </c:ext>
                <c:ext xmlns:c16="http://schemas.microsoft.com/office/drawing/2014/chart" uri="{C3380CC4-5D6E-409C-BE32-E72D297353CC}">
                  <c16:uniqueId val="{00000007-24A9-784E-B51F-4443E4AE84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charset="0"/>
                    <a:ea typeface="Calibri" charset="0"/>
                    <a:cs typeface="Calibri"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Sheet1!$A$3:$A$6</c:f>
              <c:strCache>
                <c:ptCount val="4"/>
                <c:pt idx="0">
                  <c:v>&lt;300</c:v>
                </c:pt>
                <c:pt idx="1">
                  <c:v>300-399</c:v>
                </c:pt>
                <c:pt idx="2">
                  <c:v>400-499</c:v>
                </c:pt>
                <c:pt idx="3">
                  <c:v>&gt;499</c:v>
                </c:pt>
              </c:strCache>
            </c:strRef>
          </c:cat>
          <c:val>
            <c:numRef>
              <c:f>Sheet1!$B$3:$B$6</c:f>
              <c:numCache>
                <c:formatCode>#,##0</c:formatCode>
                <c:ptCount val="4"/>
                <c:pt idx="0" formatCode="General">
                  <c:v>127</c:v>
                </c:pt>
                <c:pt idx="1">
                  <c:v>2286</c:v>
                </c:pt>
                <c:pt idx="2">
                  <c:v>5304</c:v>
                </c:pt>
                <c:pt idx="3" formatCode="General">
                  <c:v>90</c:v>
                </c:pt>
              </c:numCache>
            </c:numRef>
          </c:val>
          <c:extLst>
            <c:ext xmlns:c16="http://schemas.microsoft.com/office/drawing/2014/chart" uri="{C3380CC4-5D6E-409C-BE32-E72D297353CC}">
              <c16:uniqueId val="{00000008-24A9-784E-B51F-4443E4AE84BA}"/>
            </c:ext>
          </c:extLst>
        </c:ser>
        <c:dLbls>
          <c:dLblPos val="outEnd"/>
          <c:showLegendKey val="0"/>
          <c:showVal val="1"/>
          <c:showCatName val="0"/>
          <c:showSerName val="0"/>
          <c:showPercent val="0"/>
          <c:showBubbleSize val="0"/>
        </c:dLbls>
        <c:gapWidth val="164"/>
        <c:overlap val="-22"/>
        <c:axId val="2104538688"/>
        <c:axId val="2102616384"/>
      </c:barChart>
      <c:catAx>
        <c:axId val="21045386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charset="0"/>
                <a:ea typeface="Calibri" charset="0"/>
                <a:cs typeface="Calibri" charset="0"/>
              </a:defRPr>
            </a:pPr>
            <a:endParaRPr lang="en-US"/>
          </a:p>
        </c:txPr>
        <c:crossAx val="2102616384"/>
        <c:crosses val="autoZero"/>
        <c:auto val="1"/>
        <c:lblAlgn val="ctr"/>
        <c:lblOffset val="100"/>
        <c:noMultiLvlLbl val="0"/>
      </c:catAx>
      <c:valAx>
        <c:axId val="2102616384"/>
        <c:scaling>
          <c:orientation val="minMax"/>
        </c:scaling>
        <c:delete val="1"/>
        <c:axPos val="l"/>
        <c:numFmt formatCode="General" sourceLinked="1"/>
        <c:majorTickMark val="none"/>
        <c:minorTickMark val="none"/>
        <c:tickLblPos val="nextTo"/>
        <c:crossAx val="2104538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D20E01-D01E-9544-96D7-06F2EEEE89DD}" type="doc">
      <dgm:prSet loTypeId="urn:microsoft.com/office/officeart/2005/8/layout/venn2" loCatId="" qsTypeId="urn:microsoft.com/office/officeart/2005/8/quickstyle/simple1" qsCatId="simple" csTypeId="urn:microsoft.com/office/officeart/2005/8/colors/colorful5" csCatId="colorful" phldr="1"/>
      <dgm:spPr/>
      <dgm:t>
        <a:bodyPr/>
        <a:lstStyle/>
        <a:p>
          <a:endParaRPr lang="en-US"/>
        </a:p>
      </dgm:t>
    </dgm:pt>
    <dgm:pt modelId="{E1047210-0952-7846-BAB7-62FCE7BA5923}">
      <dgm:prSet phldrT="[Text]" custT="1"/>
      <dgm:spPr/>
      <dgm:t>
        <a:bodyPr/>
        <a:lstStyle/>
        <a:p>
          <a:pPr algn="l"/>
          <a:r>
            <a:rPr lang="en-US" sz="1200" b="0"/>
            <a:t>Macro/ Societal Barriers</a:t>
          </a:r>
        </a:p>
      </dgm:t>
    </dgm:pt>
    <dgm:pt modelId="{9F8B1F58-8333-F14C-9DD1-55FDCB5E5867}" type="parTrans" cxnId="{BC5397DA-CB2F-8B4C-9EE6-52E8872C6BA8}">
      <dgm:prSet/>
      <dgm:spPr/>
      <dgm:t>
        <a:bodyPr/>
        <a:lstStyle/>
        <a:p>
          <a:pPr algn="ctr"/>
          <a:endParaRPr lang="en-US"/>
        </a:p>
      </dgm:t>
    </dgm:pt>
    <dgm:pt modelId="{E0D31AF1-112C-AC42-B522-D19CA4F30440}" type="sibTrans" cxnId="{BC5397DA-CB2F-8B4C-9EE6-52E8872C6BA8}">
      <dgm:prSet/>
      <dgm:spPr/>
      <dgm:t>
        <a:bodyPr/>
        <a:lstStyle/>
        <a:p>
          <a:pPr algn="ctr"/>
          <a:endParaRPr lang="en-US"/>
        </a:p>
      </dgm:t>
    </dgm:pt>
    <dgm:pt modelId="{6D602013-4A77-6B41-B26F-B45EFB22D5DD}">
      <dgm:prSet phldrT="[Text]" custT="1"/>
      <dgm:spPr/>
      <dgm:t>
        <a:bodyPr/>
        <a:lstStyle/>
        <a:p>
          <a:pPr algn="l"/>
          <a:r>
            <a:rPr lang="en-US" sz="1200" b="0"/>
            <a:t>Exo/ Institutional Barriers</a:t>
          </a:r>
        </a:p>
      </dgm:t>
    </dgm:pt>
    <dgm:pt modelId="{8509AB18-3C5C-5241-84F6-4381C4749DEC}" type="parTrans" cxnId="{A3E5FD5B-2D2C-0B4F-8360-D6FA2EC843E1}">
      <dgm:prSet/>
      <dgm:spPr/>
      <dgm:t>
        <a:bodyPr/>
        <a:lstStyle/>
        <a:p>
          <a:pPr algn="ctr"/>
          <a:endParaRPr lang="en-US"/>
        </a:p>
      </dgm:t>
    </dgm:pt>
    <dgm:pt modelId="{0CBA7E97-FDA0-FC4F-949D-D647D2134300}" type="sibTrans" cxnId="{A3E5FD5B-2D2C-0B4F-8360-D6FA2EC843E1}">
      <dgm:prSet/>
      <dgm:spPr/>
      <dgm:t>
        <a:bodyPr/>
        <a:lstStyle/>
        <a:p>
          <a:pPr algn="ctr"/>
          <a:endParaRPr lang="en-US"/>
        </a:p>
      </dgm:t>
    </dgm:pt>
    <dgm:pt modelId="{4BDDEFA3-2DE5-3643-A6D3-A33C0D3F0F19}">
      <dgm:prSet phldrT="[Text]" custT="1"/>
      <dgm:spPr/>
      <dgm:t>
        <a:bodyPr/>
        <a:lstStyle/>
        <a:p>
          <a:pPr algn="l"/>
          <a:r>
            <a:rPr lang="en-US" sz="1200" b="0"/>
            <a:t>Meso/Inter-personal Barriers</a:t>
          </a:r>
        </a:p>
      </dgm:t>
    </dgm:pt>
    <dgm:pt modelId="{EADC6472-BEA3-2349-BB4A-2371E31D56E8}" type="parTrans" cxnId="{9E9064A5-78C4-0248-AF6C-B266959663CD}">
      <dgm:prSet/>
      <dgm:spPr/>
      <dgm:t>
        <a:bodyPr/>
        <a:lstStyle/>
        <a:p>
          <a:pPr algn="ctr"/>
          <a:endParaRPr lang="en-US"/>
        </a:p>
      </dgm:t>
    </dgm:pt>
    <dgm:pt modelId="{AA359EF7-3FF9-3D45-9D73-387027DEC949}" type="sibTrans" cxnId="{9E9064A5-78C4-0248-AF6C-B266959663CD}">
      <dgm:prSet/>
      <dgm:spPr/>
      <dgm:t>
        <a:bodyPr/>
        <a:lstStyle/>
        <a:p>
          <a:pPr algn="ctr"/>
          <a:endParaRPr lang="en-US"/>
        </a:p>
      </dgm:t>
    </dgm:pt>
    <dgm:pt modelId="{09DBDDAE-7916-064F-A8FB-72F4FE9F025F}">
      <dgm:prSet phldrT="[Text]" custT="1"/>
      <dgm:spPr/>
      <dgm:t>
        <a:bodyPr/>
        <a:lstStyle/>
        <a:p>
          <a:pPr algn="l"/>
          <a:r>
            <a:rPr lang="en-US" sz="1200" b="0"/>
            <a:t>Micro/ Individual Barriers</a:t>
          </a:r>
        </a:p>
      </dgm:t>
    </dgm:pt>
    <dgm:pt modelId="{3738C4CB-2179-694C-BB6F-7F6F83770F75}" type="parTrans" cxnId="{467044E8-C282-664B-A54C-DBD70F9405FD}">
      <dgm:prSet/>
      <dgm:spPr/>
      <dgm:t>
        <a:bodyPr/>
        <a:lstStyle/>
        <a:p>
          <a:pPr algn="ctr"/>
          <a:endParaRPr lang="en-US"/>
        </a:p>
      </dgm:t>
    </dgm:pt>
    <dgm:pt modelId="{4AA22E26-62DC-154A-AF27-A58EB01A5239}" type="sibTrans" cxnId="{467044E8-C282-664B-A54C-DBD70F9405FD}">
      <dgm:prSet/>
      <dgm:spPr/>
      <dgm:t>
        <a:bodyPr/>
        <a:lstStyle/>
        <a:p>
          <a:pPr algn="ctr"/>
          <a:endParaRPr lang="en-US"/>
        </a:p>
      </dgm:t>
    </dgm:pt>
    <dgm:pt modelId="{B083FB41-8929-C743-826F-A2218360DC23}" type="pres">
      <dgm:prSet presAssocID="{D4D20E01-D01E-9544-96D7-06F2EEEE89DD}" presName="Name0" presStyleCnt="0">
        <dgm:presLayoutVars>
          <dgm:chMax val="7"/>
          <dgm:resizeHandles val="exact"/>
        </dgm:presLayoutVars>
      </dgm:prSet>
      <dgm:spPr/>
    </dgm:pt>
    <dgm:pt modelId="{1E40236E-1610-CD47-A5AF-5B2F24EA2B97}" type="pres">
      <dgm:prSet presAssocID="{D4D20E01-D01E-9544-96D7-06F2EEEE89DD}" presName="comp1" presStyleCnt="0"/>
      <dgm:spPr/>
    </dgm:pt>
    <dgm:pt modelId="{E0EBB0B0-448A-C441-AD27-61FB6B8E8848}" type="pres">
      <dgm:prSet presAssocID="{D4D20E01-D01E-9544-96D7-06F2EEEE89DD}" presName="circle1" presStyleLbl="node1" presStyleIdx="0" presStyleCnt="4" custScaleX="101405" custLinFactNeighborX="71" custLinFactNeighborY="10"/>
      <dgm:spPr/>
    </dgm:pt>
    <dgm:pt modelId="{BE57B189-4960-C140-906D-8A7DC141A120}" type="pres">
      <dgm:prSet presAssocID="{D4D20E01-D01E-9544-96D7-06F2EEEE89DD}" presName="c1text" presStyleLbl="node1" presStyleIdx="0" presStyleCnt="4">
        <dgm:presLayoutVars>
          <dgm:bulletEnabled val="1"/>
        </dgm:presLayoutVars>
      </dgm:prSet>
      <dgm:spPr/>
    </dgm:pt>
    <dgm:pt modelId="{2E3F8FA8-E2BA-E84C-A4CF-0209CB6AF6F7}" type="pres">
      <dgm:prSet presAssocID="{D4D20E01-D01E-9544-96D7-06F2EEEE89DD}" presName="comp2" presStyleCnt="0"/>
      <dgm:spPr/>
    </dgm:pt>
    <dgm:pt modelId="{5B71D71E-0098-E349-AFB6-E60731857733}" type="pres">
      <dgm:prSet presAssocID="{D4D20E01-D01E-9544-96D7-06F2EEEE89DD}" presName="circle2" presStyleLbl="node1" presStyleIdx="1" presStyleCnt="4" custScaleX="106481" custLinFactNeighborX="1010" custLinFactNeighborY="731"/>
      <dgm:spPr/>
    </dgm:pt>
    <dgm:pt modelId="{5FB3E0C6-96CB-8D40-BA56-C5F0DE2B337A}" type="pres">
      <dgm:prSet presAssocID="{D4D20E01-D01E-9544-96D7-06F2EEEE89DD}" presName="c2text" presStyleLbl="node1" presStyleIdx="1" presStyleCnt="4">
        <dgm:presLayoutVars>
          <dgm:bulletEnabled val="1"/>
        </dgm:presLayoutVars>
      </dgm:prSet>
      <dgm:spPr/>
    </dgm:pt>
    <dgm:pt modelId="{DB71FFC1-8F2B-6D47-8F46-7A81699A58CF}" type="pres">
      <dgm:prSet presAssocID="{D4D20E01-D01E-9544-96D7-06F2EEEE89DD}" presName="comp3" presStyleCnt="0"/>
      <dgm:spPr/>
    </dgm:pt>
    <dgm:pt modelId="{E93D5E3B-B6A6-204E-A75B-CFDBCF3EDB84}" type="pres">
      <dgm:prSet presAssocID="{D4D20E01-D01E-9544-96D7-06F2EEEE89DD}" presName="circle3" presStyleLbl="node1" presStyleIdx="2" presStyleCnt="4" custScaleX="104753" custLinFactNeighborX="936" custLinFactNeighborY="-187"/>
      <dgm:spPr/>
    </dgm:pt>
    <dgm:pt modelId="{0B8A6C67-CDC9-E24D-9CE7-29862F02FB8D}" type="pres">
      <dgm:prSet presAssocID="{D4D20E01-D01E-9544-96D7-06F2EEEE89DD}" presName="c3text" presStyleLbl="node1" presStyleIdx="2" presStyleCnt="4">
        <dgm:presLayoutVars>
          <dgm:bulletEnabled val="1"/>
        </dgm:presLayoutVars>
      </dgm:prSet>
      <dgm:spPr/>
    </dgm:pt>
    <dgm:pt modelId="{FEE5C0E8-F80B-9F4F-9E3C-19C7D4C6E59A}" type="pres">
      <dgm:prSet presAssocID="{D4D20E01-D01E-9544-96D7-06F2EEEE89DD}" presName="comp4" presStyleCnt="0"/>
      <dgm:spPr/>
    </dgm:pt>
    <dgm:pt modelId="{1A80806F-98FB-DC4D-8078-86DC6A33672A}" type="pres">
      <dgm:prSet presAssocID="{D4D20E01-D01E-9544-96D7-06F2EEEE89DD}" presName="circle4" presStyleLbl="node1" presStyleIdx="3" presStyleCnt="4" custLinFactNeighborX="476" custLinFactNeighborY="-2723"/>
      <dgm:spPr/>
    </dgm:pt>
    <dgm:pt modelId="{BB5021C7-F7F0-5D4F-B21D-55B531BBEFE4}" type="pres">
      <dgm:prSet presAssocID="{D4D20E01-D01E-9544-96D7-06F2EEEE89DD}" presName="c4text" presStyleLbl="node1" presStyleIdx="3" presStyleCnt="4">
        <dgm:presLayoutVars>
          <dgm:bulletEnabled val="1"/>
        </dgm:presLayoutVars>
      </dgm:prSet>
      <dgm:spPr/>
    </dgm:pt>
  </dgm:ptLst>
  <dgm:cxnLst>
    <dgm:cxn modelId="{9497F036-9626-4A6F-9CA1-1D04058F2452}" type="presOf" srcId="{09DBDDAE-7916-064F-A8FB-72F4FE9F025F}" destId="{BB5021C7-F7F0-5D4F-B21D-55B531BBEFE4}" srcOrd="1" destOrd="0" presId="urn:microsoft.com/office/officeart/2005/8/layout/venn2"/>
    <dgm:cxn modelId="{9DA02E45-3524-4B17-B5DD-A7C888DBB94E}" type="presOf" srcId="{09DBDDAE-7916-064F-A8FB-72F4FE9F025F}" destId="{1A80806F-98FB-DC4D-8078-86DC6A33672A}" srcOrd="0" destOrd="0" presId="urn:microsoft.com/office/officeart/2005/8/layout/venn2"/>
    <dgm:cxn modelId="{A3E5FD5B-2D2C-0B4F-8360-D6FA2EC843E1}" srcId="{D4D20E01-D01E-9544-96D7-06F2EEEE89DD}" destId="{6D602013-4A77-6B41-B26F-B45EFB22D5DD}" srcOrd="1" destOrd="0" parTransId="{8509AB18-3C5C-5241-84F6-4381C4749DEC}" sibTransId="{0CBA7E97-FDA0-FC4F-949D-D647D2134300}"/>
    <dgm:cxn modelId="{BE800872-0026-4093-90AC-DA51A5AA3684}" type="presOf" srcId="{6D602013-4A77-6B41-B26F-B45EFB22D5DD}" destId="{5B71D71E-0098-E349-AFB6-E60731857733}" srcOrd="0" destOrd="0" presId="urn:microsoft.com/office/officeart/2005/8/layout/venn2"/>
    <dgm:cxn modelId="{C7033B73-3781-45EB-AB52-7FAAACC13694}" type="presOf" srcId="{E1047210-0952-7846-BAB7-62FCE7BA5923}" destId="{BE57B189-4960-C140-906D-8A7DC141A120}" srcOrd="1" destOrd="0" presId="urn:microsoft.com/office/officeart/2005/8/layout/venn2"/>
    <dgm:cxn modelId="{C5101D97-3194-4EBA-8AF6-F3708880BAC7}" type="presOf" srcId="{E1047210-0952-7846-BAB7-62FCE7BA5923}" destId="{E0EBB0B0-448A-C441-AD27-61FB6B8E8848}" srcOrd="0" destOrd="0" presId="urn:microsoft.com/office/officeart/2005/8/layout/venn2"/>
    <dgm:cxn modelId="{9E9064A5-78C4-0248-AF6C-B266959663CD}" srcId="{D4D20E01-D01E-9544-96D7-06F2EEEE89DD}" destId="{4BDDEFA3-2DE5-3643-A6D3-A33C0D3F0F19}" srcOrd="2" destOrd="0" parTransId="{EADC6472-BEA3-2349-BB4A-2371E31D56E8}" sibTransId="{AA359EF7-3FF9-3D45-9D73-387027DEC949}"/>
    <dgm:cxn modelId="{ADE4DEA7-9DAB-4551-B650-F93A186D2E4C}" type="presOf" srcId="{6D602013-4A77-6B41-B26F-B45EFB22D5DD}" destId="{5FB3E0C6-96CB-8D40-BA56-C5F0DE2B337A}" srcOrd="1" destOrd="0" presId="urn:microsoft.com/office/officeart/2005/8/layout/venn2"/>
    <dgm:cxn modelId="{BC5397DA-CB2F-8B4C-9EE6-52E8872C6BA8}" srcId="{D4D20E01-D01E-9544-96D7-06F2EEEE89DD}" destId="{E1047210-0952-7846-BAB7-62FCE7BA5923}" srcOrd="0" destOrd="0" parTransId="{9F8B1F58-8333-F14C-9DD1-55FDCB5E5867}" sibTransId="{E0D31AF1-112C-AC42-B522-D19CA4F30440}"/>
    <dgm:cxn modelId="{D4FC23E5-7E64-4170-89DE-536E8DE1F359}" type="presOf" srcId="{4BDDEFA3-2DE5-3643-A6D3-A33C0D3F0F19}" destId="{E93D5E3B-B6A6-204E-A75B-CFDBCF3EDB84}" srcOrd="0" destOrd="0" presId="urn:microsoft.com/office/officeart/2005/8/layout/venn2"/>
    <dgm:cxn modelId="{467044E8-C282-664B-A54C-DBD70F9405FD}" srcId="{D4D20E01-D01E-9544-96D7-06F2EEEE89DD}" destId="{09DBDDAE-7916-064F-A8FB-72F4FE9F025F}" srcOrd="3" destOrd="0" parTransId="{3738C4CB-2179-694C-BB6F-7F6F83770F75}" sibTransId="{4AA22E26-62DC-154A-AF27-A58EB01A5239}"/>
    <dgm:cxn modelId="{D145E0FD-A93B-43F7-896B-E8167ABB0FC8}" type="presOf" srcId="{4BDDEFA3-2DE5-3643-A6D3-A33C0D3F0F19}" destId="{0B8A6C67-CDC9-E24D-9CE7-29862F02FB8D}" srcOrd="1" destOrd="0" presId="urn:microsoft.com/office/officeart/2005/8/layout/venn2"/>
    <dgm:cxn modelId="{2EF437FE-3971-446E-8F82-52462CD8C79C}" type="presOf" srcId="{D4D20E01-D01E-9544-96D7-06F2EEEE89DD}" destId="{B083FB41-8929-C743-826F-A2218360DC23}" srcOrd="0" destOrd="0" presId="urn:microsoft.com/office/officeart/2005/8/layout/venn2"/>
    <dgm:cxn modelId="{C7BDB139-F999-46C7-AD15-6824A6AF544B}" type="presParOf" srcId="{B083FB41-8929-C743-826F-A2218360DC23}" destId="{1E40236E-1610-CD47-A5AF-5B2F24EA2B97}" srcOrd="0" destOrd="0" presId="urn:microsoft.com/office/officeart/2005/8/layout/venn2"/>
    <dgm:cxn modelId="{A88DCAE3-5AB9-4497-B2C5-580DF4676A92}" type="presParOf" srcId="{1E40236E-1610-CD47-A5AF-5B2F24EA2B97}" destId="{E0EBB0B0-448A-C441-AD27-61FB6B8E8848}" srcOrd="0" destOrd="0" presId="urn:microsoft.com/office/officeart/2005/8/layout/venn2"/>
    <dgm:cxn modelId="{FEC20FDE-944F-4959-90A2-BE7EEFFAA138}" type="presParOf" srcId="{1E40236E-1610-CD47-A5AF-5B2F24EA2B97}" destId="{BE57B189-4960-C140-906D-8A7DC141A120}" srcOrd="1" destOrd="0" presId="urn:microsoft.com/office/officeart/2005/8/layout/venn2"/>
    <dgm:cxn modelId="{7E795A43-0C9E-4FC5-9191-963A773705B8}" type="presParOf" srcId="{B083FB41-8929-C743-826F-A2218360DC23}" destId="{2E3F8FA8-E2BA-E84C-A4CF-0209CB6AF6F7}" srcOrd="1" destOrd="0" presId="urn:microsoft.com/office/officeart/2005/8/layout/venn2"/>
    <dgm:cxn modelId="{47C43F6B-AEDD-4C8C-9B95-FAB726E0FF20}" type="presParOf" srcId="{2E3F8FA8-E2BA-E84C-A4CF-0209CB6AF6F7}" destId="{5B71D71E-0098-E349-AFB6-E60731857733}" srcOrd="0" destOrd="0" presId="urn:microsoft.com/office/officeart/2005/8/layout/venn2"/>
    <dgm:cxn modelId="{6907F179-0D94-41BA-A850-1DFA05C357D3}" type="presParOf" srcId="{2E3F8FA8-E2BA-E84C-A4CF-0209CB6AF6F7}" destId="{5FB3E0C6-96CB-8D40-BA56-C5F0DE2B337A}" srcOrd="1" destOrd="0" presId="urn:microsoft.com/office/officeart/2005/8/layout/venn2"/>
    <dgm:cxn modelId="{D26A0445-BCEB-439E-AA36-C78CF3E2BEB2}" type="presParOf" srcId="{B083FB41-8929-C743-826F-A2218360DC23}" destId="{DB71FFC1-8F2B-6D47-8F46-7A81699A58CF}" srcOrd="2" destOrd="0" presId="urn:microsoft.com/office/officeart/2005/8/layout/venn2"/>
    <dgm:cxn modelId="{BA50787B-F7ED-46BD-B3E7-6A6BD988FB2C}" type="presParOf" srcId="{DB71FFC1-8F2B-6D47-8F46-7A81699A58CF}" destId="{E93D5E3B-B6A6-204E-A75B-CFDBCF3EDB84}" srcOrd="0" destOrd="0" presId="urn:microsoft.com/office/officeart/2005/8/layout/venn2"/>
    <dgm:cxn modelId="{A81B48DC-FA62-46E2-8493-B1B9850560C2}" type="presParOf" srcId="{DB71FFC1-8F2B-6D47-8F46-7A81699A58CF}" destId="{0B8A6C67-CDC9-E24D-9CE7-29862F02FB8D}" srcOrd="1" destOrd="0" presId="urn:microsoft.com/office/officeart/2005/8/layout/venn2"/>
    <dgm:cxn modelId="{A5C09A9C-F2E1-4489-B982-004AA6DE5A7E}" type="presParOf" srcId="{B083FB41-8929-C743-826F-A2218360DC23}" destId="{FEE5C0E8-F80B-9F4F-9E3C-19C7D4C6E59A}" srcOrd="3" destOrd="0" presId="urn:microsoft.com/office/officeart/2005/8/layout/venn2"/>
    <dgm:cxn modelId="{D02D3BBA-B5DB-4689-937E-C42DB04F6E19}" type="presParOf" srcId="{FEE5C0E8-F80B-9F4F-9E3C-19C7D4C6E59A}" destId="{1A80806F-98FB-DC4D-8078-86DC6A33672A}" srcOrd="0" destOrd="0" presId="urn:microsoft.com/office/officeart/2005/8/layout/venn2"/>
    <dgm:cxn modelId="{BA6104B0-7547-472F-B506-265C6BEDE808}" type="presParOf" srcId="{FEE5C0E8-F80B-9F4F-9E3C-19C7D4C6E59A}" destId="{BB5021C7-F7F0-5D4F-B21D-55B531BBEFE4}" srcOrd="1" destOrd="0" presId="urn:microsoft.com/office/officeart/2005/8/layout/venn2"/>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EBB0B0-448A-C441-AD27-61FB6B8E8848}">
      <dsp:nvSpPr>
        <dsp:cNvPr id="0" name=""/>
        <dsp:cNvSpPr/>
      </dsp:nvSpPr>
      <dsp:spPr>
        <a:xfrm>
          <a:off x="-22884" y="19375"/>
          <a:ext cx="3303318" cy="325755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US" sz="1200" b="0" kern="1200"/>
            <a:t>Macro/ Societal Barriers</a:t>
          </a:r>
        </a:p>
      </dsp:txBody>
      <dsp:txXfrm>
        <a:off x="1166971" y="182253"/>
        <a:ext cx="923607" cy="488632"/>
      </dsp:txXfrm>
    </dsp:sp>
    <dsp:sp modelId="{5B71D71E-0098-E349-AFB6-E60731857733}">
      <dsp:nvSpPr>
        <dsp:cNvPr id="0" name=""/>
        <dsp:cNvSpPr/>
      </dsp:nvSpPr>
      <dsp:spPr>
        <a:xfrm>
          <a:off x="267627" y="689610"/>
          <a:ext cx="2774937" cy="2606040"/>
        </a:xfrm>
        <a:prstGeom prst="ellips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US" sz="1200" b="0" kern="1200"/>
            <a:t>Exo/ Institutional Barriers</a:t>
          </a:r>
        </a:p>
      </dsp:txBody>
      <dsp:txXfrm>
        <a:off x="1170175" y="845972"/>
        <a:ext cx="969840" cy="469087"/>
      </dsp:txXfrm>
    </dsp:sp>
    <dsp:sp modelId="{E93D5E3B-B6A6-204E-A75B-CFDBCF3EDB84}">
      <dsp:nvSpPr>
        <dsp:cNvPr id="0" name=""/>
        <dsp:cNvSpPr/>
      </dsp:nvSpPr>
      <dsp:spPr>
        <a:xfrm>
          <a:off x="623354" y="1318415"/>
          <a:ext cx="2047428" cy="1954530"/>
        </a:xfrm>
        <a:prstGeom prst="ellips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US" sz="1200" b="0" kern="1200"/>
            <a:t>Meso/Inter-personal Barriers</a:t>
          </a:r>
        </a:p>
      </dsp:txBody>
      <dsp:txXfrm>
        <a:off x="1170018" y="1465004"/>
        <a:ext cx="954101" cy="439769"/>
      </dsp:txXfrm>
    </dsp:sp>
    <dsp:sp modelId="{1A80806F-98FB-DC4D-8078-86DC6A33672A}">
      <dsp:nvSpPr>
        <dsp:cNvPr id="0" name=""/>
        <dsp:cNvSpPr/>
      </dsp:nvSpPr>
      <dsp:spPr>
        <a:xfrm>
          <a:off x="983467" y="1938098"/>
          <a:ext cx="1303020" cy="1303020"/>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US" sz="1200" b="0" kern="1200"/>
            <a:t>Micro/ Individual Barriers</a:t>
          </a:r>
        </a:p>
      </dsp:txBody>
      <dsp:txXfrm>
        <a:off x="1174290" y="2263853"/>
        <a:ext cx="921374" cy="65151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0.80485</cdr:x>
      <cdr:y>0.71346</cdr:y>
    </cdr:from>
    <cdr:to>
      <cdr:x>0.89576</cdr:x>
      <cdr:y>0.82478</cdr:y>
    </cdr:to>
    <cdr:sp macro="" textlink="">
      <cdr:nvSpPr>
        <cdr:cNvPr id="2" name="Text Box 1"/>
        <cdr:cNvSpPr txBox="1"/>
      </cdr:nvSpPr>
      <cdr:spPr>
        <a:xfrm xmlns:a="http://schemas.openxmlformats.org/drawingml/2006/main">
          <a:off x="4047741" y="1137151"/>
          <a:ext cx="457204" cy="177427"/>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lgn="ctr"/>
          <a:r>
            <a:rPr lang="en-US" b="1">
              <a:solidFill>
                <a:schemeClr val="tx1"/>
              </a:solidFill>
              <a:latin typeface="Calibri" charset="0"/>
              <a:ea typeface="Calibri" charset="0"/>
              <a:cs typeface="Calibri" charset="0"/>
            </a:rPr>
            <a:t>9%</a:t>
          </a:r>
        </a:p>
      </cdr:txBody>
    </cdr:sp>
  </cdr:relSizeAnchor>
  <cdr:relSizeAnchor xmlns:cdr="http://schemas.openxmlformats.org/drawingml/2006/chartDrawing">
    <cdr:from>
      <cdr:x>0.32758</cdr:x>
      <cdr:y>0.71346</cdr:y>
    </cdr:from>
    <cdr:to>
      <cdr:x>0.44121</cdr:x>
      <cdr:y>0.85213</cdr:y>
    </cdr:to>
    <cdr:sp macro="" textlink="">
      <cdr:nvSpPr>
        <cdr:cNvPr id="3" name="Text Box 2"/>
        <cdr:cNvSpPr txBox="1"/>
      </cdr:nvSpPr>
      <cdr:spPr>
        <a:xfrm xmlns:a="http://schemas.openxmlformats.org/drawingml/2006/main">
          <a:off x="1647465" y="1137152"/>
          <a:ext cx="571468" cy="2210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b="1">
              <a:latin typeface="Calibri" charset="0"/>
              <a:ea typeface="Calibri" charset="0"/>
              <a:cs typeface="Calibri" charset="0"/>
            </a:rPr>
            <a:t>23%</a:t>
          </a:r>
        </a:p>
      </cdr:txBody>
    </cdr:sp>
  </cdr:relSizeAnchor>
  <cdr:relSizeAnchor xmlns:cdr="http://schemas.openxmlformats.org/drawingml/2006/chartDrawing">
    <cdr:from>
      <cdr:x>0.55485</cdr:x>
      <cdr:y>0.71346</cdr:y>
    </cdr:from>
    <cdr:to>
      <cdr:x>0.66848</cdr:x>
      <cdr:y>0.82706</cdr:y>
    </cdr:to>
    <cdr:sp macro="" textlink="">
      <cdr:nvSpPr>
        <cdr:cNvPr id="4" name="Text Box 1"/>
        <cdr:cNvSpPr txBox="1"/>
      </cdr:nvSpPr>
      <cdr:spPr>
        <a:xfrm xmlns:a="http://schemas.openxmlformats.org/drawingml/2006/main">
          <a:off x="2790441" y="1137151"/>
          <a:ext cx="571468" cy="1810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b="1">
              <a:latin typeface="Calibri" charset="0"/>
              <a:ea typeface="Calibri" charset="0"/>
              <a:cs typeface="Calibri" charset="0"/>
            </a:rPr>
            <a:t>25%</a:t>
          </a:r>
        </a:p>
      </cdr:txBody>
    </cdr:sp>
  </cdr:relSizeAnchor>
  <cdr:relSizeAnchor xmlns:cdr="http://schemas.openxmlformats.org/drawingml/2006/chartDrawing">
    <cdr:from>
      <cdr:x>0.07758</cdr:x>
      <cdr:y>0.71346</cdr:y>
    </cdr:from>
    <cdr:to>
      <cdr:x>0.21394</cdr:x>
      <cdr:y>0.82706</cdr:y>
    </cdr:to>
    <cdr:sp macro="" textlink="">
      <cdr:nvSpPr>
        <cdr:cNvPr id="5" name="Text Box 1"/>
        <cdr:cNvSpPr txBox="1"/>
      </cdr:nvSpPr>
      <cdr:spPr>
        <a:xfrm xmlns:a="http://schemas.openxmlformats.org/drawingml/2006/main">
          <a:off x="390141" y="1137151"/>
          <a:ext cx="685782" cy="1810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b="1">
              <a:latin typeface="Calibri" charset="0"/>
              <a:ea typeface="Calibri" charset="0"/>
              <a:cs typeface="Calibri" charset="0"/>
            </a:rPr>
            <a:t>43%</a:t>
          </a:r>
        </a:p>
      </cdr:txBody>
    </cdr:sp>
  </cdr:relSizeAnchor>
  <cdr:relSizeAnchor xmlns:cdr="http://schemas.openxmlformats.org/drawingml/2006/chartDrawing">
    <cdr:from>
      <cdr:x>0.69121</cdr:x>
      <cdr:y>0.07798</cdr:y>
    </cdr:from>
    <cdr:to>
      <cdr:x>0.98667</cdr:x>
      <cdr:y>0.5602</cdr:y>
    </cdr:to>
    <cdr:sp macro="" textlink="">
      <cdr:nvSpPr>
        <cdr:cNvPr id="6" name="Text Box 1"/>
        <cdr:cNvSpPr txBox="1"/>
      </cdr:nvSpPr>
      <cdr:spPr>
        <a:xfrm xmlns:a="http://schemas.openxmlformats.org/drawingml/2006/main">
          <a:off x="3476241" y="161931"/>
          <a:ext cx="1485900" cy="10013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en-US" b="1">
              <a:solidFill>
                <a:schemeClr val="tx1">
                  <a:lumMod val="75000"/>
                  <a:lumOff val="25000"/>
                </a:schemeClr>
              </a:solidFill>
              <a:latin typeface="Calibri" charset="0"/>
              <a:ea typeface="Calibri" charset="0"/>
              <a:cs typeface="Calibri" charset="0"/>
            </a:rPr>
            <a:t>total</a:t>
          </a:r>
          <a:r>
            <a:rPr lang="en-US" baseline="0">
              <a:solidFill>
                <a:schemeClr val="tx1">
                  <a:lumMod val="75000"/>
                  <a:lumOff val="25000"/>
                </a:schemeClr>
              </a:solidFill>
              <a:latin typeface="Calibri" charset="0"/>
              <a:ea typeface="Calibri" charset="0"/>
              <a:cs typeface="Calibri" charset="0"/>
            </a:rPr>
            <a:t> = 7,783</a:t>
          </a:r>
        </a:p>
        <a:p xmlns:a="http://schemas.openxmlformats.org/drawingml/2006/main">
          <a:pPr algn="r"/>
          <a:r>
            <a:rPr lang="en-US" b="1" baseline="0">
              <a:solidFill>
                <a:schemeClr val="tx1">
                  <a:lumMod val="75000"/>
                  <a:lumOff val="25000"/>
                </a:schemeClr>
              </a:solidFill>
              <a:latin typeface="Calibri" charset="0"/>
              <a:ea typeface="Calibri" charset="0"/>
              <a:cs typeface="Calibri" charset="0"/>
            </a:rPr>
            <a:t>median score </a:t>
          </a:r>
          <a:r>
            <a:rPr lang="en-US" baseline="0">
              <a:solidFill>
                <a:schemeClr val="tx1">
                  <a:lumMod val="75000"/>
                  <a:lumOff val="25000"/>
                </a:schemeClr>
              </a:solidFill>
              <a:latin typeface="Calibri" charset="0"/>
              <a:ea typeface="Calibri" charset="0"/>
              <a:cs typeface="Calibri" charset="0"/>
            </a:rPr>
            <a:t>= 408</a:t>
          </a:r>
          <a:endParaRPr lang="en-US">
            <a:solidFill>
              <a:schemeClr val="tx1">
                <a:lumMod val="75000"/>
                <a:lumOff val="25000"/>
              </a:schemeClr>
            </a:solidFill>
            <a:latin typeface="Calibri" charset="0"/>
            <a:ea typeface="Calibri" charset="0"/>
            <a:cs typeface="Calibri" charset="0"/>
          </a:endParaRPr>
        </a:p>
      </cdr:txBody>
    </cdr:sp>
  </cdr:relSizeAnchor>
  <cdr:relSizeAnchor xmlns:cdr="http://schemas.openxmlformats.org/drawingml/2006/chartDrawing">
    <cdr:from>
      <cdr:x>0.30501</cdr:x>
      <cdr:y>0</cdr:y>
    </cdr:from>
    <cdr:to>
      <cdr:x>0.41864</cdr:x>
      <cdr:y>0.11359</cdr:y>
    </cdr:to>
    <cdr:sp macro="" textlink="">
      <cdr:nvSpPr>
        <cdr:cNvPr id="7" name="Text Box 1"/>
        <cdr:cNvSpPr txBox="1"/>
      </cdr:nvSpPr>
      <cdr:spPr>
        <a:xfrm xmlns:a="http://schemas.openxmlformats.org/drawingml/2006/main">
          <a:off x="1533948" y="-6996853"/>
          <a:ext cx="571500" cy="2358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0.33768</cdr:x>
      <cdr:y>0.763</cdr:y>
    </cdr:from>
    <cdr:to>
      <cdr:x>0.45131</cdr:x>
      <cdr:y>0.87659</cdr:y>
    </cdr:to>
    <cdr:sp macro="" textlink="">
      <cdr:nvSpPr>
        <cdr:cNvPr id="8" name="Text Box 1"/>
        <cdr:cNvSpPr txBox="1"/>
      </cdr:nvSpPr>
      <cdr:spPr>
        <a:xfrm xmlns:a="http://schemas.openxmlformats.org/drawingml/2006/main">
          <a:off x="1698241" y="1584331"/>
          <a:ext cx="571500" cy="2358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0.69618</cdr:x>
      <cdr:y>0.02901</cdr:y>
    </cdr:from>
    <cdr:to>
      <cdr:x>1</cdr:x>
      <cdr:y>0.75254</cdr:y>
    </cdr:to>
    <cdr:sp macro="" textlink="">
      <cdr:nvSpPr>
        <cdr:cNvPr id="2" name="Text Box 1"/>
        <cdr:cNvSpPr txBox="1"/>
      </cdr:nvSpPr>
      <cdr:spPr>
        <a:xfrm xmlns:a="http://schemas.openxmlformats.org/drawingml/2006/main">
          <a:off x="3377877" y="50836"/>
          <a:ext cx="1474158" cy="12680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r"/>
          <a:r>
            <a:rPr lang="en-US" sz="1100" b="1">
              <a:solidFill>
                <a:schemeClr val="tx1">
                  <a:lumMod val="75000"/>
                  <a:lumOff val="25000"/>
                </a:schemeClr>
              </a:solidFill>
              <a:latin typeface="Calibri" charset="0"/>
              <a:ea typeface="Calibri" charset="0"/>
              <a:cs typeface="Calibri" charset="0"/>
            </a:rPr>
            <a:t>total</a:t>
          </a:r>
          <a:r>
            <a:rPr lang="en-US" sz="1100" b="0">
              <a:solidFill>
                <a:schemeClr val="tx1">
                  <a:lumMod val="75000"/>
                  <a:lumOff val="25000"/>
                </a:schemeClr>
              </a:solidFill>
              <a:latin typeface="Calibri" charset="0"/>
              <a:ea typeface="Calibri" charset="0"/>
              <a:cs typeface="Calibri" charset="0"/>
            </a:rPr>
            <a:t> </a:t>
          </a:r>
          <a:r>
            <a:rPr lang="en-US" sz="1100" b="0" baseline="0">
              <a:solidFill>
                <a:schemeClr val="tx1">
                  <a:lumMod val="75000"/>
                  <a:lumOff val="25000"/>
                </a:schemeClr>
              </a:solidFill>
              <a:latin typeface="Calibri" charset="0"/>
              <a:ea typeface="Calibri" charset="0"/>
              <a:cs typeface="Calibri" charset="0"/>
            </a:rPr>
            <a:t>= 7,807</a:t>
          </a:r>
        </a:p>
        <a:p xmlns:a="http://schemas.openxmlformats.org/drawingml/2006/main">
          <a:pPr algn="r"/>
          <a:r>
            <a:rPr lang="en-US" sz="1100" b="1" baseline="0">
              <a:solidFill>
                <a:schemeClr val="tx1">
                  <a:lumMod val="75000"/>
                  <a:lumOff val="25000"/>
                </a:schemeClr>
              </a:solidFill>
              <a:latin typeface="Calibri" charset="0"/>
              <a:ea typeface="Calibri" charset="0"/>
              <a:cs typeface="Calibri" charset="0"/>
            </a:rPr>
            <a:t>median score </a:t>
          </a:r>
          <a:r>
            <a:rPr lang="en-US" sz="1100" b="0" baseline="0">
              <a:solidFill>
                <a:schemeClr val="tx1">
                  <a:lumMod val="75000"/>
                  <a:lumOff val="25000"/>
                </a:schemeClr>
              </a:solidFill>
              <a:latin typeface="Calibri" charset="0"/>
              <a:ea typeface="Calibri" charset="0"/>
              <a:cs typeface="Calibri" charset="0"/>
            </a:rPr>
            <a:t>= 423</a:t>
          </a:r>
          <a:r>
            <a:rPr lang="en-US" sz="1100">
              <a:solidFill>
                <a:schemeClr val="tx1">
                  <a:lumMod val="75000"/>
                  <a:lumOff val="25000"/>
                </a:schemeClr>
              </a:solidFill>
              <a:latin typeface="Calibri" charset="0"/>
              <a:ea typeface="Calibri" charset="0"/>
              <a:cs typeface="Calibri" charset="0"/>
            </a:rPr>
            <a:t> </a:t>
          </a:r>
        </a:p>
      </cdr:txBody>
    </cdr:sp>
  </cdr:relSizeAnchor>
  <cdr:relSizeAnchor xmlns:cdr="http://schemas.openxmlformats.org/drawingml/2006/chartDrawing">
    <cdr:from>
      <cdr:x>0.3397</cdr:x>
      <cdr:y>0.68164</cdr:y>
    </cdr:from>
    <cdr:to>
      <cdr:x>0.45749</cdr:x>
      <cdr:y>0.81623</cdr:y>
    </cdr:to>
    <cdr:sp macro="" textlink="">
      <cdr:nvSpPr>
        <cdr:cNvPr id="4" name="Text Box 1"/>
        <cdr:cNvSpPr txBox="1"/>
      </cdr:nvSpPr>
      <cdr:spPr>
        <a:xfrm xmlns:a="http://schemas.openxmlformats.org/drawingml/2006/main">
          <a:off x="1648248" y="1194647"/>
          <a:ext cx="571500" cy="2358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b="1">
              <a:latin typeface="Calibri" charset="0"/>
              <a:ea typeface="Calibri" charset="0"/>
              <a:cs typeface="Calibri" charset="0"/>
            </a:rPr>
            <a:t>29%</a:t>
          </a:r>
        </a:p>
      </cdr:txBody>
    </cdr:sp>
  </cdr:relSizeAnchor>
  <cdr:relSizeAnchor xmlns:cdr="http://schemas.openxmlformats.org/drawingml/2006/chartDrawing">
    <cdr:from>
      <cdr:x>0.57527</cdr:x>
      <cdr:y>0.68164</cdr:y>
    </cdr:from>
    <cdr:to>
      <cdr:x>0.69306</cdr:x>
      <cdr:y>0.81623</cdr:y>
    </cdr:to>
    <cdr:sp macro="" textlink="">
      <cdr:nvSpPr>
        <cdr:cNvPr id="5" name="Text Box 1"/>
        <cdr:cNvSpPr txBox="1"/>
      </cdr:nvSpPr>
      <cdr:spPr>
        <a:xfrm xmlns:a="http://schemas.openxmlformats.org/drawingml/2006/main">
          <a:off x="2791248" y="1194647"/>
          <a:ext cx="571500" cy="2358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b="1">
              <a:latin typeface="Calibri" charset="0"/>
              <a:ea typeface="Calibri" charset="0"/>
              <a:cs typeface="Calibri" charset="0"/>
            </a:rPr>
            <a:t>68%</a:t>
          </a:r>
        </a:p>
      </cdr:txBody>
    </cdr:sp>
  </cdr:relSizeAnchor>
  <cdr:relSizeAnchor xmlns:cdr="http://schemas.openxmlformats.org/drawingml/2006/chartDrawing">
    <cdr:from>
      <cdr:x>0.74017</cdr:x>
      <cdr:y>0.35556</cdr:y>
    </cdr:from>
    <cdr:to>
      <cdr:x>0.85796</cdr:x>
      <cdr:y>0.49014</cdr:y>
    </cdr:to>
    <cdr:sp macro="" textlink="">
      <cdr:nvSpPr>
        <cdr:cNvPr id="6" name="Text Box 1"/>
        <cdr:cNvSpPr txBox="1"/>
      </cdr:nvSpPr>
      <cdr:spPr>
        <a:xfrm xmlns:a="http://schemas.openxmlformats.org/drawingml/2006/main">
          <a:off x="3591348" y="623147"/>
          <a:ext cx="571500" cy="2358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0.8344</cdr:x>
      <cdr:y>0.68164</cdr:y>
    </cdr:from>
    <cdr:to>
      <cdr:x>0.95219</cdr:x>
      <cdr:y>0.81623</cdr:y>
    </cdr:to>
    <cdr:sp macro="" textlink="">
      <cdr:nvSpPr>
        <cdr:cNvPr id="7" name="Text Box 1"/>
        <cdr:cNvSpPr txBox="1"/>
      </cdr:nvSpPr>
      <cdr:spPr>
        <a:xfrm xmlns:a="http://schemas.openxmlformats.org/drawingml/2006/main">
          <a:off x="4048548" y="1194647"/>
          <a:ext cx="571500" cy="2358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0.59883</cdr:x>
      <cdr:y>0.48599</cdr:y>
    </cdr:from>
    <cdr:to>
      <cdr:x>0.71662</cdr:x>
      <cdr:y>0.62058</cdr:y>
    </cdr:to>
    <cdr:sp macro="" textlink="">
      <cdr:nvSpPr>
        <cdr:cNvPr id="8" name="Text Box 1"/>
        <cdr:cNvSpPr txBox="1"/>
      </cdr:nvSpPr>
      <cdr:spPr>
        <a:xfrm xmlns:a="http://schemas.openxmlformats.org/drawingml/2006/main">
          <a:off x="2905548" y="851747"/>
          <a:ext cx="571500" cy="2358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0.10413</cdr:x>
      <cdr:y>0.68164</cdr:y>
    </cdr:from>
    <cdr:to>
      <cdr:x>0.19836</cdr:x>
      <cdr:y>0.81623</cdr:y>
    </cdr:to>
    <cdr:sp macro="" textlink="">
      <cdr:nvSpPr>
        <cdr:cNvPr id="11" name="Text Box 1"/>
        <cdr:cNvSpPr txBox="1"/>
      </cdr:nvSpPr>
      <cdr:spPr>
        <a:xfrm xmlns:a="http://schemas.openxmlformats.org/drawingml/2006/main">
          <a:off x="505248" y="1194647"/>
          <a:ext cx="457200" cy="2358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b="1">
              <a:latin typeface="Calibri" charset="0"/>
              <a:ea typeface="Calibri" charset="0"/>
              <a:cs typeface="Calibri" charset="0"/>
            </a:rPr>
            <a:t>2%</a:t>
          </a:r>
        </a:p>
      </cdr:txBody>
    </cdr:sp>
  </cdr:relSizeAnchor>
  <cdr:relSizeAnchor xmlns:cdr="http://schemas.openxmlformats.org/drawingml/2006/chartDrawing">
    <cdr:from>
      <cdr:x>0.35017</cdr:x>
      <cdr:y>0.71063</cdr:y>
    </cdr:from>
    <cdr:to>
      <cdr:x>0.46796</cdr:x>
      <cdr:y>0.84521</cdr:y>
    </cdr:to>
    <cdr:sp macro="" textlink="">
      <cdr:nvSpPr>
        <cdr:cNvPr id="12" name="Text Box 1"/>
        <cdr:cNvSpPr txBox="1"/>
      </cdr:nvSpPr>
      <cdr:spPr>
        <a:xfrm xmlns:a="http://schemas.openxmlformats.org/drawingml/2006/main">
          <a:off x="1699048" y="1245447"/>
          <a:ext cx="571500" cy="235873"/>
        </a:xfrm>
        <a:prstGeom xmlns:a="http://schemas.openxmlformats.org/drawingml/2006/main" prst="rect">
          <a:avLst/>
        </a:prstGeom>
      </cdr:spPr>
    </cdr:sp>
  </cdr:relSizeAnchor>
  <cdr:relSizeAnchor xmlns:cdr="http://schemas.openxmlformats.org/drawingml/2006/chartDrawing">
    <cdr:from>
      <cdr:x>0.8344</cdr:x>
      <cdr:y>0.68164</cdr:y>
    </cdr:from>
    <cdr:to>
      <cdr:x>0.92863</cdr:x>
      <cdr:y>0.81623</cdr:y>
    </cdr:to>
    <cdr:sp macro="" textlink="">
      <cdr:nvSpPr>
        <cdr:cNvPr id="13" name="Text Box 1"/>
        <cdr:cNvSpPr txBox="1"/>
      </cdr:nvSpPr>
      <cdr:spPr>
        <a:xfrm xmlns:a="http://schemas.openxmlformats.org/drawingml/2006/main">
          <a:off x="4048538" y="1194642"/>
          <a:ext cx="457207" cy="23588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b="1">
              <a:latin typeface="Calibri" charset="0"/>
              <a:ea typeface="Calibri" charset="0"/>
              <a:cs typeface="Calibri" charset="0"/>
            </a:rPr>
            <a:t>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C260B-ED18-544C-B32A-74B77CA10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126</Pages>
  <Words>44616</Words>
  <Characters>254314</Characters>
  <Application>Microsoft Office Word</Application>
  <DocSecurity>0</DocSecurity>
  <Lines>2119</Lines>
  <Paragraphs>596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 dam</dc:creator>
  <cp:keywords/>
  <dc:description/>
  <cp:lastModifiedBy>H.D. Dam</cp:lastModifiedBy>
  <cp:revision>23</cp:revision>
  <dcterms:created xsi:type="dcterms:W3CDTF">2021-01-03T17:46:00Z</dcterms:created>
  <dcterms:modified xsi:type="dcterms:W3CDTF">2021-01-03T20:07:00Z</dcterms:modified>
</cp:coreProperties>
</file>