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E486F" w14:textId="77777777" w:rsidR="008B1B6A" w:rsidRDefault="00796950" w:rsidP="00796950">
      <w:pPr>
        <w:jc w:val="center"/>
      </w:pPr>
      <w:r w:rsidRPr="008B1B6A">
        <w:t>HOW LEGAL THEORY COULD SAVE THE LIFE OF HEALTH CARE ETHICS</w:t>
      </w:r>
    </w:p>
    <w:p w14:paraId="144DA67D" w14:textId="77777777" w:rsidR="008B1B6A" w:rsidRDefault="006F2B2D" w:rsidP="006F2B2D">
      <w:pPr>
        <w:tabs>
          <w:tab w:val="left" w:pos="6960"/>
        </w:tabs>
      </w:pPr>
      <w:r>
        <w:tab/>
      </w:r>
    </w:p>
    <w:p w14:paraId="01F8CCED" w14:textId="77777777" w:rsidR="008B1B6A" w:rsidRDefault="008B1B6A" w:rsidP="008B1B6A"/>
    <w:p w14:paraId="40DA4676" w14:textId="77777777" w:rsidR="00586E49" w:rsidRDefault="00586E49" w:rsidP="008B1B6A"/>
    <w:p w14:paraId="10CDF6B6" w14:textId="77777777" w:rsidR="00586E49" w:rsidRDefault="00586E49" w:rsidP="008B1B6A"/>
    <w:p w14:paraId="487E666E" w14:textId="77777777" w:rsidR="00586E49" w:rsidRDefault="00586E49" w:rsidP="008B1B6A"/>
    <w:p w14:paraId="342C5A49" w14:textId="77777777" w:rsidR="00586E49" w:rsidRDefault="00586E49" w:rsidP="008B1B6A"/>
    <w:p w14:paraId="24907192" w14:textId="77777777" w:rsidR="008B1B6A" w:rsidRDefault="008B1B6A" w:rsidP="008B1B6A"/>
    <w:p w14:paraId="5461B9B7" w14:textId="77777777" w:rsidR="00586E49" w:rsidRDefault="00586E49" w:rsidP="008B1B6A"/>
    <w:p w14:paraId="441E8CDA" w14:textId="77777777" w:rsidR="00D64C17" w:rsidRDefault="00D64C17" w:rsidP="008B1B6A"/>
    <w:p w14:paraId="630E6C32" w14:textId="77777777" w:rsidR="00D64C17" w:rsidRDefault="00D64C17" w:rsidP="008B1B6A"/>
    <w:p w14:paraId="3B59B4AC" w14:textId="77777777" w:rsidR="00D64C17" w:rsidRDefault="00D64C17" w:rsidP="008B1B6A"/>
    <w:p w14:paraId="7B7503A5" w14:textId="77777777" w:rsidR="00D64C17" w:rsidRDefault="00D64C17" w:rsidP="008B1B6A"/>
    <w:p w14:paraId="5319D6FD" w14:textId="77777777" w:rsidR="00D64C17" w:rsidRDefault="00D64C17" w:rsidP="008B1B6A"/>
    <w:p w14:paraId="2159801A" w14:textId="77777777" w:rsidR="00586E49" w:rsidRDefault="00586E49" w:rsidP="008B1B6A"/>
    <w:p w14:paraId="01943745" w14:textId="77777777" w:rsidR="00586E49" w:rsidRDefault="00586E49" w:rsidP="008B1B6A"/>
    <w:p w14:paraId="2E191308" w14:textId="77777777" w:rsidR="008B1B6A" w:rsidRDefault="008B1B6A" w:rsidP="008B1B6A"/>
    <w:p w14:paraId="12FBDFE5" w14:textId="77777777" w:rsidR="008B1B6A" w:rsidRDefault="00676A81" w:rsidP="008B1B6A">
      <w:r>
        <w:t xml:space="preserve">                    </w:t>
      </w:r>
    </w:p>
    <w:p w14:paraId="63C905D4" w14:textId="77777777" w:rsidR="00796950" w:rsidRDefault="001D5F66" w:rsidP="001D5F66">
      <w:pPr>
        <w:jc w:val="center"/>
      </w:pPr>
      <w:r>
        <w:t>B</w:t>
      </w:r>
      <w:r w:rsidR="008B1B6A">
        <w:t>y</w:t>
      </w:r>
      <w:r>
        <w:t xml:space="preserve"> </w:t>
      </w:r>
      <w:r w:rsidR="00796950">
        <w:t>ANN MARIE HEESTERS</w:t>
      </w:r>
      <w:r>
        <w:t xml:space="preserve">, </w:t>
      </w:r>
      <w:r w:rsidR="00796950">
        <w:t>B.Ed., B.A. (Hons.)</w:t>
      </w:r>
      <w:r w:rsidR="00AF2397">
        <w:t>, M.A</w:t>
      </w:r>
      <w:r w:rsidR="00796950">
        <w:t>.</w:t>
      </w:r>
    </w:p>
    <w:p w14:paraId="31F18FF6" w14:textId="77777777" w:rsidR="00796950" w:rsidRDefault="00796950" w:rsidP="00796950">
      <w:pPr>
        <w:jc w:val="center"/>
      </w:pPr>
    </w:p>
    <w:p w14:paraId="1B2CAEC8" w14:textId="77777777" w:rsidR="00796950" w:rsidRDefault="00796950" w:rsidP="00796950">
      <w:pPr>
        <w:jc w:val="center"/>
      </w:pPr>
    </w:p>
    <w:p w14:paraId="1C39DD0A" w14:textId="77777777" w:rsidR="008B1B6A" w:rsidRDefault="008B1B6A" w:rsidP="001D5F66">
      <w:pPr>
        <w:jc w:val="center"/>
      </w:pPr>
    </w:p>
    <w:p w14:paraId="72E18CD1" w14:textId="77777777" w:rsidR="00586E49" w:rsidRDefault="00586E49" w:rsidP="001D5F66">
      <w:pPr>
        <w:jc w:val="center"/>
      </w:pPr>
    </w:p>
    <w:p w14:paraId="51E41301" w14:textId="77777777" w:rsidR="00586E49" w:rsidRDefault="00586E49" w:rsidP="001D5F66">
      <w:pPr>
        <w:jc w:val="center"/>
      </w:pPr>
    </w:p>
    <w:p w14:paraId="35B9E88D" w14:textId="77777777" w:rsidR="00586E49" w:rsidRDefault="00586E49" w:rsidP="001D5F66">
      <w:pPr>
        <w:jc w:val="center"/>
      </w:pPr>
    </w:p>
    <w:p w14:paraId="381B453C" w14:textId="77777777" w:rsidR="00586E49" w:rsidRDefault="00586E49" w:rsidP="001D5F66">
      <w:pPr>
        <w:jc w:val="center"/>
      </w:pPr>
    </w:p>
    <w:p w14:paraId="093BEABD" w14:textId="77777777" w:rsidR="00586E49" w:rsidRDefault="00586E49" w:rsidP="001D5F66">
      <w:pPr>
        <w:jc w:val="center"/>
      </w:pPr>
    </w:p>
    <w:p w14:paraId="5AA90344" w14:textId="77777777" w:rsidR="00586E49" w:rsidRDefault="00586E49" w:rsidP="001D5F66">
      <w:pPr>
        <w:jc w:val="center"/>
      </w:pPr>
    </w:p>
    <w:p w14:paraId="20EF20CC" w14:textId="77777777" w:rsidR="00586E49" w:rsidRDefault="00586E49" w:rsidP="001D5F66">
      <w:pPr>
        <w:jc w:val="center"/>
      </w:pPr>
    </w:p>
    <w:p w14:paraId="10C9E477" w14:textId="77777777" w:rsidR="00586E49" w:rsidRDefault="00586E49" w:rsidP="001D5F66">
      <w:pPr>
        <w:jc w:val="center"/>
      </w:pPr>
    </w:p>
    <w:p w14:paraId="2C4E5F1B" w14:textId="77777777" w:rsidR="00586E49" w:rsidRDefault="00586E49" w:rsidP="001D5F66">
      <w:pPr>
        <w:jc w:val="center"/>
      </w:pPr>
    </w:p>
    <w:p w14:paraId="55A35949" w14:textId="77777777" w:rsidR="00586E49" w:rsidRDefault="00586E49" w:rsidP="001D5F66">
      <w:pPr>
        <w:jc w:val="center"/>
      </w:pPr>
    </w:p>
    <w:p w14:paraId="76A5347C" w14:textId="77777777" w:rsidR="00586E49" w:rsidRDefault="00586E49" w:rsidP="001D5F66">
      <w:pPr>
        <w:jc w:val="center"/>
      </w:pPr>
    </w:p>
    <w:p w14:paraId="3ADB79A0" w14:textId="77777777" w:rsidR="00586E49" w:rsidRDefault="00586E49" w:rsidP="001D5F66">
      <w:pPr>
        <w:jc w:val="center"/>
      </w:pPr>
    </w:p>
    <w:p w14:paraId="10D5BD47" w14:textId="77777777" w:rsidR="00586E49" w:rsidRDefault="00586E49" w:rsidP="00D64C17"/>
    <w:p w14:paraId="72CB1193" w14:textId="77777777" w:rsidR="00586E49" w:rsidRDefault="00586E49" w:rsidP="001D5F66">
      <w:pPr>
        <w:jc w:val="center"/>
      </w:pPr>
    </w:p>
    <w:p w14:paraId="736E2ADC" w14:textId="77777777" w:rsidR="001D5F66" w:rsidRDefault="001D5F66" w:rsidP="001D5F66">
      <w:pPr>
        <w:jc w:val="center"/>
      </w:pPr>
      <w:r>
        <w:t>A Thesis Submitted to the School of Graduate Studies in Partial Fulfilment of the Requirements for the Degree of Doctor of Philosophy</w:t>
      </w:r>
    </w:p>
    <w:p w14:paraId="646F40DE" w14:textId="77777777" w:rsidR="001D5F66" w:rsidRDefault="001D5F66" w:rsidP="001D5F66">
      <w:pPr>
        <w:jc w:val="center"/>
      </w:pPr>
    </w:p>
    <w:p w14:paraId="1B1863BC" w14:textId="77777777" w:rsidR="001D5F66" w:rsidRDefault="001D5F66" w:rsidP="001D5F66">
      <w:pPr>
        <w:jc w:val="center"/>
      </w:pPr>
    </w:p>
    <w:p w14:paraId="11B6EA08" w14:textId="77777777" w:rsidR="00586E49" w:rsidRDefault="00586E49" w:rsidP="001D5F66">
      <w:pPr>
        <w:jc w:val="center"/>
      </w:pPr>
    </w:p>
    <w:p w14:paraId="313CFA5E" w14:textId="302DA59C" w:rsidR="00C32E2A" w:rsidRDefault="001D5F66" w:rsidP="001D5F66">
      <w:pPr>
        <w:jc w:val="center"/>
      </w:pPr>
      <w:r>
        <w:t xml:space="preserve">McMaster University © Copyright by Ann Marie Heesters, </w:t>
      </w:r>
      <w:r w:rsidR="00BF46E7">
        <w:t>December</w:t>
      </w:r>
      <w:r>
        <w:t xml:space="preserve"> 201</w:t>
      </w:r>
      <w:r w:rsidR="00362E51">
        <w:t>9</w:t>
      </w:r>
    </w:p>
    <w:p w14:paraId="0B5DAA3D" w14:textId="77777777" w:rsidR="002B13CB" w:rsidRPr="00DB3E49" w:rsidRDefault="00A52D8E" w:rsidP="00DB3E49">
      <w:r>
        <w:br w:type="page"/>
      </w:r>
    </w:p>
    <w:p w14:paraId="2358A195" w14:textId="77777777" w:rsidR="00586E49" w:rsidRDefault="00586E49">
      <w:pPr>
        <w:pStyle w:val="Body1"/>
        <w:rPr>
          <w:rFonts w:ascii="Times New Roman" w:hAnsi="Times New Roman" w:cs="Times New Roman"/>
        </w:rPr>
      </w:pPr>
      <w:r w:rsidRPr="00CE009C">
        <w:rPr>
          <w:rFonts w:ascii="Times New Roman" w:hAnsi="Times New Roman" w:cs="Times New Roman"/>
        </w:rPr>
        <w:lastRenderedPageBreak/>
        <w:t>DOCTOR OF PHILOSOPHY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F66" w:rsidRPr="00CE009C">
        <w:rPr>
          <w:rFonts w:ascii="Times New Roman" w:hAnsi="Times New Roman" w:cs="Times New Roman"/>
        </w:rPr>
        <w:t xml:space="preserve"> </w:t>
      </w:r>
      <w:r>
        <w:rPr>
          <w:rFonts w:ascii="Times New Roman" w:hAnsi="Times New Roman" w:cs="Times New Roman"/>
        </w:rPr>
        <w:tab/>
        <w:t>McMaster University</w:t>
      </w:r>
    </w:p>
    <w:p w14:paraId="1A3B862E" w14:textId="77777777" w:rsidR="00F63F41" w:rsidRDefault="00F63F41">
      <w:pPr>
        <w:pStyle w:val="Body1"/>
        <w:rPr>
          <w:rFonts w:ascii="Times New Roman" w:hAnsi="Times New Roman" w:cs="Times New Roman"/>
        </w:rPr>
      </w:pPr>
    </w:p>
    <w:p w14:paraId="78975D43" w14:textId="77777777" w:rsidR="006C707C" w:rsidRPr="00CE009C" w:rsidRDefault="00586E49" w:rsidP="00F63F41">
      <w:pPr>
        <w:pStyle w:val="Body1"/>
        <w:rPr>
          <w:rFonts w:ascii="Times New Roman" w:hAnsi="Times New Roman" w:cs="Times New Roman"/>
        </w:rPr>
      </w:pPr>
      <w:r w:rsidRPr="00CE009C">
        <w:rPr>
          <w:rFonts w:ascii="Times New Roman" w:hAnsi="Times New Roman" w:cs="Times New Roman"/>
        </w:rPr>
        <w:t xml:space="preserve">(Philosophy)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F66" w:rsidRPr="00CE009C">
        <w:rPr>
          <w:rFonts w:ascii="Times New Roman" w:hAnsi="Times New Roman" w:cs="Times New Roman"/>
        </w:rPr>
        <w:t xml:space="preserve">Hamilton, Ontario </w:t>
      </w:r>
    </w:p>
    <w:p w14:paraId="61E1C946" w14:textId="77777777" w:rsidR="006C707C" w:rsidRPr="00CE009C" w:rsidRDefault="006C707C">
      <w:pPr>
        <w:pStyle w:val="Body1"/>
        <w:rPr>
          <w:rFonts w:ascii="Times New Roman" w:hAnsi="Times New Roman" w:cs="Times New Roman"/>
        </w:rPr>
      </w:pPr>
    </w:p>
    <w:p w14:paraId="2DF37F09" w14:textId="77777777" w:rsidR="006C707C" w:rsidRPr="00CE009C" w:rsidRDefault="006C707C">
      <w:pPr>
        <w:pStyle w:val="Body1"/>
        <w:rPr>
          <w:rFonts w:ascii="Times New Roman" w:hAnsi="Times New Roman" w:cs="Times New Roman"/>
        </w:rPr>
      </w:pPr>
    </w:p>
    <w:p w14:paraId="715D58BA" w14:textId="77777777" w:rsidR="00586E49" w:rsidRDefault="001D5F66">
      <w:pPr>
        <w:pStyle w:val="Body1"/>
        <w:rPr>
          <w:rFonts w:ascii="Times New Roman" w:hAnsi="Times New Roman" w:cs="Times New Roman"/>
        </w:rPr>
      </w:pPr>
      <w:r w:rsidRPr="00CE009C">
        <w:rPr>
          <w:rFonts w:ascii="Times New Roman" w:hAnsi="Times New Roman" w:cs="Times New Roman"/>
        </w:rPr>
        <w:t>TITLE: How Legal T</w:t>
      </w:r>
      <w:r w:rsidR="0003773E">
        <w:rPr>
          <w:rFonts w:ascii="Times New Roman" w:hAnsi="Times New Roman" w:cs="Times New Roman"/>
        </w:rPr>
        <w:t>heory Could</w:t>
      </w:r>
      <w:r w:rsidR="00EA3B2C">
        <w:rPr>
          <w:rFonts w:ascii="Times New Roman" w:hAnsi="Times New Roman" w:cs="Times New Roman"/>
        </w:rPr>
        <w:t xml:space="preserve"> Save the Life of Healthcare E</w:t>
      </w:r>
      <w:r w:rsidRPr="00CE009C">
        <w:rPr>
          <w:rFonts w:ascii="Times New Roman" w:hAnsi="Times New Roman" w:cs="Times New Roman"/>
        </w:rPr>
        <w:t xml:space="preserve">thics </w:t>
      </w:r>
    </w:p>
    <w:p w14:paraId="2521DD52" w14:textId="77777777" w:rsidR="00F63F41" w:rsidRDefault="00F63F41">
      <w:pPr>
        <w:pStyle w:val="Body1"/>
        <w:rPr>
          <w:rFonts w:ascii="Times New Roman" w:hAnsi="Times New Roman" w:cs="Times New Roman"/>
        </w:rPr>
      </w:pPr>
    </w:p>
    <w:p w14:paraId="1F344F1C" w14:textId="77777777" w:rsidR="00586E49" w:rsidRDefault="001D5F66">
      <w:pPr>
        <w:pStyle w:val="Body1"/>
        <w:rPr>
          <w:rFonts w:ascii="Times New Roman" w:hAnsi="Times New Roman" w:cs="Times New Roman"/>
        </w:rPr>
      </w:pPr>
      <w:r w:rsidRPr="00CE009C">
        <w:rPr>
          <w:rFonts w:ascii="Times New Roman" w:hAnsi="Times New Roman" w:cs="Times New Roman"/>
        </w:rPr>
        <w:t>AUTHOR: Ann Marie Heesters, B.Ed</w:t>
      </w:r>
      <w:r w:rsidR="00F00950">
        <w:rPr>
          <w:rFonts w:ascii="Times New Roman" w:hAnsi="Times New Roman" w:cs="Times New Roman"/>
        </w:rPr>
        <w:t>.</w:t>
      </w:r>
      <w:r w:rsidRPr="00CE009C">
        <w:rPr>
          <w:rFonts w:ascii="Times New Roman" w:hAnsi="Times New Roman" w:cs="Times New Roman"/>
        </w:rPr>
        <w:t xml:space="preserve">, B.A. (Hons.), MA. (University of New Brunswick) </w:t>
      </w:r>
    </w:p>
    <w:p w14:paraId="34CBA11E" w14:textId="77777777" w:rsidR="00F63F41" w:rsidRDefault="00F63F41">
      <w:pPr>
        <w:pStyle w:val="Body1"/>
        <w:rPr>
          <w:rFonts w:ascii="Times New Roman" w:hAnsi="Times New Roman" w:cs="Times New Roman"/>
        </w:rPr>
      </w:pPr>
    </w:p>
    <w:p w14:paraId="02F0BB5E" w14:textId="77777777" w:rsidR="00F63F41" w:rsidRDefault="001D5F66">
      <w:pPr>
        <w:pStyle w:val="Body1"/>
        <w:rPr>
          <w:rFonts w:ascii="Times New Roman" w:hAnsi="Times New Roman" w:cs="Times New Roman"/>
        </w:rPr>
      </w:pPr>
      <w:r w:rsidRPr="00CE009C">
        <w:rPr>
          <w:rFonts w:ascii="Times New Roman" w:hAnsi="Times New Roman" w:cs="Times New Roman"/>
        </w:rPr>
        <w:t>SUPERVISOR: Professor E</w:t>
      </w:r>
      <w:r w:rsidR="00F63F41">
        <w:rPr>
          <w:rFonts w:ascii="Times New Roman" w:hAnsi="Times New Roman" w:cs="Times New Roman"/>
        </w:rPr>
        <w:t>lisabeth</w:t>
      </w:r>
      <w:r w:rsidRPr="00CE009C">
        <w:rPr>
          <w:rFonts w:ascii="Times New Roman" w:hAnsi="Times New Roman" w:cs="Times New Roman"/>
        </w:rPr>
        <w:t xml:space="preserve"> A</w:t>
      </w:r>
      <w:r w:rsidR="006C707C" w:rsidRPr="00CE009C">
        <w:rPr>
          <w:rFonts w:ascii="Times New Roman" w:hAnsi="Times New Roman" w:cs="Times New Roman"/>
        </w:rPr>
        <w:t>.</w:t>
      </w:r>
      <w:r w:rsidRPr="00CE009C">
        <w:rPr>
          <w:rFonts w:ascii="Times New Roman" w:hAnsi="Times New Roman" w:cs="Times New Roman"/>
        </w:rPr>
        <w:t xml:space="preserve"> Gedge </w:t>
      </w:r>
    </w:p>
    <w:p w14:paraId="6850B2DA" w14:textId="77777777" w:rsidR="00F63F41" w:rsidRDefault="00F63F41">
      <w:pPr>
        <w:pStyle w:val="Body1"/>
        <w:rPr>
          <w:rFonts w:ascii="Times New Roman" w:hAnsi="Times New Roman" w:cs="Times New Roman"/>
        </w:rPr>
      </w:pPr>
    </w:p>
    <w:p w14:paraId="7AEA4DC1" w14:textId="19679746" w:rsidR="00F1586C" w:rsidRDefault="001D5F66" w:rsidP="00524E9B">
      <w:pPr>
        <w:pStyle w:val="Body1"/>
      </w:pPr>
      <w:r w:rsidRPr="00CE009C">
        <w:rPr>
          <w:rFonts w:ascii="Times New Roman" w:hAnsi="Times New Roman" w:cs="Times New Roman"/>
        </w:rPr>
        <w:t xml:space="preserve">NUMBER OF PAGES: </w:t>
      </w:r>
      <w:r w:rsidR="003C4158">
        <w:rPr>
          <w:rFonts w:ascii="Times New Roman" w:hAnsi="Times New Roman" w:cs="Times New Roman"/>
        </w:rPr>
        <w:t>i</w:t>
      </w:r>
      <w:r w:rsidR="00D91B77">
        <w:rPr>
          <w:rFonts w:ascii="Times New Roman" w:hAnsi="Times New Roman" w:cs="Times New Roman"/>
        </w:rPr>
        <w:t>x</w:t>
      </w:r>
      <w:r w:rsidR="003C4158">
        <w:rPr>
          <w:rFonts w:ascii="Times New Roman" w:hAnsi="Times New Roman" w:cs="Times New Roman"/>
        </w:rPr>
        <w:t xml:space="preserve">, </w:t>
      </w:r>
      <w:r w:rsidR="004478ED">
        <w:rPr>
          <w:rFonts w:ascii="Times New Roman" w:hAnsi="Times New Roman" w:cs="Times New Roman"/>
        </w:rPr>
        <w:t>207</w:t>
      </w:r>
      <w:r w:rsidR="00F1586C">
        <w:br w:type="page"/>
      </w:r>
    </w:p>
    <w:p w14:paraId="0CB28FDC" w14:textId="5A8148B9" w:rsidR="005954E3" w:rsidRDefault="00BB3FE0">
      <w:pPr>
        <w:rPr>
          <w:u w:val="single"/>
        </w:rPr>
      </w:pPr>
      <w:r>
        <w:rPr>
          <w:u w:val="single"/>
        </w:rPr>
        <w:lastRenderedPageBreak/>
        <w:t xml:space="preserve">Lay </w:t>
      </w:r>
      <w:r w:rsidR="00F1586C" w:rsidRPr="00F1586C">
        <w:rPr>
          <w:u w:val="single"/>
        </w:rPr>
        <w:t>Abstract</w:t>
      </w:r>
    </w:p>
    <w:p w14:paraId="19C5D0DF" w14:textId="5A6AE4E4" w:rsidR="001032E8" w:rsidRPr="00100491" w:rsidRDefault="00ED3E1C">
      <w:r>
        <w:t>E</w:t>
      </w:r>
      <w:r w:rsidR="00CB5427" w:rsidRPr="00100491">
        <w:t>thics consultation has had a place in healthcare for decades</w:t>
      </w:r>
      <w:r>
        <w:t>, however</w:t>
      </w:r>
      <w:r w:rsidR="00CB5427" w:rsidRPr="00100491">
        <w:t xml:space="preserve"> the nature of the work is not well understood by many critics a</w:t>
      </w:r>
      <w:r w:rsidR="004F749C">
        <w:t>nd</w:t>
      </w:r>
      <w:r w:rsidR="00CB5427" w:rsidRPr="00100491">
        <w:t xml:space="preserve"> defenders. </w:t>
      </w:r>
      <w:r w:rsidR="00BB3FE0">
        <w:t>P</w:t>
      </w:r>
      <w:r w:rsidR="00CB5427" w:rsidRPr="00100491">
        <w:t>racticing healthcare ethicists (PHE</w:t>
      </w:r>
      <w:r w:rsidR="00676AED" w:rsidRPr="00100491">
        <w:t>s</w:t>
      </w:r>
      <w:r w:rsidR="00CB5427" w:rsidRPr="00100491">
        <w:t>) have been described as compromised and ineffectual</w:t>
      </w:r>
      <w:r w:rsidR="00A746B9" w:rsidRPr="00100491">
        <w:t>;</w:t>
      </w:r>
      <w:r w:rsidR="00CB5427" w:rsidRPr="00100491">
        <w:t xml:space="preserve"> </w:t>
      </w:r>
      <w:r w:rsidR="00A746B9" w:rsidRPr="00100491">
        <w:t>politicised and undemocratic; and their promise to offer sound advice has been deemed irredeemably incoherent in the context of value pluralism.</w:t>
      </w:r>
      <w:r>
        <w:t xml:space="preserve"> </w:t>
      </w:r>
      <w:r w:rsidR="00A746B9" w:rsidRPr="00100491">
        <w:t xml:space="preserve">I tease out what </w:t>
      </w:r>
      <w:r w:rsidR="00AF580F">
        <w:t xml:space="preserve">is </w:t>
      </w:r>
      <w:r w:rsidR="00A746B9" w:rsidRPr="00100491">
        <w:t>instructive in the</w:t>
      </w:r>
      <w:r w:rsidR="008F1F4C">
        <w:t>se critiques</w:t>
      </w:r>
      <w:r w:rsidR="00295BF0">
        <w:t xml:space="preserve"> and argue</w:t>
      </w:r>
      <w:r w:rsidR="004F749C">
        <w:t xml:space="preserve"> </w:t>
      </w:r>
      <w:r w:rsidR="00676AED" w:rsidRPr="00100491">
        <w:t xml:space="preserve">that </w:t>
      </w:r>
      <w:r w:rsidR="00FF258A">
        <w:t>they</w:t>
      </w:r>
      <w:r w:rsidR="00676AED" w:rsidRPr="00100491">
        <w:t xml:space="preserve"> may be </w:t>
      </w:r>
      <w:r w:rsidR="00AF580F">
        <w:t>answered</w:t>
      </w:r>
      <w:r w:rsidR="00676AED" w:rsidRPr="00100491">
        <w:t xml:space="preserve"> </w:t>
      </w:r>
      <w:r w:rsidR="00295BF0">
        <w:t xml:space="preserve">by </w:t>
      </w:r>
      <w:r w:rsidR="00F77005">
        <w:t>review</w:t>
      </w:r>
      <w:r w:rsidR="00295BF0">
        <w:t xml:space="preserve">ing the </w:t>
      </w:r>
      <w:r w:rsidR="00676AED" w:rsidRPr="00100491">
        <w:t xml:space="preserve">conflict of interest </w:t>
      </w:r>
      <w:r w:rsidR="00295BF0">
        <w:t xml:space="preserve">literature </w:t>
      </w:r>
      <w:r w:rsidR="00AF580F">
        <w:t>and by</w:t>
      </w:r>
      <w:r w:rsidR="00676AED" w:rsidRPr="00100491">
        <w:t xml:space="preserve"> </w:t>
      </w:r>
      <w:r w:rsidR="00AF580F">
        <w:t>exploring</w:t>
      </w:r>
      <w:r w:rsidR="00676AED" w:rsidRPr="00100491">
        <w:t xml:space="preserve"> what is distinctive about the</w:t>
      </w:r>
      <w:r w:rsidR="00295BF0">
        <w:t xml:space="preserve"> PHE</w:t>
      </w:r>
      <w:r w:rsidR="00676AED" w:rsidRPr="00100491">
        <w:t xml:space="preserve"> role</w:t>
      </w:r>
      <w:r w:rsidR="001032E8" w:rsidRPr="00100491">
        <w:t>.</w:t>
      </w:r>
    </w:p>
    <w:p w14:paraId="215C2F7C" w14:textId="6BEB6934" w:rsidR="00BB3FE0" w:rsidRDefault="004F01EC">
      <w:r w:rsidRPr="00100491">
        <w:t>I introduce a typology of hard cases</w:t>
      </w:r>
      <w:r w:rsidR="0048305D">
        <w:t xml:space="preserve"> </w:t>
      </w:r>
      <w:r w:rsidR="008F1F4C">
        <w:t>with</w:t>
      </w:r>
      <w:r w:rsidR="0048305D">
        <w:t xml:space="preserve"> an emphasis</w:t>
      </w:r>
      <w:r w:rsidRPr="00100491">
        <w:t xml:space="preserve"> on penumbral ethical cases</w:t>
      </w:r>
      <w:r w:rsidR="004F6AC5">
        <w:t>,</w:t>
      </w:r>
      <w:r w:rsidRPr="00100491">
        <w:t xml:space="preserve"> </w:t>
      </w:r>
      <w:r w:rsidR="00AF580F">
        <w:t xml:space="preserve">and </w:t>
      </w:r>
      <w:r w:rsidRPr="00100491">
        <w:t>conten</w:t>
      </w:r>
      <w:r w:rsidR="00AF580F">
        <w:t xml:space="preserve">d </w:t>
      </w:r>
      <w:r w:rsidRPr="00100491">
        <w:t xml:space="preserve">that legal theory, especially that </w:t>
      </w:r>
      <w:r w:rsidR="00AF580F">
        <w:t xml:space="preserve">part which </w:t>
      </w:r>
      <w:r w:rsidRPr="00100491">
        <w:t>deals with</w:t>
      </w:r>
      <w:r w:rsidR="004F749C">
        <w:t xml:space="preserve"> </w:t>
      </w:r>
      <w:r w:rsidRPr="00100491">
        <w:t>H. L.</w:t>
      </w:r>
      <w:r w:rsidR="006D744F">
        <w:t xml:space="preserve"> </w:t>
      </w:r>
      <w:r w:rsidR="006D06D1">
        <w:t>A.</w:t>
      </w:r>
      <w:r w:rsidRPr="00100491">
        <w:t xml:space="preserve"> Hart</w:t>
      </w:r>
      <w:r w:rsidR="0048305D">
        <w:t>’s</w:t>
      </w:r>
      <w:r w:rsidRPr="00100491">
        <w:t xml:space="preserve"> penumbral cases</w:t>
      </w:r>
      <w:r w:rsidR="004F749C">
        <w:t>,</w:t>
      </w:r>
      <w:r w:rsidRPr="00100491">
        <w:t xml:space="preserve"> can </w:t>
      </w:r>
      <w:r w:rsidR="00ED3E1C">
        <w:t xml:space="preserve">help PHEs to describe </w:t>
      </w:r>
      <w:r w:rsidRPr="00100491">
        <w:t xml:space="preserve">theoretical disagreement </w:t>
      </w:r>
      <w:r w:rsidR="00100491" w:rsidRPr="00100491">
        <w:t>in</w:t>
      </w:r>
      <w:r w:rsidR="00016B4A">
        <w:t xml:space="preserve"> </w:t>
      </w:r>
      <w:r w:rsidR="00100491" w:rsidRPr="00100491">
        <w:t xml:space="preserve">hard cases. I </w:t>
      </w:r>
      <w:r w:rsidR="00FF258A">
        <w:t xml:space="preserve">also </w:t>
      </w:r>
      <w:r w:rsidR="00100491" w:rsidRPr="00100491">
        <w:t xml:space="preserve">argue that </w:t>
      </w:r>
      <w:r w:rsidR="00FF258A">
        <w:t xml:space="preserve">jurisprudence </w:t>
      </w:r>
      <w:r w:rsidR="00100491" w:rsidRPr="00100491">
        <w:t xml:space="preserve">can </w:t>
      </w:r>
      <w:r w:rsidR="008F1F4C">
        <w:t xml:space="preserve">be useful in the exploration of </w:t>
      </w:r>
      <w:r w:rsidR="0048305D">
        <w:t>to</w:t>
      </w:r>
      <w:r w:rsidR="00154F36">
        <w:t xml:space="preserve">pics related to </w:t>
      </w:r>
      <w:r w:rsidR="004F6AC5">
        <w:t xml:space="preserve">the </w:t>
      </w:r>
      <w:r w:rsidR="00154F36">
        <w:t>professionalization</w:t>
      </w:r>
      <w:r w:rsidR="004F6AC5">
        <w:t xml:space="preserve"> of PHEs</w:t>
      </w:r>
      <w:r w:rsidR="00BB3FE0">
        <w:t>.</w:t>
      </w:r>
    </w:p>
    <w:p w14:paraId="343BA6A5" w14:textId="77777777" w:rsidR="00BB3FE0" w:rsidRDefault="00BB3FE0">
      <w:r>
        <w:br w:type="page"/>
      </w:r>
    </w:p>
    <w:p w14:paraId="3CE21F42" w14:textId="40CF6090" w:rsidR="00BB3FE0" w:rsidRPr="00BB3FE0" w:rsidRDefault="00BB3FE0" w:rsidP="00BB3FE0">
      <w:pPr>
        <w:rPr>
          <w:u w:val="single"/>
        </w:rPr>
      </w:pPr>
      <w:r w:rsidRPr="00BB3FE0">
        <w:rPr>
          <w:u w:val="single"/>
        </w:rPr>
        <w:lastRenderedPageBreak/>
        <w:t>Abstract</w:t>
      </w:r>
    </w:p>
    <w:p w14:paraId="49D5FEF1" w14:textId="06EBF647" w:rsidR="00BB3FE0" w:rsidRDefault="00BB3FE0" w:rsidP="00BB3FE0">
      <w:r>
        <w:t>Healthcare ethics consultation has had a place in h</w:t>
      </w:r>
      <w:r w:rsidR="00D82084">
        <w:t>ealthcare</w:t>
      </w:r>
      <w:r>
        <w:t xml:space="preserve"> for many decades yet the nature of the work is not well understood by many of its critics as well as its defenders. </w:t>
      </w:r>
      <w:r w:rsidR="006C5F17">
        <w:t>P</w:t>
      </w:r>
      <w:r>
        <w:t>racticing healthcare ethicists (or PHEs) have been described as compromised and ineffectual; politicised and undemocratic; and their promise to offer sound advice has been deemed irredeemably incoherent in the context of value pluralism.</w:t>
      </w:r>
      <w:r w:rsidR="00F77005" w:rsidRPr="00F77005">
        <w:t xml:space="preserve"> I tease out what is instructive in these critiques and argue that they may be answered by reviewing the conflict of interest literature and by exploring what is distinctive about the PHE role.</w:t>
      </w:r>
    </w:p>
    <w:p w14:paraId="1DCDB29E" w14:textId="104B054D" w:rsidR="00BB3FE0" w:rsidRDefault="00D82084" w:rsidP="00BB3FE0">
      <w:r>
        <w:t>T</w:t>
      </w:r>
      <w:r w:rsidR="00BB3FE0">
        <w:t>he most challenging aspect of any PHE’s role is to provide support for the management of so-called hard cases</w:t>
      </w:r>
      <w:r>
        <w:t>,</w:t>
      </w:r>
      <w:r w:rsidR="00BB3FE0">
        <w:t xml:space="preserve"> </w:t>
      </w:r>
      <w:r>
        <w:t xml:space="preserve">therefore </w:t>
      </w:r>
      <w:r w:rsidR="00BB3FE0">
        <w:t xml:space="preserve">I introduce a typology of hard cases. </w:t>
      </w:r>
      <w:r>
        <w:t>E</w:t>
      </w:r>
      <w:r w:rsidR="00BB3FE0">
        <w:t xml:space="preserve">mphasis is placed on what I call (borrowing from </w:t>
      </w:r>
      <w:r w:rsidR="00170872">
        <w:t xml:space="preserve">the </w:t>
      </w:r>
      <w:r w:rsidR="00BB3FE0">
        <w:t xml:space="preserve">legal theoretical literature) penumbral ethical cases. </w:t>
      </w:r>
      <w:r>
        <w:t>L</w:t>
      </w:r>
      <w:r w:rsidR="00BB3FE0">
        <w:t xml:space="preserve">egal theory, </w:t>
      </w:r>
      <w:r>
        <w:t>e</w:t>
      </w:r>
      <w:r w:rsidR="00BB3FE0">
        <w:t xml:space="preserve">specially that part of legal theory that deals with </w:t>
      </w:r>
      <w:r w:rsidR="0018213F">
        <w:t xml:space="preserve">what </w:t>
      </w:r>
      <w:r w:rsidR="00BB3FE0">
        <w:t>H. L. A. Hart called penumbral cases</w:t>
      </w:r>
      <w:r w:rsidR="004F6AC5">
        <w:t>,</w:t>
      </w:r>
      <w:r w:rsidR="00BB3FE0">
        <w:t xml:space="preserve"> can help PHEs (and others) to appreciate the fact that theoretical disagreement need not signal that the field has little to offer, nor need it imply that all answers are equally defensible in the hardest of cases. </w:t>
      </w:r>
    </w:p>
    <w:p w14:paraId="774A0819" w14:textId="088D8730" w:rsidR="00BB3FE0" w:rsidRDefault="00BB3FE0" w:rsidP="00BB3FE0">
      <w:r>
        <w:t xml:space="preserve">Finally, I argue that legal theory can provide a jumping-off point for </w:t>
      </w:r>
      <w:r w:rsidR="00170872">
        <w:t xml:space="preserve">the </w:t>
      </w:r>
      <w:r w:rsidR="006C5F17">
        <w:t>study</w:t>
      </w:r>
      <w:r>
        <w:t xml:space="preserve"> of insufficiently explored topics related to </w:t>
      </w:r>
      <w:r w:rsidR="00F77005">
        <w:t>PHE</w:t>
      </w:r>
      <w:r>
        <w:t xml:space="preserve"> professionalization. </w:t>
      </w:r>
      <w:r w:rsidR="0018213F">
        <w:t>L</w:t>
      </w:r>
      <w:r>
        <w:t xml:space="preserve">egal theorists have </w:t>
      </w:r>
      <w:r w:rsidR="004F6AC5">
        <w:t xml:space="preserve">long </w:t>
      </w:r>
      <w:r w:rsidR="0018213F">
        <w:t>attended to</w:t>
      </w:r>
      <w:r>
        <w:t xml:space="preserve"> the relationship between law and morality, the problem of obedience in wicked legal systems, and the</w:t>
      </w:r>
      <w:r w:rsidR="00170872">
        <w:t xml:space="preserve"> supposed</w:t>
      </w:r>
      <w:r>
        <w:t xml:space="preserve"> tension between democracy and the role of an expert judiciary. </w:t>
      </w:r>
      <w:r w:rsidR="006C5F17">
        <w:t>A</w:t>
      </w:r>
      <w:r>
        <w:t xml:space="preserve">n appreciation that these debates are not unique to the practice of healthcare ethics </w:t>
      </w:r>
      <w:r w:rsidR="00F77005">
        <w:t>may</w:t>
      </w:r>
      <w:r>
        <w:t xml:space="preserve"> help PHEs to engage critics with a renewed confidence and </w:t>
      </w:r>
      <w:r w:rsidR="00170872">
        <w:t xml:space="preserve">some </w:t>
      </w:r>
      <w:r>
        <w:t xml:space="preserve">fresh approaches to </w:t>
      </w:r>
      <w:r w:rsidR="00170872">
        <w:t>p</w:t>
      </w:r>
      <w:r>
        <w:t xml:space="preserve">erennial, and </w:t>
      </w:r>
      <w:r w:rsidR="00170872">
        <w:t xml:space="preserve">hitherto </w:t>
      </w:r>
      <w:r>
        <w:t>unproductive, arguments.</w:t>
      </w:r>
    </w:p>
    <w:p w14:paraId="1BF0AFA4" w14:textId="6E25A9D4" w:rsidR="00F1586C" w:rsidRPr="00016B4A" w:rsidRDefault="00BB3FE0" w:rsidP="00BB3FE0">
      <w:r>
        <w:t> </w:t>
      </w:r>
    </w:p>
    <w:p w14:paraId="7C198EE7" w14:textId="77777777" w:rsidR="00016B4A" w:rsidRDefault="00016B4A">
      <w:pPr>
        <w:rPr>
          <w:u w:val="single"/>
        </w:rPr>
      </w:pPr>
      <w:r>
        <w:rPr>
          <w:u w:val="single"/>
        </w:rPr>
        <w:br w:type="page"/>
      </w:r>
    </w:p>
    <w:p w14:paraId="68967E36" w14:textId="2BCD3FE9" w:rsidR="00F1586C" w:rsidRDefault="00F1586C">
      <w:pPr>
        <w:rPr>
          <w:u w:val="single"/>
        </w:rPr>
      </w:pPr>
      <w:r>
        <w:rPr>
          <w:u w:val="single"/>
        </w:rPr>
        <w:lastRenderedPageBreak/>
        <w:t>Preface</w:t>
      </w:r>
    </w:p>
    <w:p w14:paraId="7074D979" w14:textId="77777777" w:rsidR="00F1586C" w:rsidRDefault="00F1586C">
      <w:pPr>
        <w:rPr>
          <w:u w:val="single"/>
        </w:rPr>
      </w:pPr>
    </w:p>
    <w:p w14:paraId="4DC7DA76" w14:textId="77777777" w:rsidR="00F1586C" w:rsidRPr="00723354" w:rsidRDefault="00F1586C" w:rsidP="00F1586C">
      <w:pPr>
        <w:rPr>
          <w:u w:val="single"/>
        </w:rPr>
      </w:pPr>
      <w:r w:rsidRPr="00723354">
        <w:rPr>
          <w:rFonts w:eastAsia="Arial Unicode MS"/>
          <w:color w:val="auto"/>
        </w:rPr>
        <w:t xml:space="preserve">No part of this document has </w:t>
      </w:r>
      <w:r>
        <w:rPr>
          <w:rFonts w:eastAsia="Arial Unicode MS"/>
          <w:color w:val="auto"/>
        </w:rPr>
        <w:t xml:space="preserve">previously </w:t>
      </w:r>
      <w:r w:rsidRPr="00723354">
        <w:rPr>
          <w:rFonts w:eastAsia="Arial Unicode MS"/>
          <w:color w:val="auto"/>
        </w:rPr>
        <w:t>been published.</w:t>
      </w:r>
    </w:p>
    <w:p w14:paraId="0714C31A" w14:textId="77777777" w:rsidR="00F1586C" w:rsidRPr="00F1586C" w:rsidRDefault="00F1586C">
      <w:pPr>
        <w:rPr>
          <w:u w:val="single"/>
        </w:rPr>
      </w:pPr>
    </w:p>
    <w:p w14:paraId="428D74F1" w14:textId="77777777" w:rsidR="00F1586C" w:rsidRDefault="00F1586C">
      <w:r>
        <w:br w:type="page"/>
      </w:r>
    </w:p>
    <w:p w14:paraId="47CC19BE" w14:textId="77777777" w:rsidR="002B13CB" w:rsidRPr="00CE009C" w:rsidRDefault="002B13CB"/>
    <w:p w14:paraId="7C045FD7" w14:textId="77777777" w:rsidR="002B13CB" w:rsidRPr="00600BE6" w:rsidRDefault="002B13CB">
      <w:pPr>
        <w:pStyle w:val="Body1"/>
        <w:rPr>
          <w:rFonts w:ascii="Times New Roman" w:eastAsia="Times New Roman" w:hAnsi="Times New Roman" w:cs="Times New Roman"/>
          <w:b/>
          <w:u w:val="single"/>
          <w:lang w:val="en-GB"/>
        </w:rPr>
      </w:pPr>
      <w:r w:rsidRPr="00600BE6">
        <w:rPr>
          <w:rFonts w:ascii="Times New Roman" w:eastAsia="Times New Roman" w:hAnsi="Times New Roman" w:cs="Times New Roman"/>
          <w:b/>
          <w:u w:val="single"/>
          <w:lang w:val="en-GB"/>
        </w:rPr>
        <w:t>Table of Contents</w:t>
      </w:r>
    </w:p>
    <w:p w14:paraId="4EDDC8CB" w14:textId="77777777" w:rsidR="002B13CB" w:rsidRPr="00BE1F88" w:rsidRDefault="002B13CB" w:rsidP="002B13CB"/>
    <w:p w14:paraId="25BCD53D" w14:textId="7AB6DD38" w:rsidR="00170872" w:rsidRPr="00BE1F88" w:rsidRDefault="00170872" w:rsidP="002B13CB">
      <w:r w:rsidRPr="00BE1F88">
        <w:rPr>
          <w:b/>
        </w:rPr>
        <w:t xml:space="preserve">Lay </w:t>
      </w:r>
      <w:r w:rsidR="00BE1F88">
        <w:rPr>
          <w:b/>
        </w:rPr>
        <w:t>a</w:t>
      </w:r>
      <w:r w:rsidRPr="00BE1F88">
        <w:rPr>
          <w:b/>
        </w:rPr>
        <w:t>bstract</w:t>
      </w:r>
      <w:r w:rsidRPr="00BE1F88">
        <w:t>……………………………………………………………………</w:t>
      </w:r>
      <w:r w:rsidR="00BE1F88">
        <w:t>..</w:t>
      </w:r>
      <w:r w:rsidR="00D91B77">
        <w:t>.</w:t>
      </w:r>
      <w:r w:rsidRPr="00BE1F88">
        <w:t>iii</w:t>
      </w:r>
    </w:p>
    <w:p w14:paraId="5E825308" w14:textId="77777777" w:rsidR="00170872" w:rsidRPr="00170872" w:rsidRDefault="00170872" w:rsidP="002B13CB"/>
    <w:p w14:paraId="2D6D002B" w14:textId="1BD37844" w:rsidR="002B13CB" w:rsidRPr="00676CAF" w:rsidRDefault="002B13CB" w:rsidP="002B13CB">
      <w:r w:rsidRPr="00C96D1D">
        <w:rPr>
          <w:b/>
        </w:rPr>
        <w:t>Abstrac</w:t>
      </w:r>
      <w:r w:rsidR="004E2B36" w:rsidRPr="00C96D1D">
        <w:rPr>
          <w:b/>
        </w:rPr>
        <w:t>t</w:t>
      </w:r>
      <w:r w:rsidR="00C96D1D">
        <w:t>....</w:t>
      </w:r>
      <w:r w:rsidRPr="00676CAF">
        <w:t>...........................................................................................................</w:t>
      </w:r>
      <w:r w:rsidR="002666D4">
        <w:t>.</w:t>
      </w:r>
      <w:r w:rsidR="008B4B24">
        <w:t>.</w:t>
      </w:r>
      <w:r w:rsidR="00D91B77">
        <w:t>.</w:t>
      </w:r>
      <w:r w:rsidRPr="00676CAF">
        <w:t>i</w:t>
      </w:r>
      <w:r w:rsidR="00170872">
        <w:t>v</w:t>
      </w:r>
    </w:p>
    <w:p w14:paraId="49AC4517" w14:textId="77777777" w:rsidR="00CE009C" w:rsidRPr="00676CAF" w:rsidRDefault="00CE009C" w:rsidP="002B13CB"/>
    <w:p w14:paraId="70E36A87" w14:textId="55570E91" w:rsidR="005D67EC" w:rsidRPr="00676CAF" w:rsidRDefault="002B13CB" w:rsidP="002B13CB">
      <w:r w:rsidRPr="00C96D1D">
        <w:rPr>
          <w:b/>
        </w:rPr>
        <w:t>Preface</w:t>
      </w:r>
      <w:r w:rsidR="00C96D1D">
        <w:t>..................</w:t>
      </w:r>
      <w:r w:rsidRPr="00676CAF">
        <w:t>......................................................................................</w:t>
      </w:r>
      <w:r w:rsidR="005D67EC" w:rsidRPr="00676CAF">
        <w:t>.........</w:t>
      </w:r>
      <w:r w:rsidRPr="00676CAF">
        <w:t>.</w:t>
      </w:r>
      <w:r w:rsidR="002666D4">
        <w:t>.</w:t>
      </w:r>
      <w:r w:rsidR="001038ED">
        <w:t>.</w:t>
      </w:r>
      <w:r w:rsidR="00D91B77">
        <w:t>.</w:t>
      </w:r>
      <w:r w:rsidR="008B4B24">
        <w:t>v</w:t>
      </w:r>
    </w:p>
    <w:p w14:paraId="5F7AC1D0" w14:textId="77777777" w:rsidR="00CE009C" w:rsidRPr="00676CAF" w:rsidRDefault="00CE009C" w:rsidP="002B13CB"/>
    <w:p w14:paraId="036A43AC" w14:textId="24C679C0" w:rsidR="005D67EC" w:rsidRPr="00676CAF" w:rsidRDefault="005D67EC" w:rsidP="002B13CB">
      <w:r w:rsidRPr="00C96D1D">
        <w:rPr>
          <w:b/>
        </w:rPr>
        <w:t xml:space="preserve">Table of </w:t>
      </w:r>
      <w:r w:rsidR="00BE1F88">
        <w:rPr>
          <w:b/>
        </w:rPr>
        <w:t>c</w:t>
      </w:r>
      <w:r w:rsidRPr="00C96D1D">
        <w:rPr>
          <w:b/>
        </w:rPr>
        <w:t>ontents</w:t>
      </w:r>
      <w:r w:rsidR="00C96D1D">
        <w:t>...</w:t>
      </w:r>
      <w:r w:rsidR="002B13CB" w:rsidRPr="00676CAF">
        <w:t>......</w:t>
      </w:r>
      <w:r w:rsidRPr="00676CAF">
        <w:t>....</w:t>
      </w:r>
      <w:r w:rsidR="002B13CB" w:rsidRPr="00676CAF">
        <w:t>...................................</w:t>
      </w:r>
      <w:r w:rsidRPr="00676CAF">
        <w:t>..................................</w:t>
      </w:r>
      <w:r w:rsidR="002666D4">
        <w:t>..</w:t>
      </w:r>
      <w:r w:rsidR="00600BE6">
        <w:t>..........</w:t>
      </w:r>
      <w:r w:rsidR="008B4B24">
        <w:t>vi</w:t>
      </w:r>
      <w:r w:rsidR="00BE1F88">
        <w:t>-vii</w:t>
      </w:r>
    </w:p>
    <w:p w14:paraId="1EB2E1AC" w14:textId="77777777" w:rsidR="00CE009C" w:rsidRPr="00676CAF" w:rsidRDefault="00CE009C" w:rsidP="002B13CB"/>
    <w:p w14:paraId="4F884233" w14:textId="52D81B24" w:rsidR="002B13CB" w:rsidRPr="00676CAF" w:rsidRDefault="005D67EC" w:rsidP="002B13CB">
      <w:r w:rsidRPr="00C96D1D">
        <w:rPr>
          <w:b/>
        </w:rPr>
        <w:t>Acknowledgements</w:t>
      </w:r>
      <w:r w:rsidR="00C96D1D">
        <w:t>..............</w:t>
      </w:r>
      <w:r w:rsidR="002B13CB" w:rsidRPr="00676CAF">
        <w:t>..............................................................</w:t>
      </w:r>
      <w:r w:rsidRPr="00676CAF">
        <w:t>.................</w:t>
      </w:r>
      <w:r w:rsidR="00EA3B2C">
        <w:t>v</w:t>
      </w:r>
      <w:r w:rsidR="008B4B24">
        <w:t>ii</w:t>
      </w:r>
      <w:r w:rsidR="00BE1F88">
        <w:t>i</w:t>
      </w:r>
    </w:p>
    <w:p w14:paraId="396079A4" w14:textId="77777777" w:rsidR="00CE009C" w:rsidRPr="00676CAF" w:rsidRDefault="00CE009C" w:rsidP="002B13CB"/>
    <w:p w14:paraId="45275D9F" w14:textId="3599802D" w:rsidR="002B13CB" w:rsidRPr="00676CAF" w:rsidRDefault="005D67EC" w:rsidP="002B13CB">
      <w:r w:rsidRPr="00C96D1D">
        <w:rPr>
          <w:b/>
        </w:rPr>
        <w:t>Dedication</w:t>
      </w:r>
      <w:r w:rsidR="00C96D1D">
        <w:t>...........</w:t>
      </w:r>
      <w:r w:rsidR="002B13CB" w:rsidRPr="00676CAF">
        <w:t>.............................................................................</w:t>
      </w:r>
      <w:r w:rsidRPr="00676CAF">
        <w:t>...................</w:t>
      </w:r>
      <w:r w:rsidR="00EA3B2C">
        <w:t>.</w:t>
      </w:r>
      <w:r w:rsidR="00BE1F88">
        <w:t>..</w:t>
      </w:r>
      <w:r w:rsidR="006D06D1">
        <w:t>i</w:t>
      </w:r>
      <w:r w:rsidR="00BE1F88">
        <w:t>x</w:t>
      </w:r>
    </w:p>
    <w:p w14:paraId="123F7CD3" w14:textId="77777777" w:rsidR="004D6CF0" w:rsidRPr="00676CAF" w:rsidRDefault="004D6CF0" w:rsidP="002B13CB"/>
    <w:p w14:paraId="28A458E3" w14:textId="152704C3" w:rsidR="002B13CB" w:rsidRDefault="00082931" w:rsidP="002B13CB">
      <w:r w:rsidRPr="00C96D1D">
        <w:rPr>
          <w:b/>
        </w:rPr>
        <w:t>Introduction</w:t>
      </w:r>
      <w:r w:rsidR="00C96D1D">
        <w:t>……</w:t>
      </w:r>
      <w:r w:rsidRPr="00676CAF">
        <w:t>………………………………………………</w:t>
      </w:r>
      <w:r w:rsidR="00DF2D00" w:rsidRPr="00676CAF">
        <w:t>.</w:t>
      </w:r>
      <w:r w:rsidRPr="00676CAF">
        <w:t>…</w:t>
      </w:r>
      <w:r w:rsidR="00010E87" w:rsidRPr="00676CAF">
        <w:t>……………</w:t>
      </w:r>
      <w:r w:rsidR="004478ED">
        <w:t>...</w:t>
      </w:r>
      <w:r w:rsidRPr="00676CAF">
        <w:t>1</w:t>
      </w:r>
    </w:p>
    <w:p w14:paraId="43F2B2B7" w14:textId="77777777" w:rsidR="00052E09" w:rsidRPr="00676CAF" w:rsidRDefault="00052E09" w:rsidP="00052E09"/>
    <w:p w14:paraId="50BEDD70" w14:textId="77777777" w:rsidR="00052E09" w:rsidRPr="00676CAF" w:rsidRDefault="00052E09" w:rsidP="00052E09">
      <w:r w:rsidRPr="0023154F">
        <w:rPr>
          <w:b/>
        </w:rPr>
        <w:t>Chapter 1: A Compromised and Ineffectual Field?</w:t>
      </w:r>
      <w:r>
        <w:t>.................</w:t>
      </w:r>
      <w:r w:rsidR="003550A0">
        <w:t>.</w:t>
      </w:r>
      <w:r w:rsidR="0023154F">
        <w:t>.......................</w:t>
      </w:r>
      <w:r>
        <w:t>11</w:t>
      </w:r>
      <w:r w:rsidRPr="00676CAF">
        <w:t xml:space="preserve"> </w:t>
      </w:r>
    </w:p>
    <w:p w14:paraId="4541EC0D" w14:textId="77777777" w:rsidR="00052E09" w:rsidRPr="00676CAF" w:rsidRDefault="00052E09" w:rsidP="002B13CB"/>
    <w:p w14:paraId="0D098AD0" w14:textId="77777777" w:rsidR="002B13CB" w:rsidRPr="00676CAF" w:rsidRDefault="00082931" w:rsidP="002B13CB">
      <w:r w:rsidRPr="00676CAF">
        <w:t>1.1</w:t>
      </w:r>
      <w:r w:rsidRPr="00676CAF">
        <w:tab/>
        <w:t xml:space="preserve">Professing to be </w:t>
      </w:r>
      <w:r w:rsidR="00B22398">
        <w:t>p</w:t>
      </w:r>
      <w:r w:rsidRPr="00676CAF">
        <w:t>rofessionals……………………………………...</w:t>
      </w:r>
      <w:r w:rsidR="00DF2D00" w:rsidRPr="00676CAF">
        <w:t>...</w:t>
      </w:r>
      <w:r w:rsidR="00010E87" w:rsidRPr="00676CAF">
        <w:t>.....</w:t>
      </w:r>
      <w:r w:rsidR="00DF2D00" w:rsidRPr="00676CAF">
        <w:t>1</w:t>
      </w:r>
      <w:r w:rsidR="00F51AE8">
        <w:t>1</w:t>
      </w:r>
    </w:p>
    <w:p w14:paraId="421F0A1B" w14:textId="77777777" w:rsidR="002B13CB" w:rsidRPr="00676CAF" w:rsidRDefault="00681D0B" w:rsidP="002B13CB">
      <w:r w:rsidRPr="00676CAF">
        <w:t>1.2</w:t>
      </w:r>
      <w:r w:rsidR="00DF2D00" w:rsidRPr="00676CAF">
        <w:tab/>
      </w:r>
      <w:r w:rsidR="00082931" w:rsidRPr="00676CAF">
        <w:t xml:space="preserve">Consultation </w:t>
      </w:r>
      <w:r w:rsidR="00B22398">
        <w:t>c</w:t>
      </w:r>
      <w:r w:rsidR="00082931" w:rsidRPr="00676CAF">
        <w:t xml:space="preserve">ontent and </w:t>
      </w:r>
      <w:r w:rsidR="00B22398">
        <w:t>m</w:t>
      </w:r>
      <w:r w:rsidR="00082931" w:rsidRPr="00676CAF">
        <w:t>ethod</w:t>
      </w:r>
      <w:r w:rsidR="00DF2D00" w:rsidRPr="00676CAF">
        <w:t>……………………………………….</w:t>
      </w:r>
      <w:r w:rsidR="00B22398">
        <w:t>.</w:t>
      </w:r>
      <w:r w:rsidR="00F51AE8">
        <w:t>15</w:t>
      </w:r>
    </w:p>
    <w:p w14:paraId="3BD37EA8" w14:textId="77777777" w:rsidR="002B13CB" w:rsidRPr="00676CAF" w:rsidRDefault="002B13CB" w:rsidP="002B13CB">
      <w:r w:rsidRPr="00676CAF">
        <w:t>1</w:t>
      </w:r>
      <w:r w:rsidR="00DF2D00" w:rsidRPr="00676CAF">
        <w:t>.</w:t>
      </w:r>
      <w:r w:rsidR="00271BCD">
        <w:t>3</w:t>
      </w:r>
      <w:r w:rsidR="00DF2D00" w:rsidRPr="00676CAF">
        <w:tab/>
        <w:t xml:space="preserve">Sophistry and the </w:t>
      </w:r>
      <w:r w:rsidR="00B22398">
        <w:t>s</w:t>
      </w:r>
      <w:r w:rsidR="00DF2D00" w:rsidRPr="00676CAF">
        <w:t xml:space="preserve">tatus </w:t>
      </w:r>
      <w:r w:rsidR="00B22398">
        <w:t>q</w:t>
      </w:r>
      <w:r w:rsidR="00DF2D00" w:rsidRPr="00676CAF">
        <w:t xml:space="preserve">uo …………… </w:t>
      </w:r>
      <w:r w:rsidRPr="00676CAF">
        <w:t>.................</w:t>
      </w:r>
      <w:r w:rsidR="00DF2D00" w:rsidRPr="00676CAF">
        <w:t>..............................</w:t>
      </w:r>
      <w:r w:rsidR="00B22398">
        <w:t>.</w:t>
      </w:r>
      <w:r w:rsidR="00DF2D00" w:rsidRPr="00676CAF">
        <w:t>2</w:t>
      </w:r>
      <w:r w:rsidR="00F51AE8">
        <w:t>4</w:t>
      </w:r>
    </w:p>
    <w:p w14:paraId="3BAECC7F" w14:textId="77777777" w:rsidR="002B13CB" w:rsidRPr="00676CAF" w:rsidRDefault="00681D0B" w:rsidP="002B13CB">
      <w:r w:rsidRPr="00676CAF">
        <w:t>1.</w:t>
      </w:r>
      <w:r w:rsidR="00271BCD">
        <w:t>4</w:t>
      </w:r>
      <w:r w:rsidR="00DF2D00" w:rsidRPr="00676CAF">
        <w:tab/>
        <w:t>The art (or artifice) of compromise.....</w:t>
      </w:r>
      <w:r w:rsidR="002B13CB" w:rsidRPr="00676CAF">
        <w:t>.........................</w:t>
      </w:r>
      <w:r w:rsidR="00052E09">
        <w:t>.............................</w:t>
      </w:r>
      <w:r w:rsidR="00F51AE8">
        <w:t>27</w:t>
      </w:r>
    </w:p>
    <w:p w14:paraId="3BE7F955" w14:textId="77777777" w:rsidR="00DF2D00" w:rsidRPr="00676CAF" w:rsidRDefault="00DF2D00" w:rsidP="002B13CB">
      <w:r w:rsidRPr="00676CAF">
        <w:t>1.</w:t>
      </w:r>
      <w:r w:rsidR="00271BCD">
        <w:t>5</w:t>
      </w:r>
      <w:r w:rsidRPr="00676CAF">
        <w:tab/>
        <w:t xml:space="preserve">Research </w:t>
      </w:r>
      <w:r w:rsidR="0009272F">
        <w:t>e</w:t>
      </w:r>
      <w:r w:rsidRPr="00676CAF">
        <w:t xml:space="preserve">thics: </w:t>
      </w:r>
      <w:r w:rsidR="00B22398">
        <w:t>r</w:t>
      </w:r>
      <w:r w:rsidRPr="00676CAF">
        <w:t>ules, regulations, and review………………………...</w:t>
      </w:r>
      <w:r w:rsidR="00B22398">
        <w:t>.</w:t>
      </w:r>
      <w:r w:rsidR="00D41520">
        <w:t>.</w:t>
      </w:r>
      <w:r w:rsidRPr="00676CAF">
        <w:t>3</w:t>
      </w:r>
      <w:r w:rsidR="00F51AE8">
        <w:t>1</w:t>
      </w:r>
    </w:p>
    <w:p w14:paraId="4D54F983" w14:textId="77777777" w:rsidR="00EA1C27" w:rsidRPr="00676CAF" w:rsidRDefault="00EA1C27" w:rsidP="002B13CB">
      <w:r w:rsidRPr="00676CAF">
        <w:t>1.</w:t>
      </w:r>
      <w:r w:rsidR="00271BCD">
        <w:t>6</w:t>
      </w:r>
      <w:r w:rsidRPr="00676CAF">
        <w:tab/>
        <w:t>Institutional interests and the obligations of ethicists……………………4</w:t>
      </w:r>
      <w:r w:rsidR="00F51AE8">
        <w:t>4</w:t>
      </w:r>
    </w:p>
    <w:p w14:paraId="4FF4E2F1" w14:textId="77777777" w:rsidR="00EA1C27" w:rsidRDefault="00EA1C27" w:rsidP="002B13CB">
      <w:r w:rsidRPr="00676CAF">
        <w:t>1.</w:t>
      </w:r>
      <w:r w:rsidR="00271BCD">
        <w:t>7</w:t>
      </w:r>
      <w:r w:rsidRPr="00676CAF">
        <w:tab/>
        <w:t xml:space="preserve">Conflict of </w:t>
      </w:r>
      <w:r w:rsidR="00B22398">
        <w:t>i</w:t>
      </w:r>
      <w:r w:rsidRPr="00676CAF">
        <w:t>nterest (COI) for ethics consultants: a primer………………5</w:t>
      </w:r>
      <w:r w:rsidR="00F51AE8">
        <w:t>1</w:t>
      </w:r>
    </w:p>
    <w:p w14:paraId="00B314EA" w14:textId="77777777" w:rsidR="00271BCD" w:rsidRPr="00676CAF" w:rsidRDefault="00271BCD" w:rsidP="002B13CB"/>
    <w:p w14:paraId="713614EB" w14:textId="77777777" w:rsidR="00AD641F" w:rsidRPr="00676CAF" w:rsidRDefault="00271BCD" w:rsidP="00F00950">
      <w:r w:rsidRPr="0023154F">
        <w:rPr>
          <w:b/>
        </w:rPr>
        <w:t xml:space="preserve">Chapter 2: </w:t>
      </w:r>
      <w:r w:rsidR="00AD641F" w:rsidRPr="0023154F">
        <w:rPr>
          <w:b/>
        </w:rPr>
        <w:t xml:space="preserve">Conflicted </w:t>
      </w:r>
      <w:r w:rsidR="0009272F">
        <w:rPr>
          <w:b/>
        </w:rPr>
        <w:t>C</w:t>
      </w:r>
      <w:r w:rsidR="00AD641F" w:rsidRPr="0023154F">
        <w:rPr>
          <w:b/>
        </w:rPr>
        <w:t>onsultants: Surveying the</w:t>
      </w:r>
      <w:r w:rsidR="00F00950">
        <w:rPr>
          <w:b/>
        </w:rPr>
        <w:t xml:space="preserve"> Canadian</w:t>
      </w:r>
      <w:r w:rsidR="0009272F">
        <w:rPr>
          <w:b/>
        </w:rPr>
        <w:t xml:space="preserve"> Context</w:t>
      </w:r>
      <w:r w:rsidR="004D098A">
        <w:t>….</w:t>
      </w:r>
      <w:r w:rsidR="00F00950" w:rsidRPr="004D098A">
        <w:t>....</w:t>
      </w:r>
      <w:r w:rsidR="0009272F" w:rsidRPr="004D098A">
        <w:t>.</w:t>
      </w:r>
      <w:r w:rsidR="00F00950" w:rsidRPr="004D098A">
        <w:t>56</w:t>
      </w:r>
      <w:r w:rsidR="00F00950">
        <w:rPr>
          <w:b/>
        </w:rPr>
        <w:t xml:space="preserve"> </w:t>
      </w:r>
    </w:p>
    <w:p w14:paraId="42CD7940" w14:textId="77777777" w:rsidR="00271BCD" w:rsidRDefault="00271BCD" w:rsidP="002F490A">
      <w:pPr>
        <w:ind w:left="720" w:hanging="720"/>
      </w:pPr>
    </w:p>
    <w:p w14:paraId="5FB1779F" w14:textId="77777777" w:rsidR="00681D0B" w:rsidRPr="00676CAF" w:rsidRDefault="00271BCD" w:rsidP="002F490A">
      <w:pPr>
        <w:ind w:left="720" w:hanging="720"/>
      </w:pPr>
      <w:r>
        <w:t>2.</w:t>
      </w:r>
      <w:r w:rsidR="00681D0B" w:rsidRPr="00676CAF">
        <w:t>1</w:t>
      </w:r>
      <w:r w:rsidR="00681D0B" w:rsidRPr="00676CAF">
        <w:tab/>
        <w:t xml:space="preserve">Outside interference: </w:t>
      </w:r>
      <w:r w:rsidR="00B22398">
        <w:t>l</w:t>
      </w:r>
      <w:r w:rsidR="00681D0B" w:rsidRPr="00676CAF">
        <w:t>aundry lists and the efficacy of efforts to come clean……………………………………………………………………...6</w:t>
      </w:r>
      <w:r w:rsidR="00F51AE8">
        <w:t>2</w:t>
      </w:r>
    </w:p>
    <w:p w14:paraId="3646F3C4" w14:textId="77777777" w:rsidR="002B13CB" w:rsidRPr="00676CAF" w:rsidRDefault="00271BCD" w:rsidP="002F490A">
      <w:pPr>
        <w:ind w:left="720" w:hanging="720"/>
      </w:pPr>
      <w:r>
        <w:t>2.2</w:t>
      </w:r>
      <w:r>
        <w:tab/>
      </w:r>
      <w:r w:rsidR="00AD641F" w:rsidRPr="00676CAF">
        <w:t xml:space="preserve">The case of the committed graduate candidate: </w:t>
      </w:r>
      <w:r w:rsidR="0009272F">
        <w:t>i</w:t>
      </w:r>
      <w:r w:rsidR="00AD641F" w:rsidRPr="00676CAF">
        <w:t xml:space="preserve">nterests worth worrying </w:t>
      </w:r>
      <w:r w:rsidR="00681D0B" w:rsidRPr="00676CAF">
        <w:t>about</w:t>
      </w:r>
      <w:r w:rsidR="00413244" w:rsidRPr="00676CAF">
        <w:t>? ..</w:t>
      </w:r>
      <w:r w:rsidR="002B13CB" w:rsidRPr="00676CAF">
        <w:t>..........................................................................</w:t>
      </w:r>
      <w:r w:rsidR="00AD641F" w:rsidRPr="00676CAF">
        <w:t>..........</w:t>
      </w:r>
      <w:r w:rsidR="00681D0B" w:rsidRPr="00676CAF">
        <w:t>.................</w:t>
      </w:r>
      <w:r w:rsidR="00D41520">
        <w:t>.</w:t>
      </w:r>
      <w:r w:rsidR="00F51AE8">
        <w:t>67</w:t>
      </w:r>
    </w:p>
    <w:p w14:paraId="5B027A59" w14:textId="77777777" w:rsidR="00681D0B" w:rsidRPr="00676CAF" w:rsidRDefault="00271BCD" w:rsidP="00681D0B">
      <w:r>
        <w:t>2.3</w:t>
      </w:r>
      <w:r w:rsidR="00681D0B" w:rsidRPr="00676CAF">
        <w:tab/>
        <w:t xml:space="preserve">COI, </w:t>
      </w:r>
      <w:r w:rsidR="00946ACF">
        <w:t>r</w:t>
      </w:r>
      <w:r w:rsidR="00681D0B" w:rsidRPr="00676CAF">
        <w:t xml:space="preserve">eflexivity, and the </w:t>
      </w:r>
      <w:r w:rsidR="0009272F">
        <w:t>n</w:t>
      </w:r>
      <w:r w:rsidR="00681D0B" w:rsidRPr="00676CAF">
        <w:t xml:space="preserve">ature of </w:t>
      </w:r>
      <w:r w:rsidR="0009272F">
        <w:t>e</w:t>
      </w:r>
      <w:r w:rsidR="00681D0B" w:rsidRPr="00676CAF">
        <w:t xml:space="preserve">thicists’ </w:t>
      </w:r>
      <w:r w:rsidR="0009272F">
        <w:t>i</w:t>
      </w:r>
      <w:r w:rsidR="00681D0B" w:rsidRPr="00676CAF">
        <w:t>nterests…………………</w:t>
      </w:r>
      <w:r w:rsidR="008B4B24">
        <w:t>...</w:t>
      </w:r>
      <w:r w:rsidR="00F51AE8">
        <w:t>75</w:t>
      </w:r>
    </w:p>
    <w:p w14:paraId="091C8180" w14:textId="77777777" w:rsidR="00413244" w:rsidRPr="00676CAF" w:rsidRDefault="00271BCD" w:rsidP="002F490A">
      <w:pPr>
        <w:ind w:left="720" w:hanging="720"/>
      </w:pPr>
      <w:r>
        <w:t>2.4</w:t>
      </w:r>
      <w:r w:rsidR="00413244" w:rsidRPr="00676CAF">
        <w:tab/>
        <w:t xml:space="preserve">Stark’s contrasts: Intrinsic </w:t>
      </w:r>
      <w:r w:rsidR="00946ACF">
        <w:t>COI</w:t>
      </w:r>
      <w:r w:rsidR="00413244" w:rsidRPr="00676CAF">
        <w:t xml:space="preserve"> and the character of professional identity…………………………………………………………………...</w:t>
      </w:r>
      <w:r w:rsidR="00F51AE8">
        <w:t>83</w:t>
      </w:r>
    </w:p>
    <w:p w14:paraId="25A0C4D2" w14:textId="77777777" w:rsidR="001D4176" w:rsidRPr="00676CAF" w:rsidRDefault="00271BCD" w:rsidP="002F490A">
      <w:pPr>
        <w:ind w:left="720" w:hanging="720"/>
      </w:pPr>
      <w:r>
        <w:t>2.5</w:t>
      </w:r>
      <w:r w:rsidR="001D4176" w:rsidRPr="00676CAF">
        <w:tab/>
        <w:t>Agency relationships and ethical obligations……………………………8</w:t>
      </w:r>
      <w:r w:rsidR="00F51AE8">
        <w:t>9</w:t>
      </w:r>
    </w:p>
    <w:p w14:paraId="23AB8468" w14:textId="77777777" w:rsidR="00CE009C" w:rsidRPr="00676CAF" w:rsidRDefault="00CE009C" w:rsidP="002F490A">
      <w:pPr>
        <w:ind w:left="720" w:hanging="720"/>
      </w:pPr>
    </w:p>
    <w:p w14:paraId="060354A3" w14:textId="77777777" w:rsidR="00130880" w:rsidRDefault="002B13CB" w:rsidP="002F490A">
      <w:pPr>
        <w:ind w:left="720" w:hanging="720"/>
      </w:pPr>
      <w:r w:rsidRPr="0023154F">
        <w:rPr>
          <w:rFonts w:ascii="Times New Roman Bold" w:hAnsi="Times New Roman Bold"/>
          <w:b/>
        </w:rPr>
        <w:t xml:space="preserve">Chapter </w:t>
      </w:r>
      <w:r w:rsidR="00271BCD" w:rsidRPr="0023154F">
        <w:rPr>
          <w:rFonts w:ascii="Times New Roman Bold" w:hAnsi="Times New Roman Bold"/>
          <w:b/>
        </w:rPr>
        <w:t>3</w:t>
      </w:r>
      <w:r w:rsidRPr="0023154F">
        <w:rPr>
          <w:rFonts w:ascii="Times New Roman Bold" w:hAnsi="Times New Roman Bold"/>
          <w:b/>
        </w:rPr>
        <w:t xml:space="preserve">: </w:t>
      </w:r>
      <w:r w:rsidR="00156C4C" w:rsidRPr="0023154F">
        <w:rPr>
          <w:rFonts w:ascii="Times New Roman Bold" w:hAnsi="Times New Roman Bold"/>
          <w:b/>
        </w:rPr>
        <w:t xml:space="preserve">Scrutinizing the </w:t>
      </w:r>
      <w:r w:rsidR="00130880" w:rsidRPr="0023154F">
        <w:rPr>
          <w:rFonts w:ascii="Times New Roman Bold" w:hAnsi="Times New Roman Bold"/>
          <w:b/>
        </w:rPr>
        <w:t xml:space="preserve">Standing of Principles: </w:t>
      </w:r>
      <w:r w:rsidR="00052E09" w:rsidRPr="0023154F">
        <w:rPr>
          <w:rFonts w:ascii="Times New Roman Bold" w:hAnsi="Times New Roman Bold"/>
          <w:b/>
        </w:rPr>
        <w:t xml:space="preserve">The </w:t>
      </w:r>
      <w:r w:rsidR="00130880" w:rsidRPr="0023154F">
        <w:rPr>
          <w:rFonts w:ascii="Times New Roman Bold" w:hAnsi="Times New Roman Bold"/>
          <w:b/>
        </w:rPr>
        <w:t>Politics of Bioethics</w:t>
      </w:r>
      <w:r w:rsidR="00052E09">
        <w:t>......</w:t>
      </w:r>
      <w:r w:rsidR="0023154F">
        <w:t>..............................................................................................</w:t>
      </w:r>
      <w:r w:rsidR="00F00920">
        <w:t>91</w:t>
      </w:r>
    </w:p>
    <w:p w14:paraId="48D2B64C" w14:textId="77777777" w:rsidR="00686F81" w:rsidRDefault="00686F81" w:rsidP="002F490A">
      <w:pPr>
        <w:ind w:left="720" w:hanging="720"/>
      </w:pPr>
    </w:p>
    <w:p w14:paraId="56A86D94" w14:textId="77777777" w:rsidR="00686F81" w:rsidRPr="002666D4" w:rsidRDefault="00271BCD" w:rsidP="00686F81">
      <w:pPr>
        <w:ind w:left="720" w:hanging="720"/>
      </w:pPr>
      <w:r>
        <w:t>3</w:t>
      </w:r>
      <w:r w:rsidR="00686F81">
        <w:t>.1</w:t>
      </w:r>
      <w:r w:rsidR="00686F81">
        <w:tab/>
      </w:r>
      <w:r w:rsidR="00686F81" w:rsidRPr="002666D4">
        <w:t>Conflict of interest or political interference</w:t>
      </w:r>
      <w:r w:rsidR="00E04D09">
        <w:t>?</w:t>
      </w:r>
      <w:r w:rsidR="003550A0" w:rsidRPr="002666D4">
        <w:t xml:space="preserve"> </w:t>
      </w:r>
      <w:r w:rsidR="00AE1381">
        <w:t>b</w:t>
      </w:r>
      <w:r w:rsidR="00686F81" w:rsidRPr="002666D4">
        <w:t>ioethicists eat</w:t>
      </w:r>
      <w:r w:rsidR="003550A0" w:rsidRPr="002666D4">
        <w:t>ing their own</w:t>
      </w:r>
      <w:r w:rsidR="00CC74B5" w:rsidRPr="002666D4">
        <w:t>...................................................................................</w:t>
      </w:r>
      <w:r w:rsidR="003550A0" w:rsidRPr="002666D4">
        <w:t>........................</w:t>
      </w:r>
      <w:r w:rsidR="00F00920" w:rsidRPr="002666D4">
        <w:t>..</w:t>
      </w:r>
      <w:r w:rsidR="003550A0" w:rsidRPr="002666D4">
        <w:t>92</w:t>
      </w:r>
      <w:r w:rsidR="00686F81" w:rsidRPr="002666D4">
        <w:t xml:space="preserve">          </w:t>
      </w:r>
    </w:p>
    <w:p w14:paraId="1680BD28" w14:textId="77777777" w:rsidR="003550A0" w:rsidRPr="002666D4" w:rsidRDefault="00052E09" w:rsidP="00052E09">
      <w:r w:rsidRPr="002666D4">
        <w:t>3.2</w:t>
      </w:r>
      <w:r w:rsidRPr="002666D4">
        <w:tab/>
      </w:r>
      <w:r w:rsidR="003550A0" w:rsidRPr="002666D4">
        <w:t xml:space="preserve">PHEs and </w:t>
      </w:r>
      <w:r w:rsidR="00AE1381">
        <w:t>p</w:t>
      </w:r>
      <w:r w:rsidR="003550A0" w:rsidRPr="002666D4">
        <w:t>ublic (</w:t>
      </w:r>
      <w:r w:rsidR="00AE1381">
        <w:t>h</w:t>
      </w:r>
      <w:r w:rsidR="003550A0" w:rsidRPr="002666D4">
        <w:t>ealth)</w:t>
      </w:r>
      <w:r w:rsidR="002666D4">
        <w:t xml:space="preserve"> </w:t>
      </w:r>
      <w:r w:rsidR="00AE1381">
        <w:t>e</w:t>
      </w:r>
      <w:r w:rsidR="002666D4">
        <w:t xml:space="preserve">thics: </w:t>
      </w:r>
      <w:r w:rsidR="00AE1381">
        <w:t>b</w:t>
      </w:r>
      <w:r w:rsidR="002666D4">
        <w:t xml:space="preserve">uilding a </w:t>
      </w:r>
      <w:r w:rsidR="00AE1381">
        <w:t>b</w:t>
      </w:r>
      <w:r w:rsidR="002666D4">
        <w:t xml:space="preserve">etter </w:t>
      </w:r>
      <w:r w:rsidR="00AE1381">
        <w:t>b</w:t>
      </w:r>
      <w:r w:rsidR="003550A0" w:rsidRPr="002666D4">
        <w:t>ioethics</w:t>
      </w:r>
      <w:r w:rsidR="002666D4">
        <w:t>…...</w:t>
      </w:r>
      <w:r w:rsidR="00F00920" w:rsidRPr="002666D4">
        <w:t>……</w:t>
      </w:r>
      <w:r w:rsidR="00AE1381">
        <w:t>…</w:t>
      </w:r>
      <w:r w:rsidR="00F00920" w:rsidRPr="002666D4">
        <w:t>..96</w:t>
      </w:r>
    </w:p>
    <w:p w14:paraId="63E55AB5" w14:textId="77777777" w:rsidR="003550A0" w:rsidRPr="002666D4" w:rsidRDefault="003550A0" w:rsidP="00B904DC">
      <w:pPr>
        <w:pStyle w:val="Body1"/>
        <w:rPr>
          <w:rFonts w:ascii="Times New Roman" w:eastAsia="Times New Roman" w:hAnsi="Times New Roman" w:cs="Times New Roman"/>
          <w:lang w:val="en-GB"/>
        </w:rPr>
      </w:pPr>
      <w:r w:rsidRPr="002666D4">
        <w:rPr>
          <w:rFonts w:ascii="Times New Roman" w:hAnsi="Times New Roman" w:cs="Times New Roman"/>
        </w:rPr>
        <w:lastRenderedPageBreak/>
        <w:t>3.3</w:t>
      </w:r>
      <w:r w:rsidRPr="002666D4">
        <w:tab/>
      </w:r>
      <w:r w:rsidRPr="002666D4">
        <w:rPr>
          <w:rFonts w:ascii="Times New Roman" w:eastAsia="Times New Roman" w:hAnsi="Times New Roman" w:cs="Times New Roman"/>
          <w:lang w:val="en-GB"/>
        </w:rPr>
        <w:t>Who abides and who decides? Joan Tronto on authority in ethics</w:t>
      </w:r>
      <w:r w:rsidR="00F00920" w:rsidRPr="002666D4">
        <w:rPr>
          <w:rFonts w:ascii="Times New Roman" w:eastAsia="Times New Roman" w:hAnsi="Times New Roman" w:cs="Times New Roman"/>
          <w:lang w:val="en-GB"/>
        </w:rPr>
        <w:t>……</w:t>
      </w:r>
      <w:r w:rsidR="00E04D09">
        <w:rPr>
          <w:rFonts w:ascii="Times New Roman" w:eastAsia="Times New Roman" w:hAnsi="Times New Roman" w:cs="Times New Roman"/>
          <w:lang w:val="en-GB"/>
        </w:rPr>
        <w:t>..100</w:t>
      </w:r>
    </w:p>
    <w:p w14:paraId="70D5ADEA" w14:textId="77777777" w:rsidR="003550A0" w:rsidRPr="002666D4" w:rsidRDefault="003550A0" w:rsidP="00B904DC">
      <w:r w:rsidRPr="002666D4">
        <w:t>3.4</w:t>
      </w:r>
      <w:r w:rsidRPr="002666D4">
        <w:tab/>
      </w:r>
      <w:r w:rsidR="00F00920" w:rsidRPr="002666D4">
        <w:t xml:space="preserve">Public </w:t>
      </w:r>
      <w:r w:rsidR="00AE1381">
        <w:t>e</w:t>
      </w:r>
      <w:r w:rsidRPr="002666D4">
        <w:t xml:space="preserve">thics: </w:t>
      </w:r>
      <w:r w:rsidR="00122D94">
        <w:t>f</w:t>
      </w:r>
      <w:r w:rsidRPr="002666D4">
        <w:t>ostering refle</w:t>
      </w:r>
      <w:r w:rsidR="00206981" w:rsidRPr="002666D4">
        <w:t>cti</w:t>
      </w:r>
      <w:r w:rsidR="002666D4">
        <w:t>on and playing the long game………...</w:t>
      </w:r>
      <w:r w:rsidR="00AE1381">
        <w:t>.</w:t>
      </w:r>
      <w:r w:rsidR="00122D94">
        <w:t>.</w:t>
      </w:r>
      <w:r w:rsidR="00206981" w:rsidRPr="002666D4">
        <w:t>105</w:t>
      </w:r>
    </w:p>
    <w:p w14:paraId="63A25E62" w14:textId="77777777" w:rsidR="004070D2" w:rsidRDefault="00206981" w:rsidP="00206981">
      <w:pPr>
        <w:ind w:left="720" w:hanging="720"/>
      </w:pPr>
      <w:r w:rsidRPr="002666D4">
        <w:t>3.5</w:t>
      </w:r>
      <w:r w:rsidRPr="002666D4">
        <w:tab/>
        <w:t xml:space="preserve">Wicked problems and virtuous solutions: </w:t>
      </w:r>
      <w:r w:rsidR="00AE1381">
        <w:t>b</w:t>
      </w:r>
      <w:r w:rsidRPr="002666D4">
        <w:t xml:space="preserve">eyond </w:t>
      </w:r>
      <w:r w:rsidR="00AE1381">
        <w:t>b</w:t>
      </w:r>
      <w:r w:rsidRPr="002666D4">
        <w:t xml:space="preserve">ioethics’ </w:t>
      </w:r>
    </w:p>
    <w:p w14:paraId="507DD3E1" w14:textId="25ABF821" w:rsidR="00206981" w:rsidRPr="002666D4" w:rsidRDefault="00AE1381" w:rsidP="004070D2">
      <w:pPr>
        <w:ind w:left="720"/>
      </w:pPr>
      <w:r>
        <w:t>b</w:t>
      </w:r>
      <w:r w:rsidR="00206981" w:rsidRPr="002666D4">
        <w:t>oundaries?</w:t>
      </w:r>
      <w:r w:rsidR="004070D2">
        <w:t>..............................................................................................110</w:t>
      </w:r>
      <w:r w:rsidR="00405516" w:rsidRPr="002666D4">
        <w:t xml:space="preserve"> </w:t>
      </w:r>
      <w:r w:rsidR="00206981" w:rsidRPr="002666D4">
        <w:t xml:space="preserve">  </w:t>
      </w:r>
    </w:p>
    <w:p w14:paraId="063651E8" w14:textId="77777777" w:rsidR="00E04D09" w:rsidRDefault="00206981" w:rsidP="00122D94">
      <w:pPr>
        <w:ind w:left="720" w:hanging="720"/>
      </w:pPr>
      <w:r w:rsidRPr="002666D4">
        <w:t>3.6</w:t>
      </w:r>
      <w:r w:rsidRPr="002666D4">
        <w:tab/>
        <w:t xml:space="preserve">Progressive lenses: </w:t>
      </w:r>
      <w:r w:rsidR="00AE1381">
        <w:t>i</w:t>
      </w:r>
      <w:r w:rsidRPr="002666D4">
        <w:t xml:space="preserve">lluminating </w:t>
      </w:r>
      <w:r w:rsidR="00AE1381">
        <w:t>e</w:t>
      </w:r>
      <w:r w:rsidRPr="002666D4">
        <w:t xml:space="preserve">thical </w:t>
      </w:r>
      <w:r w:rsidR="00AE1381">
        <w:t>i</w:t>
      </w:r>
      <w:r w:rsidRPr="002666D4">
        <w:t>ssues</w:t>
      </w:r>
      <w:r w:rsidR="00E04D09">
        <w:t xml:space="preserve"> or i</w:t>
      </w:r>
      <w:r w:rsidRPr="002666D4">
        <w:t>ntroducing distortions?...............................................................</w:t>
      </w:r>
      <w:r w:rsidR="00122D94">
        <w:t>......</w:t>
      </w:r>
      <w:r w:rsidRPr="002666D4">
        <w:t>..........................114</w:t>
      </w:r>
    </w:p>
    <w:p w14:paraId="6CF0EBB9" w14:textId="77777777" w:rsidR="00122D94" w:rsidRPr="0023154F" w:rsidRDefault="00122D94" w:rsidP="00122D94">
      <w:pPr>
        <w:ind w:left="720" w:hanging="720"/>
        <w:rPr>
          <w:b/>
        </w:rPr>
      </w:pPr>
    </w:p>
    <w:p w14:paraId="71900C1E" w14:textId="77777777" w:rsidR="00010E87" w:rsidRDefault="00010E87" w:rsidP="002F490A">
      <w:r w:rsidRPr="0023154F">
        <w:rPr>
          <w:b/>
        </w:rPr>
        <w:t xml:space="preserve">Chapter </w:t>
      </w:r>
      <w:r w:rsidR="00052E09" w:rsidRPr="0023154F">
        <w:rPr>
          <w:b/>
        </w:rPr>
        <w:t>4</w:t>
      </w:r>
      <w:r w:rsidRPr="0023154F">
        <w:rPr>
          <w:b/>
        </w:rPr>
        <w:t>: Ethics as Interpretation: Lessons from Legal</w:t>
      </w:r>
      <w:r w:rsidR="00810299">
        <w:rPr>
          <w:b/>
        </w:rPr>
        <w:t xml:space="preserve"> Theory</w:t>
      </w:r>
      <w:r w:rsidR="00810299" w:rsidRPr="004D098A">
        <w:t>…………</w:t>
      </w:r>
      <w:r w:rsidR="00FA4118" w:rsidRPr="004D098A">
        <w:t>119</w:t>
      </w:r>
    </w:p>
    <w:p w14:paraId="3E2DDB1A" w14:textId="77777777" w:rsidR="004303E4" w:rsidRPr="002666D4" w:rsidRDefault="004303E4" w:rsidP="002F490A"/>
    <w:p w14:paraId="003B4632" w14:textId="77777777" w:rsidR="0056025B" w:rsidRPr="002666D4" w:rsidRDefault="0056025B" w:rsidP="002F490A">
      <w:r w:rsidRPr="002666D4">
        <w:t>4.1</w:t>
      </w:r>
      <w:r w:rsidR="00E01A2D">
        <w:tab/>
      </w:r>
      <w:r w:rsidRPr="002666D4">
        <w:t>What makes a hard</w:t>
      </w:r>
      <w:r w:rsidR="00C33F58" w:rsidRPr="002666D4">
        <w:t xml:space="preserve"> case</w:t>
      </w:r>
      <w:r w:rsidR="00E01A2D">
        <w:t xml:space="preserve"> </w:t>
      </w:r>
      <w:r w:rsidR="00C33F58" w:rsidRPr="002666D4">
        <w:t>hard?.</w:t>
      </w:r>
      <w:r w:rsidRPr="002666D4">
        <w:t>……………………</w:t>
      </w:r>
      <w:r w:rsidR="00E01A2D">
        <w:t>……………...</w:t>
      </w:r>
      <w:r w:rsidRPr="002666D4">
        <w:t>…</w:t>
      </w:r>
      <w:r w:rsidR="00C23895">
        <w:t>.</w:t>
      </w:r>
      <w:r w:rsidR="00E01A2D">
        <w:t>..</w:t>
      </w:r>
      <w:r w:rsidR="004C7595">
        <w:t>..</w:t>
      </w:r>
      <w:r w:rsidRPr="002666D4">
        <w:t>120</w:t>
      </w:r>
    </w:p>
    <w:p w14:paraId="7D00A628" w14:textId="77777777" w:rsidR="0056025B" w:rsidRPr="002666D4" w:rsidRDefault="0056025B" w:rsidP="00C33F58">
      <w:r w:rsidRPr="002666D4">
        <w:t xml:space="preserve">4.2 </w:t>
      </w:r>
      <w:r w:rsidR="00E01A2D">
        <w:tab/>
      </w:r>
      <w:r w:rsidRPr="002666D4">
        <w:t>Practising in the penumbra: variation</w:t>
      </w:r>
      <w:r w:rsidR="00C33F58" w:rsidRPr="002666D4">
        <w:t xml:space="preserve"> and</w:t>
      </w:r>
      <w:r w:rsidR="00E01A2D">
        <w:t xml:space="preserve"> </w:t>
      </w:r>
      <w:r w:rsidRPr="002666D4">
        <w:t>values</w:t>
      </w:r>
      <w:r w:rsidR="00C33F58" w:rsidRPr="002666D4">
        <w:t>......</w:t>
      </w:r>
      <w:r w:rsidRPr="002666D4">
        <w:t>………</w:t>
      </w:r>
      <w:r w:rsidR="00E01A2D">
        <w:t>…...</w:t>
      </w:r>
      <w:r w:rsidRPr="002666D4">
        <w:t>...…</w:t>
      </w:r>
      <w:r w:rsidR="00C23895">
        <w:t>.</w:t>
      </w:r>
      <w:r w:rsidR="00E01A2D">
        <w:t>..</w:t>
      </w:r>
      <w:r w:rsidR="004C7595">
        <w:t>.</w:t>
      </w:r>
      <w:r w:rsidRPr="002666D4">
        <w:t>125</w:t>
      </w:r>
    </w:p>
    <w:p w14:paraId="1CF33D01" w14:textId="77777777" w:rsidR="00C33F58" w:rsidRPr="002666D4" w:rsidRDefault="00C33F58" w:rsidP="00AB01BA">
      <w:r w:rsidRPr="002666D4">
        <w:t xml:space="preserve">4.3 </w:t>
      </w:r>
      <w:r w:rsidR="00E01A2D">
        <w:tab/>
      </w:r>
      <w:r w:rsidR="00AB01BA" w:rsidRPr="002666D4">
        <w:t>The core and</w:t>
      </w:r>
      <w:r w:rsidRPr="002666D4">
        <w:t xml:space="preserve"> the </w:t>
      </w:r>
      <w:r w:rsidR="00AB01BA" w:rsidRPr="002666D4">
        <w:t xml:space="preserve">penumbra: </w:t>
      </w:r>
      <w:r w:rsidR="00122D94">
        <w:t>s</w:t>
      </w:r>
      <w:r w:rsidR="00AB01BA" w:rsidRPr="002666D4">
        <w:t xml:space="preserve">ettled questions and unsettling ones </w:t>
      </w:r>
      <w:r w:rsidR="00E01A2D">
        <w:t>……</w:t>
      </w:r>
      <w:r w:rsidR="00AB01BA" w:rsidRPr="002666D4">
        <w:t>130</w:t>
      </w:r>
    </w:p>
    <w:p w14:paraId="3A780397" w14:textId="77777777" w:rsidR="00AB01BA" w:rsidRPr="002666D4" w:rsidRDefault="00984BBB" w:rsidP="00E52FEA">
      <w:r w:rsidRPr="002666D4">
        <w:t xml:space="preserve">4.4 </w:t>
      </w:r>
      <w:r w:rsidR="004C7595">
        <w:tab/>
      </w:r>
      <w:r w:rsidRPr="002666D4">
        <w:t xml:space="preserve">MAID in Canada: </w:t>
      </w:r>
      <w:r w:rsidR="00122D94">
        <w:t>m</w:t>
      </w:r>
      <w:r w:rsidRPr="002666D4">
        <w:t xml:space="preserve">aking </w:t>
      </w:r>
      <w:r w:rsidR="00122D94">
        <w:t>s</w:t>
      </w:r>
      <w:r w:rsidRPr="002666D4">
        <w:t xml:space="preserve">ense of our </w:t>
      </w:r>
      <w:r w:rsidR="00122D94">
        <w:t>l</w:t>
      </w:r>
      <w:r w:rsidRPr="002666D4">
        <w:t xml:space="preserve">egal and </w:t>
      </w:r>
      <w:r w:rsidR="00122D94">
        <w:t>e</w:t>
      </w:r>
      <w:r w:rsidRPr="002666D4">
        <w:t xml:space="preserve">thical </w:t>
      </w:r>
      <w:r w:rsidR="00122D94">
        <w:t>o</w:t>
      </w:r>
      <w:r w:rsidRPr="002666D4">
        <w:t>bligation</w:t>
      </w:r>
      <w:r w:rsidR="00AB01BA" w:rsidRPr="002666D4">
        <w:t>s</w:t>
      </w:r>
      <w:r w:rsidR="00122D94">
        <w:t>…</w:t>
      </w:r>
      <w:r w:rsidR="00217416">
        <w:t>.</w:t>
      </w:r>
      <w:r w:rsidR="00AB01BA" w:rsidRPr="002666D4">
        <w:t>134</w:t>
      </w:r>
    </w:p>
    <w:p w14:paraId="292E827C" w14:textId="77777777" w:rsidR="00E52FEA" w:rsidRPr="002666D4" w:rsidRDefault="00E52FEA" w:rsidP="00E52FEA">
      <w:r w:rsidRPr="002666D4">
        <w:t xml:space="preserve">4.5 </w:t>
      </w:r>
      <w:r w:rsidR="004C7595">
        <w:tab/>
      </w:r>
      <w:r w:rsidRPr="002666D4">
        <w:t xml:space="preserve">Inside traders or </w:t>
      </w:r>
      <w:r w:rsidR="00122D94">
        <w:t>h</w:t>
      </w:r>
      <w:r w:rsidRPr="002666D4">
        <w:t xml:space="preserve">onest </w:t>
      </w:r>
      <w:r w:rsidR="00122D94">
        <w:t>b</w:t>
      </w:r>
      <w:r w:rsidRPr="002666D4">
        <w:t xml:space="preserve">rokers? </w:t>
      </w:r>
      <w:r w:rsidR="00217416">
        <w:t>e</w:t>
      </w:r>
      <w:r w:rsidRPr="002666D4">
        <w:t>xamining the terms of the PHI’s</w:t>
      </w:r>
    </w:p>
    <w:p w14:paraId="7850A596" w14:textId="77777777" w:rsidR="00E52FEA" w:rsidRPr="002666D4" w:rsidRDefault="00E52FEA" w:rsidP="00E52FEA">
      <w:pPr>
        <w:ind w:firstLine="720"/>
      </w:pPr>
      <w:r w:rsidRPr="002666D4">
        <w:t>relationship(s)…………………………………………………………..145</w:t>
      </w:r>
    </w:p>
    <w:p w14:paraId="48ED63D4" w14:textId="77777777" w:rsidR="004303E4" w:rsidRDefault="00413D95" w:rsidP="00C060D1">
      <w:pPr>
        <w:ind w:left="720" w:hanging="720"/>
      </w:pPr>
      <w:r w:rsidRPr="002666D4">
        <w:t xml:space="preserve">4.6 </w:t>
      </w:r>
      <w:r w:rsidR="00C060D1">
        <w:tab/>
      </w:r>
      <w:r w:rsidR="00DF6A69">
        <w:t>Taking sides or occupying the</w:t>
      </w:r>
      <w:r w:rsidRPr="002666D4">
        <w:t xml:space="preserve"> middle ground? An insider/outsider approach</w:t>
      </w:r>
      <w:r w:rsidR="00C060D1">
        <w:t xml:space="preserve"> t</w:t>
      </w:r>
      <w:r w:rsidRPr="002666D4">
        <w:t>o</w:t>
      </w:r>
      <w:r w:rsidR="004303E4">
        <w:t xml:space="preserve"> the practice of ethics</w:t>
      </w:r>
      <w:r w:rsidR="00C060D1">
        <w:t xml:space="preserve"> </w:t>
      </w:r>
      <w:r w:rsidRPr="002666D4">
        <w:t>consultation…</w:t>
      </w:r>
      <w:r w:rsidR="00C060D1">
        <w:t>……………</w:t>
      </w:r>
      <w:r w:rsidRPr="002666D4">
        <w:t>……..</w:t>
      </w:r>
      <w:r w:rsidR="004303E4">
        <w:t>....</w:t>
      </w:r>
      <w:r w:rsidR="00217416">
        <w:t>..</w:t>
      </w:r>
      <w:r w:rsidR="00A45CA0">
        <w:t>149</w:t>
      </w:r>
    </w:p>
    <w:p w14:paraId="561B8B10" w14:textId="21210B48" w:rsidR="00C96D1D" w:rsidRDefault="004303E4" w:rsidP="004303E4">
      <w:r>
        <w:t xml:space="preserve">4.7 </w:t>
      </w:r>
      <w:r w:rsidR="00C060D1">
        <w:tab/>
      </w:r>
      <w:r>
        <w:t>Integrity in inte</w:t>
      </w:r>
      <w:r w:rsidR="00C96D1D">
        <w:t xml:space="preserve">rpretation: the right answer </w:t>
      </w:r>
      <w:r w:rsidR="00B66B6A">
        <w:t>(</w:t>
      </w:r>
      <w:r w:rsidR="00C96D1D">
        <w:t xml:space="preserve">or answers) for </w:t>
      </w:r>
      <w:r w:rsidR="00C060D1">
        <w:t xml:space="preserve">healthcare </w:t>
      </w:r>
    </w:p>
    <w:p w14:paraId="79B2D6DA" w14:textId="777B3138" w:rsidR="00C96D1D" w:rsidRPr="00B220A4" w:rsidRDefault="00C96D1D" w:rsidP="00283D21">
      <w:pPr>
        <w:ind w:firstLine="720"/>
      </w:pPr>
      <w:r w:rsidRPr="00B220A4">
        <w:t>ethics?..........................................................</w:t>
      </w:r>
      <w:r w:rsidR="004303E4" w:rsidRPr="00B220A4">
        <w:t>............................................</w:t>
      </w:r>
      <w:r w:rsidR="00B220A4">
        <w:t>.</w:t>
      </w:r>
      <w:r w:rsidR="004303E4" w:rsidRPr="00B220A4">
        <w:t>154</w:t>
      </w:r>
    </w:p>
    <w:p w14:paraId="1CB588D6" w14:textId="4C0968D4" w:rsidR="00B220A4" w:rsidRDefault="00B220A4" w:rsidP="00283D21">
      <w:pPr>
        <w:jc w:val="both"/>
      </w:pPr>
      <w:r w:rsidRPr="00B220A4">
        <w:t>4.8</w:t>
      </w:r>
      <w:r w:rsidRPr="00B220A4">
        <w:tab/>
      </w:r>
      <w:r w:rsidRPr="00283D21">
        <w:t>Philosophizing in the Penumbra: Advising on Access to MAID………</w:t>
      </w:r>
      <w:r>
        <w:t>.161</w:t>
      </w:r>
    </w:p>
    <w:p w14:paraId="09477585" w14:textId="7B24115D" w:rsidR="00B220A4" w:rsidRDefault="00B220A4" w:rsidP="00B66B6A">
      <w:pPr>
        <w:ind w:left="720" w:hanging="720"/>
      </w:pPr>
      <w:r>
        <w:t xml:space="preserve">4.9 </w:t>
      </w:r>
      <w:r>
        <w:tab/>
        <w:t>Illuminating the Ethical Penumbra</w:t>
      </w:r>
      <w:r w:rsidR="00B66B6A">
        <w:t xml:space="preserve">: </w:t>
      </w:r>
      <w:r w:rsidR="003A3CB6">
        <w:t xml:space="preserve">How jurisprudence can </w:t>
      </w:r>
      <w:r w:rsidR="00B66B6A">
        <w:t>help</w:t>
      </w:r>
      <w:r w:rsidR="00283D21">
        <w:t>………………………………………</w:t>
      </w:r>
      <w:r w:rsidR="00B66B6A">
        <w:t>……………………………</w:t>
      </w:r>
      <w:r w:rsidR="003A3CB6">
        <w:t>...169</w:t>
      </w:r>
    </w:p>
    <w:p w14:paraId="5CE95491" w14:textId="099457C4" w:rsidR="00C96D1D" w:rsidRDefault="00C96D1D" w:rsidP="00283D21">
      <w:pPr>
        <w:ind w:left="720" w:hanging="720"/>
      </w:pPr>
      <w:r>
        <w:t>4.</w:t>
      </w:r>
      <w:r w:rsidR="00283D21">
        <w:t>10</w:t>
      </w:r>
      <w:r>
        <w:t xml:space="preserve"> </w:t>
      </w:r>
      <w:r w:rsidR="00C060D1">
        <w:tab/>
      </w:r>
      <w:r w:rsidRPr="00C96D1D">
        <w:t xml:space="preserve">Fruits of the </w:t>
      </w:r>
      <w:r w:rsidR="00217416">
        <w:t>l</w:t>
      </w:r>
      <w:r w:rsidRPr="00C96D1D">
        <w:t xml:space="preserve">iving </w:t>
      </w:r>
      <w:r w:rsidR="00217416">
        <w:t>t</w:t>
      </w:r>
      <w:r w:rsidRPr="00C96D1D">
        <w:t xml:space="preserve">ree: </w:t>
      </w:r>
      <w:r w:rsidR="00217416">
        <w:t>w</w:t>
      </w:r>
      <w:r w:rsidRPr="00C96D1D">
        <w:t xml:space="preserve">hat a </w:t>
      </w:r>
      <w:r w:rsidR="00217416">
        <w:t>c</w:t>
      </w:r>
      <w:r w:rsidRPr="00C96D1D">
        <w:t xml:space="preserve">ommon </w:t>
      </w:r>
      <w:r w:rsidR="00217416">
        <w:t>l</w:t>
      </w:r>
      <w:r w:rsidRPr="00C96D1D">
        <w:t xml:space="preserve">aw </w:t>
      </w:r>
      <w:r w:rsidR="00217416">
        <w:t>c</w:t>
      </w:r>
      <w:r w:rsidRPr="00C96D1D">
        <w:t>onception can offer to</w:t>
      </w:r>
      <w:r w:rsidR="00217416">
        <w:t xml:space="preserve"> healthcare ethics </w:t>
      </w:r>
      <w:r>
        <w:t>…………………</w:t>
      </w:r>
      <w:r w:rsidR="00217416">
        <w:t>…………………………………….</w:t>
      </w:r>
      <w:r w:rsidR="003A3CB6">
        <w:t>.</w:t>
      </w:r>
      <w:r>
        <w:t>1</w:t>
      </w:r>
      <w:r w:rsidR="003A3CB6">
        <w:t>71</w:t>
      </w:r>
    </w:p>
    <w:p w14:paraId="7E5E23C0" w14:textId="5F0705BF" w:rsidR="00C96D1D" w:rsidRDefault="00C96D1D" w:rsidP="00283D21">
      <w:r>
        <w:t>4.</w:t>
      </w:r>
      <w:r w:rsidR="00283D21">
        <w:t>11</w:t>
      </w:r>
      <w:r>
        <w:t xml:space="preserve"> </w:t>
      </w:r>
      <w:r w:rsidR="004C7595">
        <w:tab/>
      </w:r>
      <w:r w:rsidRPr="00C96D1D">
        <w:t xml:space="preserve">Imagining McLachlin: </w:t>
      </w:r>
      <w:r w:rsidR="00217416">
        <w:t>a</w:t>
      </w:r>
      <w:r w:rsidRPr="00C96D1D">
        <w:t xml:space="preserve"> Hercules for </w:t>
      </w:r>
      <w:r w:rsidR="00217416">
        <w:t>h</w:t>
      </w:r>
      <w:r w:rsidRPr="00C96D1D">
        <w:t>ealthcare</w:t>
      </w:r>
      <w:r w:rsidR="00C060D1">
        <w:t xml:space="preserve"> </w:t>
      </w:r>
      <w:r w:rsidR="00217416">
        <w:t xml:space="preserve">ethics </w:t>
      </w:r>
      <w:r>
        <w:t>...........</w:t>
      </w:r>
      <w:r w:rsidR="00C060D1">
        <w:t>..</w:t>
      </w:r>
      <w:r>
        <w:t>.</w:t>
      </w:r>
      <w:r w:rsidR="00217416">
        <w:t>.........</w:t>
      </w:r>
      <w:r>
        <w:t>..1</w:t>
      </w:r>
      <w:r w:rsidR="003A3CB6">
        <w:t>73</w:t>
      </w:r>
    </w:p>
    <w:p w14:paraId="7C8E7E39" w14:textId="77777777" w:rsidR="00C060D1" w:rsidRPr="00676CAF" w:rsidRDefault="00C060D1" w:rsidP="002F490A"/>
    <w:p w14:paraId="018D4C1E" w14:textId="77777777" w:rsidR="00C96D1D" w:rsidRPr="0023154F" w:rsidRDefault="00010E87" w:rsidP="00C96D1D">
      <w:pPr>
        <w:rPr>
          <w:b/>
        </w:rPr>
      </w:pPr>
      <w:r w:rsidRPr="0023154F">
        <w:rPr>
          <w:b/>
        </w:rPr>
        <w:t xml:space="preserve">Chapter </w:t>
      </w:r>
      <w:r w:rsidR="00052E09" w:rsidRPr="0023154F">
        <w:rPr>
          <w:b/>
        </w:rPr>
        <w:t>5</w:t>
      </w:r>
      <w:r w:rsidRPr="0023154F">
        <w:rPr>
          <w:b/>
        </w:rPr>
        <w:t xml:space="preserve">: </w:t>
      </w:r>
      <w:r w:rsidR="00C96D1D" w:rsidRPr="0023154F">
        <w:rPr>
          <w:b/>
        </w:rPr>
        <w:t>Professionalization for</w:t>
      </w:r>
      <w:r w:rsidR="005F30C9" w:rsidRPr="0023154F">
        <w:rPr>
          <w:b/>
        </w:rPr>
        <w:t xml:space="preserve"> PHES: The Promise of a </w:t>
      </w:r>
      <w:r w:rsidR="00130880" w:rsidRPr="0023154F">
        <w:rPr>
          <w:b/>
        </w:rPr>
        <w:t>Practice</w:t>
      </w:r>
      <w:r w:rsidR="00C96D1D" w:rsidRPr="0023154F">
        <w:rPr>
          <w:b/>
        </w:rPr>
        <w:t xml:space="preserve"> Worth</w:t>
      </w:r>
    </w:p>
    <w:p w14:paraId="24ADD4AC" w14:textId="3037ACE3" w:rsidR="00C23895" w:rsidRDefault="00130880" w:rsidP="00C96D1D">
      <w:pPr>
        <w:ind w:firstLine="720"/>
      </w:pPr>
      <w:r w:rsidRPr="0023154F">
        <w:rPr>
          <w:b/>
        </w:rPr>
        <w:t>Wanting</w:t>
      </w:r>
      <w:r w:rsidR="00C96D1D">
        <w:t>………………………………………………………………</w:t>
      </w:r>
      <w:r w:rsidR="00C23895">
        <w:t>...</w:t>
      </w:r>
      <w:r w:rsidR="00C96D1D">
        <w:t>1</w:t>
      </w:r>
      <w:r w:rsidR="003A3CB6">
        <w:t>79</w:t>
      </w:r>
    </w:p>
    <w:p w14:paraId="3BC47FAF" w14:textId="77777777" w:rsidR="00E01A2D" w:rsidRDefault="00E01A2D" w:rsidP="00C96D1D">
      <w:pPr>
        <w:ind w:firstLine="720"/>
      </w:pPr>
    </w:p>
    <w:p w14:paraId="7C634090" w14:textId="50421CDE" w:rsidR="00BC2F99" w:rsidRDefault="00BC2F99" w:rsidP="004C7595">
      <w:pPr>
        <w:ind w:left="720" w:hanging="720"/>
      </w:pPr>
      <w:r>
        <w:t xml:space="preserve">5.1 </w:t>
      </w:r>
      <w:r w:rsidR="004C7595">
        <w:tab/>
      </w:r>
      <w:r>
        <w:t xml:space="preserve">Scofield’s latest critique: </w:t>
      </w:r>
      <w:r w:rsidR="00217416">
        <w:t>g</w:t>
      </w:r>
      <w:r>
        <w:t xml:space="preserve">athering </w:t>
      </w:r>
      <w:r w:rsidR="00217416">
        <w:t>w</w:t>
      </w:r>
      <w:r>
        <w:t xml:space="preserve">ool or </w:t>
      </w:r>
      <w:r w:rsidR="00E860DA">
        <w:t>c</w:t>
      </w:r>
      <w:r>
        <w:t>ommunicating</w:t>
      </w:r>
      <w:r w:rsidR="00E860DA">
        <w:t xml:space="preserve"> concerns?</w:t>
      </w:r>
      <w:r w:rsidR="004C7595">
        <w:t>..........................................</w:t>
      </w:r>
      <w:r w:rsidR="00E860DA">
        <w:t>......................................</w:t>
      </w:r>
      <w:r w:rsidR="004C7595">
        <w:t>..............</w:t>
      </w:r>
      <w:r>
        <w:t>...</w:t>
      </w:r>
      <w:r w:rsidR="00E860DA">
        <w:t>.</w:t>
      </w:r>
      <w:r>
        <w:t>1</w:t>
      </w:r>
      <w:r w:rsidR="003A3CB6">
        <w:t>79</w:t>
      </w:r>
    </w:p>
    <w:p w14:paraId="06B0D0B3" w14:textId="3004BC9A" w:rsidR="00BC2F99" w:rsidRDefault="00BC2F99" w:rsidP="00E01A2D">
      <w:r>
        <w:t xml:space="preserve">5.2 </w:t>
      </w:r>
      <w:r w:rsidR="004C7595">
        <w:tab/>
      </w:r>
      <w:r>
        <w:t xml:space="preserve">Hard </w:t>
      </w:r>
      <w:r w:rsidR="00E860DA">
        <w:t>c</w:t>
      </w:r>
      <w:r>
        <w:t xml:space="preserve">ases, </w:t>
      </w:r>
      <w:r w:rsidR="00E860DA">
        <w:t>p</w:t>
      </w:r>
      <w:r>
        <w:t xml:space="preserve">hilosophizing, and the </w:t>
      </w:r>
      <w:r w:rsidR="00E860DA">
        <w:t>p</w:t>
      </w:r>
      <w:r>
        <w:t>ractice of PHEs………</w:t>
      </w:r>
      <w:r w:rsidR="004C7595">
        <w:t>……..</w:t>
      </w:r>
      <w:r>
        <w:t>….</w:t>
      </w:r>
      <w:r w:rsidR="00E860DA">
        <w:t>..</w:t>
      </w:r>
      <w:r>
        <w:t>1</w:t>
      </w:r>
      <w:r w:rsidR="003A3CB6">
        <w:t>80</w:t>
      </w:r>
    </w:p>
    <w:p w14:paraId="48430438" w14:textId="50AA6A81" w:rsidR="00D27647" w:rsidRDefault="00BC2F99" w:rsidP="00E01A2D">
      <w:r>
        <w:t xml:space="preserve">5.3 </w:t>
      </w:r>
      <w:r w:rsidR="004C7595">
        <w:tab/>
      </w:r>
      <w:r>
        <w:t xml:space="preserve">Politics and </w:t>
      </w:r>
      <w:r w:rsidR="00E860DA">
        <w:t>p</w:t>
      </w:r>
      <w:r>
        <w:t xml:space="preserve">rofessionalization: </w:t>
      </w:r>
      <w:r w:rsidR="008F0285">
        <w:t>s</w:t>
      </w:r>
      <w:r>
        <w:t xml:space="preserve">cepticism or </w:t>
      </w:r>
      <w:r w:rsidR="008F0285">
        <w:t>s</w:t>
      </w:r>
      <w:r>
        <w:t xml:space="preserve">ystemic </w:t>
      </w:r>
      <w:r w:rsidR="008F0285">
        <w:t>t</w:t>
      </w:r>
      <w:r>
        <w:t>hinking?</w:t>
      </w:r>
      <w:r w:rsidR="00D27647">
        <w:t>......</w:t>
      </w:r>
      <w:r w:rsidR="008F0285">
        <w:t>...</w:t>
      </w:r>
      <w:r w:rsidR="00D27647">
        <w:t>1</w:t>
      </w:r>
      <w:r w:rsidR="003A3CB6">
        <w:t>81</w:t>
      </w:r>
    </w:p>
    <w:p w14:paraId="4E05C417" w14:textId="77777777" w:rsidR="00E01A2D" w:rsidRDefault="00D27647" w:rsidP="00E01A2D">
      <w:r>
        <w:t xml:space="preserve">5.4 </w:t>
      </w:r>
      <w:r w:rsidR="004C7595">
        <w:tab/>
      </w:r>
      <w:r>
        <w:t xml:space="preserve">Certification, </w:t>
      </w:r>
      <w:r w:rsidR="008F0285">
        <w:t>a</w:t>
      </w:r>
      <w:r>
        <w:t xml:space="preserve">ccreditation, and </w:t>
      </w:r>
      <w:r w:rsidR="008F0285">
        <w:t>p</w:t>
      </w:r>
      <w:r>
        <w:t xml:space="preserve">ublic </w:t>
      </w:r>
      <w:r w:rsidR="008F0285">
        <w:t>p</w:t>
      </w:r>
      <w:r>
        <w:t xml:space="preserve">rotection: </w:t>
      </w:r>
      <w:r w:rsidR="00E01A2D">
        <w:t xml:space="preserve">McLachlin </w:t>
      </w:r>
      <w:r w:rsidR="008F0285">
        <w:t>m</w:t>
      </w:r>
      <w:r>
        <w:t>eets</w:t>
      </w:r>
    </w:p>
    <w:p w14:paraId="4E4087D6" w14:textId="01C866E2" w:rsidR="00723354" w:rsidRPr="00723354" w:rsidRDefault="00D27647" w:rsidP="00524E9B">
      <w:pPr>
        <w:ind w:firstLine="720"/>
        <w:rPr>
          <w:u w:val="single"/>
        </w:rPr>
      </w:pPr>
      <w:r>
        <w:t>MAID………………………………………………</w:t>
      </w:r>
      <w:r w:rsidR="00E01A2D">
        <w:t>............................</w:t>
      </w:r>
      <w:r>
        <w:t>..</w:t>
      </w:r>
      <w:r w:rsidR="004D098A">
        <w:t>.</w:t>
      </w:r>
      <w:r>
        <w:t>1</w:t>
      </w:r>
      <w:r w:rsidR="003A3CB6">
        <w:t>8</w:t>
      </w:r>
      <w:r w:rsidR="004D098A">
        <w:t>3</w:t>
      </w:r>
    </w:p>
    <w:p w14:paraId="1CA802A6" w14:textId="77777777" w:rsidR="00DB3E49" w:rsidRDefault="00DB3E49" w:rsidP="0033239F">
      <w:pPr>
        <w:rPr>
          <w:b/>
        </w:rPr>
      </w:pPr>
    </w:p>
    <w:p w14:paraId="747A4EFA" w14:textId="77777777" w:rsidR="00DB3E49" w:rsidRPr="008F0285" w:rsidRDefault="00DB3E49">
      <w:pPr>
        <w:rPr>
          <w:b/>
        </w:rPr>
      </w:pPr>
      <w:r>
        <w:rPr>
          <w:b/>
        </w:rPr>
        <w:br w:type="page"/>
      </w:r>
      <w:r w:rsidR="005F30C9" w:rsidRPr="008F0285">
        <w:rPr>
          <w:b/>
        </w:rPr>
        <w:lastRenderedPageBreak/>
        <w:t xml:space="preserve"> </w:t>
      </w:r>
    </w:p>
    <w:p w14:paraId="1334C143" w14:textId="77777777" w:rsidR="00DB3E49" w:rsidRPr="008F0285" w:rsidRDefault="00DB3E49" w:rsidP="00DB3E49">
      <w:pPr>
        <w:rPr>
          <w:u w:val="single"/>
        </w:rPr>
      </w:pPr>
      <w:r w:rsidRPr="008F0285">
        <w:rPr>
          <w:u w:val="single"/>
        </w:rPr>
        <w:t>Acknowledgements</w:t>
      </w:r>
    </w:p>
    <w:p w14:paraId="69E6E54E" w14:textId="77777777" w:rsidR="00DB3E49" w:rsidRPr="009377A9" w:rsidRDefault="00DB3E49" w:rsidP="00DB3E49"/>
    <w:p w14:paraId="59F7C37E" w14:textId="77777777" w:rsidR="00DB3E49" w:rsidRPr="009377A9" w:rsidRDefault="00DB3E49" w:rsidP="00DB3E49">
      <w:r w:rsidRPr="009377A9">
        <w:t xml:space="preserve">Morality as a Problem, from </w:t>
      </w:r>
      <w:r w:rsidRPr="009377A9">
        <w:rPr>
          <w:i/>
        </w:rPr>
        <w:t>The Gay Science</w:t>
      </w:r>
      <w:r w:rsidRPr="009377A9">
        <w:t>, Book V</w:t>
      </w:r>
    </w:p>
    <w:p w14:paraId="111390AB" w14:textId="77777777" w:rsidR="00DB3E49" w:rsidRPr="009377A9" w:rsidRDefault="00DB3E49" w:rsidP="00DB3E49"/>
    <w:p w14:paraId="36A1A612" w14:textId="77777777" w:rsidR="00DB3E49" w:rsidRPr="009377A9" w:rsidRDefault="00DB3E49" w:rsidP="00DB3E49">
      <w:pPr>
        <w:rPr>
          <w:i/>
        </w:rPr>
      </w:pPr>
      <w:r w:rsidRPr="009377A9">
        <w:rPr>
          <w:i/>
        </w:rPr>
        <w:t>It makes the most material difference whether a thinker stands personally related to his problems, having his fate, his need, and even his highest happiness therein; or merely impersonally, that is to say, if he can only feel and grasp them with the tentacles of cold, prying thought. In the latter case I warrant that nothing comes of it…How is it that I have not yet met with any one, not even in books, who seems to have stood to morality in this position, as one who knew morality as a problem, and this problem as his own personal need, affliction, pleasure and passion?</w:t>
      </w:r>
    </w:p>
    <w:p w14:paraId="726CD1FC" w14:textId="77777777" w:rsidR="00DB3E49" w:rsidRPr="009377A9" w:rsidRDefault="00DB3E49" w:rsidP="00DB3E49"/>
    <w:p w14:paraId="53C09B65" w14:textId="5DC173C9" w:rsidR="00723354" w:rsidRDefault="00DB3E49" w:rsidP="009377A9">
      <w:pPr>
        <w:ind w:firstLine="720"/>
      </w:pPr>
      <w:r w:rsidRPr="009377A9">
        <w:t>Nietzsche, despite his great accomplishments</w:t>
      </w:r>
      <w:r w:rsidR="00A45CA0">
        <w:t xml:space="preserve"> and influence</w:t>
      </w:r>
      <w:r w:rsidRPr="009377A9">
        <w:t xml:space="preserve">, seems to have moved in the unluckiest of circles. In the five hospital systems where I have </w:t>
      </w:r>
      <w:r w:rsidR="00141A5E">
        <w:t>served as a</w:t>
      </w:r>
      <w:r w:rsidR="008B4D82">
        <w:t xml:space="preserve"> practising healthcare </w:t>
      </w:r>
      <w:r w:rsidR="00141A5E">
        <w:t>ethicist</w:t>
      </w:r>
      <w:r w:rsidRPr="009377A9">
        <w:t xml:space="preserve">, I have had the pleasure of knowing many high-spirited (to use his felicitous phrase) women and men (patients, families, and professionals) for whom grappling with the problems of morality is a passion. I am deeply grateful for their companionship, past and present, and for the </w:t>
      </w:r>
      <w:r w:rsidR="00A45CA0">
        <w:t xml:space="preserve">countless </w:t>
      </w:r>
      <w:r w:rsidRPr="009377A9">
        <w:t>lessons that they have imparted.</w:t>
      </w:r>
    </w:p>
    <w:p w14:paraId="5596DD17" w14:textId="4F5A15EC" w:rsidR="004478ED" w:rsidRDefault="004478ED" w:rsidP="009377A9">
      <w:pPr>
        <w:ind w:firstLine="720"/>
      </w:pPr>
    </w:p>
    <w:p w14:paraId="060EA402" w14:textId="0FC6A8C5" w:rsidR="0076487B" w:rsidRDefault="004E30F7" w:rsidP="009377A9">
      <w:pPr>
        <w:ind w:firstLine="720"/>
      </w:pPr>
      <w:r>
        <w:t xml:space="preserve">For </w:t>
      </w:r>
      <w:r w:rsidR="008B4D82">
        <w:t>my</w:t>
      </w:r>
      <w:r>
        <w:t xml:space="preserve"> dissertation project </w:t>
      </w:r>
      <w:r w:rsidR="004478ED">
        <w:t xml:space="preserve">I am </w:t>
      </w:r>
      <w:r>
        <w:t xml:space="preserve">especially </w:t>
      </w:r>
      <w:r w:rsidR="003163C0">
        <w:t>indebted</w:t>
      </w:r>
      <w:r w:rsidR="004478ED">
        <w:t xml:space="preserve"> to those who have contributed to my academic development. Elisabeth Gedge, my PhD supervisor, </w:t>
      </w:r>
      <w:r w:rsidR="003163C0">
        <w:t xml:space="preserve">encouraged me to explore a path (bioethics) that I’d never imagined </w:t>
      </w:r>
      <w:r w:rsidR="008B4D82">
        <w:t>would be</w:t>
      </w:r>
      <w:r w:rsidR="003163C0">
        <w:t xml:space="preserve"> mine, and </w:t>
      </w:r>
      <w:r w:rsidR="008B4D82">
        <w:t xml:space="preserve">she graciously </w:t>
      </w:r>
      <w:r w:rsidR="004478ED">
        <w:t xml:space="preserve">welcomed me back to the </w:t>
      </w:r>
      <w:r w:rsidR="003163C0">
        <w:t>academic fold</w:t>
      </w:r>
      <w:r w:rsidR="004478ED">
        <w:t xml:space="preserve"> when I feared that was no longer possible. My committee</w:t>
      </w:r>
      <w:r>
        <w:t xml:space="preserve"> members,</w:t>
      </w:r>
      <w:r w:rsidR="0076487B">
        <w:t xml:space="preserve"> Wil</w:t>
      </w:r>
      <w:r>
        <w:t>frid</w:t>
      </w:r>
      <w:r w:rsidR="0076487B">
        <w:t xml:space="preserve"> Waluchow and Lisa Schwartz</w:t>
      </w:r>
      <w:r>
        <w:t>,</w:t>
      </w:r>
      <w:r w:rsidR="004478ED">
        <w:t xml:space="preserve"> showed great enthusiasm for a project that I feared </w:t>
      </w:r>
      <w:r w:rsidR="0076487B">
        <w:t>would</w:t>
      </w:r>
      <w:r w:rsidR="004478ED">
        <w:t xml:space="preserve"> interest only me</w:t>
      </w:r>
      <w:r w:rsidR="0076487B">
        <w:t>. Christ</w:t>
      </w:r>
      <w:r w:rsidR="004350DF">
        <w:t>y</w:t>
      </w:r>
      <w:bookmarkStart w:id="0" w:name="_GoBack"/>
      <w:bookmarkEnd w:id="0"/>
      <w:r w:rsidR="0076487B">
        <w:t xml:space="preserve"> Simpson proved to be a superb external reader and provided the bridge between town and gown that the work has always needed. </w:t>
      </w:r>
    </w:p>
    <w:p w14:paraId="0AFB83F9" w14:textId="77777777" w:rsidR="0076487B" w:rsidRDefault="0076487B" w:rsidP="009377A9">
      <w:pPr>
        <w:ind w:firstLine="720"/>
      </w:pPr>
    </w:p>
    <w:p w14:paraId="4E07EB01" w14:textId="53681A23" w:rsidR="004478ED" w:rsidRDefault="0076487B" w:rsidP="009377A9">
      <w:pPr>
        <w:ind w:firstLine="720"/>
      </w:pPr>
      <w:r>
        <w:t>Finally, I offer thanks to those with whom I currently work most closely</w:t>
      </w:r>
      <w:r w:rsidR="00147686">
        <w:t>;</w:t>
      </w:r>
      <w:r>
        <w:t xml:space="preserve"> that is, my </w:t>
      </w:r>
      <w:r w:rsidR="000E32B1">
        <w:t xml:space="preserve">wonderfully wise and supportive bioethics </w:t>
      </w:r>
      <w:r>
        <w:t>team members</w:t>
      </w:r>
      <w:r w:rsidR="000E32B1">
        <w:t xml:space="preserve"> (Andria, Bob, Daniel, Donna, Jen, Jed, Kevin, and Ruby), </w:t>
      </w:r>
      <w:r>
        <w:t>and my</w:t>
      </w:r>
      <w:r w:rsidR="000E32B1">
        <w:t xml:space="preserve"> ever-optimistic vice-president, Joy.</w:t>
      </w:r>
      <w:r>
        <w:t xml:space="preserve"> </w:t>
      </w:r>
      <w:r w:rsidR="003163C0">
        <w:t xml:space="preserve">Healthcare needs more like them. </w:t>
      </w:r>
      <w:r w:rsidR="000E32B1">
        <w:t xml:space="preserve"> </w:t>
      </w:r>
      <w:r>
        <w:t xml:space="preserve">       </w:t>
      </w:r>
      <w:r w:rsidR="004478ED">
        <w:t xml:space="preserve">  </w:t>
      </w:r>
    </w:p>
    <w:p w14:paraId="1F164C6F" w14:textId="77777777" w:rsidR="00723354" w:rsidRDefault="00723354">
      <w:r>
        <w:br w:type="page"/>
      </w:r>
    </w:p>
    <w:p w14:paraId="6A98B9CC" w14:textId="77777777" w:rsidR="003163C0" w:rsidRDefault="00883A6E" w:rsidP="004478ED">
      <w:pPr>
        <w:ind w:firstLine="720"/>
        <w:jc w:val="center"/>
        <w:rPr>
          <w:i/>
        </w:rPr>
      </w:pPr>
      <w:r w:rsidRPr="004478ED">
        <w:rPr>
          <w:i/>
        </w:rPr>
        <w:lastRenderedPageBreak/>
        <w:t>For Cornelius</w:t>
      </w:r>
    </w:p>
    <w:p w14:paraId="1198721A" w14:textId="68E7ED7D" w:rsidR="00883A6E" w:rsidRPr="004478ED" w:rsidRDefault="00883A6E" w:rsidP="004478ED">
      <w:pPr>
        <w:ind w:firstLine="720"/>
        <w:jc w:val="center"/>
        <w:rPr>
          <w:i/>
        </w:rPr>
      </w:pPr>
    </w:p>
    <w:p w14:paraId="357EF087" w14:textId="555AF996" w:rsidR="002B13CB" w:rsidRPr="00723354" w:rsidRDefault="00883A6E" w:rsidP="004478ED">
      <w:pPr>
        <w:ind w:firstLine="720"/>
        <w:jc w:val="center"/>
        <w:rPr>
          <w:rFonts w:eastAsia="Arial Unicode MS" w:hAnsi="Arial Unicode MS" w:cs="Arial Unicode MS"/>
          <w:u w:val="single"/>
        </w:rPr>
      </w:pPr>
      <w:r w:rsidRPr="004478ED">
        <w:rPr>
          <w:i/>
        </w:rPr>
        <w:t>Twenty years of talking past one another have made us kinder, clearer, and infinitely more patient</w:t>
      </w:r>
      <w:r w:rsidR="004478ED" w:rsidRPr="004478ED">
        <w:rPr>
          <w:i/>
        </w:rPr>
        <w:t xml:space="preserve"> with one another. Always becoming, yours…</w:t>
      </w:r>
      <w:r w:rsidRPr="004478ED">
        <w:rPr>
          <w:i/>
        </w:rPr>
        <w:t xml:space="preserve">   </w:t>
      </w:r>
      <w:r w:rsidR="002B13CB" w:rsidRPr="00723354">
        <w:rPr>
          <w:u w:val="single"/>
        </w:rPr>
        <w:br w:type="page"/>
      </w:r>
    </w:p>
    <w:p w14:paraId="61DE3957" w14:textId="77777777" w:rsidR="004E2B36" w:rsidRDefault="004E2B36">
      <w:pPr>
        <w:pStyle w:val="Body1"/>
        <w:rPr>
          <w:rFonts w:ascii="Times New Roman"/>
          <w:b/>
          <w:lang w:val="en-GB"/>
        </w:rPr>
        <w:sectPr w:rsidR="004E2B36" w:rsidSect="006C707C">
          <w:footerReference w:type="default" r:id="rId8"/>
          <w:footerReference w:type="first" r:id="rId9"/>
          <w:pgSz w:w="12240" w:h="15840"/>
          <w:pgMar w:top="2155" w:right="2155" w:bottom="1418" w:left="2155" w:header="720" w:footer="862" w:gutter="0"/>
          <w:pgNumType w:fmt="lowerRoman" w:start="1"/>
          <w:cols w:space="720"/>
          <w:titlePg/>
          <w:docGrid w:linePitch="326"/>
        </w:sectPr>
      </w:pPr>
    </w:p>
    <w:p w14:paraId="254AB7B1" w14:textId="77777777" w:rsidR="00C32E2A" w:rsidRPr="00C23895" w:rsidRDefault="006A73A5">
      <w:pPr>
        <w:pStyle w:val="Body1"/>
        <w:rPr>
          <w:rFonts w:ascii="Times New Roman" w:eastAsia="Times New Roman" w:hAnsi="Times New Roman" w:cs="Times New Roman"/>
          <w:u w:val="single"/>
          <w:lang w:val="en-GB"/>
        </w:rPr>
      </w:pPr>
      <w:r w:rsidRPr="00C23895">
        <w:rPr>
          <w:rFonts w:ascii="Times New Roman"/>
          <w:u w:val="single"/>
          <w:lang w:val="en-GB"/>
        </w:rPr>
        <w:lastRenderedPageBreak/>
        <w:t xml:space="preserve">Introduction </w:t>
      </w:r>
    </w:p>
    <w:p w14:paraId="3E75C928" w14:textId="77777777" w:rsidR="00C32E2A" w:rsidRPr="006A73A5" w:rsidRDefault="00C32E2A">
      <w:pPr>
        <w:pStyle w:val="Body1"/>
        <w:rPr>
          <w:rFonts w:ascii="Times New Roman" w:eastAsia="Times New Roman" w:hAnsi="Times New Roman" w:cs="Times New Roman"/>
          <w:lang w:val="en-GB"/>
        </w:rPr>
      </w:pPr>
    </w:p>
    <w:p w14:paraId="47B2E4CA"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Philosophers, theologians, and social scientists have been working alongside physicians, nurses</w:t>
      </w:r>
      <w:r w:rsidR="00717F92">
        <w:rPr>
          <w:rFonts w:ascii="Times New Roman"/>
          <w:lang w:val="en-GB"/>
        </w:rPr>
        <w:t>,</w:t>
      </w:r>
      <w:r w:rsidRPr="006A73A5">
        <w:rPr>
          <w:rFonts w:ascii="Times New Roman"/>
          <w:lang w:val="en-GB"/>
        </w:rPr>
        <w:t xml:space="preserve"> and other members of the traditional health care professions in hospitals, clinics, and long</w:t>
      </w:r>
      <w:r w:rsidR="00494F0C">
        <w:rPr>
          <w:rFonts w:ascii="Times New Roman"/>
          <w:lang w:val="en-GB"/>
        </w:rPr>
        <w:t>-</w:t>
      </w:r>
      <w:r w:rsidRPr="006A73A5">
        <w:rPr>
          <w:rFonts w:ascii="Times New Roman"/>
          <w:lang w:val="en-GB"/>
        </w:rPr>
        <w:t>term care facilities for at least fifty years. Their roles have not been strictly academic, although some of their responsibilities (teaching, researching, and</w:t>
      </w:r>
      <w:r w:rsidR="00401BB5">
        <w:rPr>
          <w:rFonts w:ascii="Times New Roman"/>
          <w:lang w:val="en-GB"/>
        </w:rPr>
        <w:t xml:space="preserve"> </w:t>
      </w:r>
      <w:r w:rsidRPr="006A73A5">
        <w:rPr>
          <w:rFonts w:ascii="Times New Roman"/>
          <w:lang w:val="en-GB"/>
        </w:rPr>
        <w:t>publishing) would be entirely familiar to their university</w:t>
      </w:r>
      <w:r w:rsidR="00666DEA">
        <w:rPr>
          <w:rFonts w:ascii="Times New Roman"/>
          <w:lang w:val="en-GB"/>
        </w:rPr>
        <w:t xml:space="preserve">-based </w:t>
      </w:r>
      <w:r w:rsidRPr="006A73A5">
        <w:rPr>
          <w:rFonts w:ascii="Times New Roman"/>
          <w:lang w:val="en-GB"/>
        </w:rPr>
        <w:t>colleagues. What sets them apart is the applied, indeed strikingly practical, nature of their work. Even when their projects touch on large theoretical problems, such as the nature of personhood</w:t>
      </w:r>
      <w:r w:rsidR="004A5470">
        <w:rPr>
          <w:rFonts w:ascii="Times New Roman"/>
          <w:lang w:val="en-GB"/>
        </w:rPr>
        <w:t>,</w:t>
      </w:r>
      <w:r w:rsidRPr="006A73A5">
        <w:rPr>
          <w:rFonts w:ascii="Times New Roman"/>
          <w:lang w:val="en-GB"/>
        </w:rPr>
        <w:t xml:space="preserve"> or the limits of individual liberty, they generally are motivated by pressing considerations such as an attempt to fill a gap in the policies of their home institutions or a desire to answer questions raised by specific patients or health care providers.</w:t>
      </w:r>
    </w:p>
    <w:p w14:paraId="34FFEA62"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This group, variously called bioethicists, clinical ethics consultants, practicing health care ethicists, or simply ethicists, is routinely involved in deliberations concerning some of the most controversial aspects of healthcare delivery. The topics they engage are wide-ranging and encompass questions such as when to withdraw life-sustaining treatment, whether consent to treatment or research participation must always be informed, and how to establish criteria for access to expensive but unfunded therapies. Given the high level of value disagreement that attends issues like these it is not surprising that those</w:t>
      </w:r>
      <w:r w:rsidR="00BB1A77">
        <w:rPr>
          <w:rFonts w:ascii="Times New Roman"/>
          <w:lang w:val="en-GB"/>
        </w:rPr>
        <w:t xml:space="preserve"> that I will call Practising Healthcare Ethicists (PHEs)</w:t>
      </w:r>
      <w:r w:rsidRPr="006A73A5">
        <w:rPr>
          <w:rFonts w:ascii="Times New Roman"/>
          <w:lang w:val="en-GB"/>
        </w:rPr>
        <w:t>, following the convention of the</w:t>
      </w:r>
      <w:r w:rsidR="00BB1A77">
        <w:rPr>
          <w:rFonts w:ascii="Times New Roman"/>
          <w:lang w:val="en-GB"/>
        </w:rPr>
        <w:t xml:space="preserve"> Canadian Association of Practising Healthcare Ethicists (CAPHE),</w:t>
      </w:r>
      <w:r w:rsidRPr="006A73A5">
        <w:rPr>
          <w:rFonts w:ascii="Times New Roman"/>
          <w:lang w:val="en-GB"/>
        </w:rPr>
        <w:t xml:space="preserve"> have been </w:t>
      </w:r>
      <w:r w:rsidRPr="006A73A5">
        <w:rPr>
          <w:rFonts w:ascii="Times New Roman"/>
          <w:lang w:val="en-GB"/>
        </w:rPr>
        <w:lastRenderedPageBreak/>
        <w:t xml:space="preserve">subject to sharp criticism. The </w:t>
      </w:r>
      <w:r w:rsidR="00401BB5" w:rsidRPr="006A73A5">
        <w:rPr>
          <w:rFonts w:ascii="Times New Roman"/>
          <w:lang w:val="en-GB"/>
        </w:rPr>
        <w:t xml:space="preserve">colourful labels that have been assigned to practitioners </w:t>
      </w:r>
      <w:r w:rsidR="00401BB5" w:rsidRPr="00401BB5">
        <w:rPr>
          <w:rFonts w:ascii="Times New Roman"/>
          <w:lang w:val="en-GB"/>
        </w:rPr>
        <w:t>a</w:t>
      </w:r>
      <w:r w:rsidR="00401BB5" w:rsidRPr="00757B67">
        <w:rPr>
          <w:rFonts w:ascii="Times New Roman"/>
          <w:lang w:val="en-GB"/>
        </w:rPr>
        <w:t>llude to</w:t>
      </w:r>
      <w:r w:rsidR="00401BB5" w:rsidRPr="006A73A5">
        <w:rPr>
          <w:rFonts w:ascii="Times New Roman"/>
          <w:lang w:val="en-GB"/>
        </w:rPr>
        <w:t xml:space="preserve"> the character of the concerns that have been raised by their critics</w:t>
      </w:r>
      <w:r w:rsidRPr="006A73A5">
        <w:rPr>
          <w:rFonts w:ascii="Times New Roman"/>
          <w:lang w:val="en-GB"/>
        </w:rPr>
        <w:t>. Names like "Secular Priests," "Philosopher Kings," "Wizards of Oughts" and "Ethical Experts" all invite scepticism and anxiety about the workings of a largely unknown and unregulated category of consultants whose very existence appears, paradoxically and simultaneously, to threaten the independence both of health care providers and of their patients.</w:t>
      </w:r>
      <w:r w:rsidR="006B7126">
        <w:rPr>
          <w:rStyle w:val="FootnoteReference"/>
          <w:rFonts w:ascii="Times New Roman"/>
          <w:lang w:val="en-GB"/>
        </w:rPr>
        <w:footnoteReference w:id="2"/>
      </w:r>
      <w:r w:rsidRPr="006A73A5">
        <w:rPr>
          <w:rFonts w:ascii="Times New Roman"/>
          <w:lang w:val="en-GB"/>
        </w:rPr>
        <w:t xml:space="preserve"> </w:t>
      </w:r>
    </w:p>
    <w:p w14:paraId="58CF72A3" w14:textId="17B8F31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An effort to disentangle the various threads </w:t>
      </w:r>
      <w:r w:rsidR="00FC0FCB">
        <w:rPr>
          <w:rFonts w:ascii="Times New Roman"/>
          <w:lang w:val="en-GB"/>
        </w:rPr>
        <w:t>that</w:t>
      </w:r>
      <w:r w:rsidRPr="006A73A5">
        <w:rPr>
          <w:rFonts w:ascii="Times New Roman"/>
          <w:lang w:val="en-GB"/>
        </w:rPr>
        <w:t xml:space="preserve"> make up the fabric of the charges against the field can be informative. Like garments designed to flatter the human form they are artful with respect to what they reveal and conceal. Although they can sound superficially the same, closer examination reveals at least three distinct types of objection to the presence of ethics consultants in health care. Their work is reputed to be </w:t>
      </w:r>
      <w:r w:rsidRPr="006A73A5">
        <w:rPr>
          <w:rFonts w:ascii="Times New Roman"/>
          <w:i/>
          <w:iCs/>
          <w:lang w:val="en-GB"/>
        </w:rPr>
        <w:t xml:space="preserve">compromised </w:t>
      </w:r>
      <w:r w:rsidRPr="006A73A5">
        <w:rPr>
          <w:rFonts w:ascii="Times New Roman"/>
          <w:lang w:val="en-GB"/>
        </w:rPr>
        <w:t xml:space="preserve">and ineffectual because it is situated in and dependent upon the very institutions it ought to critique (Carl Elliot); </w:t>
      </w:r>
      <w:r w:rsidRPr="006A73A5">
        <w:rPr>
          <w:rFonts w:ascii="Times New Roman"/>
          <w:i/>
          <w:iCs/>
          <w:lang w:val="en-GB"/>
        </w:rPr>
        <w:t>politicised</w:t>
      </w:r>
      <w:r w:rsidRPr="006A73A5">
        <w:rPr>
          <w:rFonts w:ascii="Times New Roman"/>
          <w:lang w:val="en-GB"/>
        </w:rPr>
        <w:t xml:space="preserve"> in a way that is elitist and anti-democratic (</w:t>
      </w:r>
      <w:r w:rsidR="00964516">
        <w:rPr>
          <w:rFonts w:ascii="Times New Roman"/>
          <w:lang w:val="en-GB"/>
        </w:rPr>
        <w:t>Carl Elliot, Tom Koch</w:t>
      </w:r>
      <w:r w:rsidRPr="006A73A5">
        <w:rPr>
          <w:rFonts w:ascii="Times New Roman"/>
          <w:lang w:val="en-GB"/>
        </w:rPr>
        <w:t xml:space="preserve">); and finally, irredeemably </w:t>
      </w:r>
      <w:r w:rsidRPr="006A73A5">
        <w:rPr>
          <w:rFonts w:ascii="Times New Roman"/>
          <w:i/>
          <w:iCs/>
          <w:lang w:val="en-GB"/>
        </w:rPr>
        <w:t>incoherent</w:t>
      </w:r>
      <w:r w:rsidRPr="006A73A5">
        <w:rPr>
          <w:rFonts w:ascii="Times New Roman"/>
          <w:lang w:val="en-GB"/>
        </w:rPr>
        <w:t xml:space="preserve"> in the context of value pluralism (Tristram Engelhardt Jr., Giles Scofield). Not surprisingly, each of these charges </w:t>
      </w:r>
      <w:r w:rsidRPr="006A73A5">
        <w:rPr>
          <w:rFonts w:ascii="Times New Roman"/>
          <w:lang w:val="en-GB"/>
        </w:rPr>
        <w:lastRenderedPageBreak/>
        <w:t xml:space="preserve">points to features of the practice that warrant greater attention than they are generally afforded. In the pages </w:t>
      </w:r>
      <w:r w:rsidR="00494F0C">
        <w:rPr>
          <w:rFonts w:ascii="Times New Roman"/>
          <w:lang w:val="en-GB"/>
        </w:rPr>
        <w:t>that</w:t>
      </w:r>
      <w:r w:rsidR="00742B74">
        <w:rPr>
          <w:rFonts w:ascii="Times New Roman"/>
          <w:lang w:val="en-GB"/>
        </w:rPr>
        <w:t xml:space="preserve"> follow I </w:t>
      </w:r>
      <w:r w:rsidRPr="006A73A5">
        <w:rPr>
          <w:rFonts w:ascii="Times New Roman"/>
          <w:lang w:val="en-GB"/>
        </w:rPr>
        <w:t xml:space="preserve">aim to address each of these in turn. </w:t>
      </w:r>
    </w:p>
    <w:p w14:paraId="296DCA88" w14:textId="2B2637E9"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My hope is that in </w:t>
      </w:r>
      <w:r w:rsidR="007C5B0E">
        <w:rPr>
          <w:rFonts w:ascii="Times New Roman"/>
          <w:lang w:val="en-GB"/>
        </w:rPr>
        <w:t xml:space="preserve">so </w:t>
      </w:r>
      <w:r w:rsidRPr="006A73A5">
        <w:rPr>
          <w:rFonts w:ascii="Times New Roman"/>
          <w:lang w:val="en-GB"/>
        </w:rPr>
        <w:t>doing I can tease out some of the subtleties that have been ignored in the rush to knit together an account of what can, at least from the outside, seem a more mysterious and exclusionary field than I believe it to be. I will argue that each of the charges that have been levelled against the practice of ethics consultation provides a thread that can be unravelled and re-knit into a more serious critique of the field</w:t>
      </w:r>
      <w:r w:rsidR="00E531B0">
        <w:rPr>
          <w:rFonts w:ascii="Times New Roman"/>
          <w:lang w:val="en-GB"/>
        </w:rPr>
        <w:t>,</w:t>
      </w:r>
      <w:r w:rsidRPr="006A73A5">
        <w:rPr>
          <w:rFonts w:ascii="Times New Roman"/>
          <w:lang w:val="en-GB"/>
        </w:rPr>
        <w:t xml:space="preserve"> a critique that provides both a threat and an opportunity for its practitioners. Most importantly, I want to suggest that to</w:t>
      </w:r>
      <w:r w:rsidR="00153858">
        <w:rPr>
          <w:rFonts w:ascii="Times New Roman"/>
          <w:lang w:val="en-GB"/>
        </w:rPr>
        <w:t xml:space="preserve"> </w:t>
      </w:r>
      <w:r w:rsidRPr="006A73A5">
        <w:rPr>
          <w:rFonts w:ascii="Times New Roman"/>
          <w:lang w:val="en-GB"/>
        </w:rPr>
        <w:t xml:space="preserve">date there has been no systematic attempt to supply an account of what I want </w:t>
      </w:r>
      <w:r w:rsidR="00D253FE">
        <w:rPr>
          <w:rFonts w:ascii="Times New Roman"/>
          <w:lang w:val="en-GB"/>
        </w:rPr>
        <w:t xml:space="preserve">to </w:t>
      </w:r>
      <w:r w:rsidRPr="006A73A5">
        <w:rPr>
          <w:rFonts w:ascii="Times New Roman"/>
          <w:lang w:val="en-GB"/>
        </w:rPr>
        <w:t xml:space="preserve">describe as theoretical disagreement in bioethics. Disagreement too often has been blithely glossed over as insignificant, or trivialized as partisan and irresolvable. This, however, </w:t>
      </w:r>
      <w:r w:rsidR="00FC0FCB">
        <w:rPr>
          <w:rFonts w:ascii="Times New Roman"/>
          <w:lang w:val="en-GB"/>
        </w:rPr>
        <w:t xml:space="preserve">is </w:t>
      </w:r>
      <w:r w:rsidRPr="006A73A5">
        <w:rPr>
          <w:rFonts w:ascii="Times New Roman"/>
          <w:lang w:val="en-GB"/>
        </w:rPr>
        <w:t xml:space="preserve">only part of the reason that health care ethics consultants are vulnerable to the charges that I describe above. In the pages to come I hope to demonstrate that the practice of ethics consultation can benefit greatly from a more critical reflection on the relationship between the theoretical and the practical dimensions of that work. Just as legal theorists can offer ways to understand and interpret the disparate elements that constitute judicial practice and decision-making, I want to argue that the work of academic bioethicists can contribute in more meaningful ways to the reasoning processes that are integral to the practice of ethicists working in healthcare settings. By this I do not mean to imply that the bedside or the boardroom ought to be, or even can be, transformed </w:t>
      </w:r>
      <w:r w:rsidRPr="006A73A5">
        <w:rPr>
          <w:rFonts w:ascii="Times New Roman"/>
          <w:lang w:val="en-GB"/>
        </w:rPr>
        <w:lastRenderedPageBreak/>
        <w:t>into something akin to a graduate seminar, and I certainly don't wish to suggest that consultants invoke abstruse conc</w:t>
      </w:r>
      <w:r w:rsidR="00441311">
        <w:rPr>
          <w:rFonts w:ascii="Times New Roman"/>
          <w:lang w:val="en-GB"/>
        </w:rPr>
        <w:t xml:space="preserve">epts or adopt a more </w:t>
      </w:r>
      <w:r w:rsidR="000053F7">
        <w:rPr>
          <w:rFonts w:ascii="Times New Roman"/>
          <w:lang w:val="en-GB"/>
        </w:rPr>
        <w:t>esoteric</w:t>
      </w:r>
      <w:r w:rsidRPr="006A73A5">
        <w:rPr>
          <w:rFonts w:ascii="Times New Roman"/>
          <w:lang w:val="en-GB"/>
        </w:rPr>
        <w:t xml:space="preserve"> vocabulary when interacting with clinical colleagues, health care managers, or the patients and families that they serve. On the contrary, </w:t>
      </w:r>
      <w:r w:rsidR="00F97C8B">
        <w:rPr>
          <w:rFonts w:ascii="Times New Roman"/>
          <w:lang w:val="en-GB"/>
        </w:rPr>
        <w:t xml:space="preserve">I believe that </w:t>
      </w:r>
      <w:r w:rsidRPr="006A73A5">
        <w:rPr>
          <w:rFonts w:ascii="Times New Roman"/>
          <w:lang w:val="en-GB"/>
        </w:rPr>
        <w:t>much of the applied ethicist's work, like that of the practicing lawyer, police</w:t>
      </w:r>
      <w:r w:rsidR="007F52DD">
        <w:rPr>
          <w:rFonts w:ascii="Times New Roman"/>
          <w:lang w:val="en-GB"/>
        </w:rPr>
        <w:t xml:space="preserve"> officer</w:t>
      </w:r>
      <w:r w:rsidRPr="006A73A5">
        <w:rPr>
          <w:rFonts w:ascii="Times New Roman"/>
          <w:lang w:val="en-GB"/>
        </w:rPr>
        <w:t>, or ordinary citizen, does not require an explicit effort to parse the meaning</w:t>
      </w:r>
      <w:r w:rsidR="00E531B0">
        <w:rPr>
          <w:rFonts w:ascii="Times New Roman"/>
          <w:lang w:val="en-GB"/>
        </w:rPr>
        <w:t>s</w:t>
      </w:r>
      <w:r w:rsidRPr="006A73A5">
        <w:rPr>
          <w:rFonts w:ascii="Times New Roman"/>
          <w:lang w:val="en-GB"/>
        </w:rPr>
        <w:t xml:space="preserve"> of the words and concepts that they use</w:t>
      </w:r>
      <w:r w:rsidR="00F97C8B">
        <w:rPr>
          <w:rFonts w:ascii="Times New Roman"/>
          <w:lang w:val="en-GB"/>
        </w:rPr>
        <w:t>,</w:t>
      </w:r>
      <w:r w:rsidRPr="006A73A5">
        <w:rPr>
          <w:rFonts w:ascii="Times New Roman"/>
          <w:lang w:val="en-GB"/>
        </w:rPr>
        <w:t xml:space="preserve"> or a conscious attempt to delineate the limits to their application. When clinicians indicate that a patient's consent has been obtained it will not always, or often, be an occasion to ponder freedom of the will or the continuity of the self over time. When life-saving interventions are performed in our emergency rooms and operating theatres it is rare, at least in the Canadian context, to raise questions about the obligations of a community to its members or, more complex yet, questions about the nature of community and the conditions for membership.</w:t>
      </w:r>
      <w:r w:rsidRPr="006A73A5">
        <w:rPr>
          <w:rFonts w:ascii="Times New Roman" w:eastAsia="Times New Roman" w:hAnsi="Times New Roman" w:cs="Times New Roman"/>
          <w:vertAlign w:val="superscript"/>
          <w:lang w:val="en-GB"/>
        </w:rPr>
        <w:footnoteReference w:id="3"/>
      </w:r>
    </w:p>
    <w:p w14:paraId="73FF8BC9"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lastRenderedPageBreak/>
        <w:t xml:space="preserve">Of course, hard cases do arise in health care and they demand extra effort of those involved in decision-making processes. It's not self-evident that consent is valid when a patient is overwhelmed with anxiety, in pain, or under any other form of duress, and it is not obvious that exorbitantly priced but efficacious treatments should be supplied, or even offered, to all who might derive some benefit from them. Health care ethics consultants are often called upon </w:t>
      </w:r>
      <w:r w:rsidR="00F97C8B">
        <w:rPr>
          <w:rFonts w:ascii="Times New Roman"/>
          <w:lang w:val="en-GB"/>
        </w:rPr>
        <w:t xml:space="preserve">to provide advice </w:t>
      </w:r>
      <w:r w:rsidRPr="006A73A5">
        <w:rPr>
          <w:rFonts w:ascii="Times New Roman"/>
          <w:lang w:val="en-GB"/>
        </w:rPr>
        <w:t>in cases like these because the stakes are high, the way forward is unclear, and stakeholders are at a loss or in a state of disagreement. It should not be surprising, therefore, that their involvement attracts controversy. Easy cases are decided without them</w:t>
      </w:r>
      <w:r w:rsidR="007F52DD">
        <w:rPr>
          <w:rFonts w:ascii="Times New Roman"/>
          <w:lang w:val="en-GB"/>
        </w:rPr>
        <w:t>, c</w:t>
      </w:r>
      <w:r w:rsidRPr="006A73A5">
        <w:rPr>
          <w:rFonts w:ascii="Times New Roman"/>
          <w:lang w:val="en-GB"/>
        </w:rPr>
        <w:t>ontentious cases are their proverbial bread and butter</w:t>
      </w:r>
      <w:r w:rsidR="007F52DD">
        <w:rPr>
          <w:rFonts w:ascii="Times New Roman"/>
          <w:lang w:val="en-GB"/>
        </w:rPr>
        <w:t>, a</w:t>
      </w:r>
      <w:r w:rsidRPr="006A73A5">
        <w:rPr>
          <w:rFonts w:ascii="Times New Roman"/>
          <w:lang w:val="en-GB"/>
        </w:rPr>
        <w:t>nd some of the most challenging cases attract considerable media attention</w:t>
      </w:r>
      <w:r w:rsidR="00E531B0">
        <w:rPr>
          <w:rFonts w:ascii="Times New Roman"/>
          <w:lang w:val="en-GB"/>
        </w:rPr>
        <w:t>,</w:t>
      </w:r>
      <w:r w:rsidRPr="006A73A5">
        <w:rPr>
          <w:rFonts w:ascii="Times New Roman"/>
          <w:lang w:val="en-GB"/>
        </w:rPr>
        <w:t xml:space="preserve"> and give courts and lobbyists ample work to do too.</w:t>
      </w:r>
      <w:r w:rsidRPr="006A73A5">
        <w:rPr>
          <w:rFonts w:ascii="Times New Roman" w:eastAsia="Times New Roman" w:hAnsi="Times New Roman" w:cs="Times New Roman"/>
          <w:vertAlign w:val="superscript"/>
          <w:lang w:val="en-GB"/>
        </w:rPr>
        <w:footnoteReference w:id="4"/>
      </w:r>
    </w:p>
    <w:p w14:paraId="2DA289B1" w14:textId="77777777" w:rsidR="00C32E2A" w:rsidRPr="006A73A5" w:rsidRDefault="006A73A5" w:rsidP="00097BD1">
      <w:pPr>
        <w:pStyle w:val="Body1"/>
        <w:spacing w:line="480" w:lineRule="auto"/>
        <w:ind w:firstLine="720"/>
        <w:rPr>
          <w:rFonts w:ascii="Times New Roman" w:eastAsia="Times New Roman" w:hAnsi="Times New Roman" w:cs="Times New Roman"/>
          <w:lang w:val="en-GB"/>
        </w:rPr>
      </w:pPr>
      <w:r w:rsidRPr="006A73A5">
        <w:rPr>
          <w:rFonts w:ascii="Times New Roman"/>
          <w:lang w:val="en-GB"/>
        </w:rPr>
        <w:t>In North America all, or nearly all academically</w:t>
      </w:r>
      <w:r w:rsidR="00742B74">
        <w:rPr>
          <w:rFonts w:ascii="Times New Roman"/>
          <w:lang w:val="en-GB"/>
        </w:rPr>
        <w:t>-</w:t>
      </w:r>
      <w:r w:rsidRPr="006A73A5">
        <w:rPr>
          <w:rFonts w:ascii="Times New Roman"/>
          <w:lang w:val="en-GB"/>
        </w:rPr>
        <w:t xml:space="preserve">affiliated hospitals employ a </w:t>
      </w:r>
      <w:r w:rsidR="0009141A">
        <w:rPr>
          <w:rFonts w:ascii="Times New Roman"/>
          <w:lang w:val="en-GB"/>
        </w:rPr>
        <w:t xml:space="preserve">practicing healthcare </w:t>
      </w:r>
      <w:r w:rsidRPr="006A73A5">
        <w:rPr>
          <w:rFonts w:ascii="Times New Roman"/>
          <w:lang w:val="en-GB"/>
        </w:rPr>
        <w:t>ethic</w:t>
      </w:r>
      <w:r w:rsidR="0009141A">
        <w:rPr>
          <w:rFonts w:ascii="Times New Roman"/>
          <w:lang w:val="en-GB"/>
        </w:rPr>
        <w:t>i</w:t>
      </w:r>
      <w:r w:rsidRPr="006A73A5">
        <w:rPr>
          <w:rFonts w:ascii="Times New Roman"/>
          <w:lang w:val="en-GB"/>
        </w:rPr>
        <w:t>s</w:t>
      </w:r>
      <w:r w:rsidR="0009141A">
        <w:rPr>
          <w:rFonts w:ascii="Times New Roman"/>
          <w:lang w:val="en-GB"/>
        </w:rPr>
        <w:t>t</w:t>
      </w:r>
      <w:r w:rsidRPr="006A73A5">
        <w:rPr>
          <w:rFonts w:ascii="Times New Roman"/>
          <w:lang w:val="en-GB"/>
        </w:rPr>
        <w:t xml:space="preserve"> (or </w:t>
      </w:r>
      <w:r w:rsidR="0009141A">
        <w:rPr>
          <w:rFonts w:ascii="Times New Roman"/>
          <w:lang w:val="en-GB"/>
        </w:rPr>
        <w:t>ethicists</w:t>
      </w:r>
      <w:r w:rsidRPr="006A73A5">
        <w:rPr>
          <w:rFonts w:ascii="Times New Roman"/>
          <w:lang w:val="en-GB"/>
        </w:rPr>
        <w:t>),</w:t>
      </w:r>
      <w:r w:rsidRPr="006A73A5">
        <w:rPr>
          <w:rFonts w:ascii="Times New Roman" w:eastAsia="Times New Roman" w:hAnsi="Times New Roman" w:cs="Times New Roman"/>
          <w:vertAlign w:val="superscript"/>
          <w:lang w:val="en-GB"/>
        </w:rPr>
        <w:footnoteReference w:id="5"/>
      </w:r>
      <w:r w:rsidRPr="006A73A5">
        <w:rPr>
          <w:rFonts w:ascii="Times New Roman"/>
          <w:lang w:val="en-GB"/>
        </w:rPr>
        <w:t xml:space="preserve"> yet the role remains poorly understood by many of its champions as well as its critics. Whilst there is a </w:t>
      </w:r>
      <w:r w:rsidRPr="006A73A5">
        <w:rPr>
          <w:rFonts w:ascii="Times New Roman"/>
          <w:lang w:val="en-GB"/>
        </w:rPr>
        <w:lastRenderedPageBreak/>
        <w:t xml:space="preserve">strong, and growing, momentum to professionalize the field (core competencies, practice standards, qualification tests, and codes of ethics are being developed and refined as I write), it is still reasonable to say that those who use the services of practicing healthcare ethicists often remain unclear about what they can expect from practitioners (conceptual clarification, mediation, advice, direction, or some combination thereof) and what warrant they have for the work that they do. </w:t>
      </w:r>
    </w:p>
    <w:p w14:paraId="4F8925E3" w14:textId="765ABFA6" w:rsidR="00C32E2A" w:rsidRPr="00EA3B2C" w:rsidRDefault="006A73A5" w:rsidP="00EA3B2C">
      <w:pPr>
        <w:pStyle w:val="Body1"/>
        <w:spacing w:line="480" w:lineRule="auto"/>
        <w:ind w:firstLine="720"/>
        <w:rPr>
          <w:rFonts w:ascii="Times New Roman"/>
          <w:lang w:val="en-GB"/>
        </w:rPr>
      </w:pPr>
      <w:r w:rsidRPr="006A73A5">
        <w:rPr>
          <w:rFonts w:ascii="Times New Roman"/>
          <w:lang w:val="en-GB"/>
        </w:rPr>
        <w:t>In the chapters that follow I will attempt to reconstruct the critiques of some of the field</w:t>
      </w:r>
      <w:r w:rsidRPr="006A73A5">
        <w:rPr>
          <w:rFonts w:hAnsi="Times New Roman"/>
          <w:lang w:val="en-GB"/>
        </w:rPr>
        <w:t>’</w:t>
      </w:r>
      <w:r w:rsidRPr="006A73A5">
        <w:rPr>
          <w:rFonts w:ascii="Times New Roman"/>
          <w:lang w:val="en-GB"/>
        </w:rPr>
        <w:t xml:space="preserve">s most vocal critics and try to highlight the main strengths and limitations of their objections. In an effort to show what is at stake in these arguments I will describe the current state of health care ethics consultation and will pay particular attention to the renewed and growing enthusiasm for transforming the work of its practitioners into a regulated health profession. Ultimately, however, I hope to persuade the reader that a vigorous and defensible account of the field is yet to come. My penultimate chapter will call for an account of clinical ethics consultation that draws upon a conviction that the practice must be understood as interpretive, political - albeit in a non-partisan way - and, when done well, scrupulously fair. These chapters will be necessary preparatory work for what I take to be the point of this project; that is, to offer an explanation of </w:t>
      </w:r>
      <w:r w:rsidR="00742B74">
        <w:rPr>
          <w:rFonts w:ascii="Times New Roman"/>
          <w:lang w:val="en-GB"/>
        </w:rPr>
        <w:t xml:space="preserve">why competent, careful, practising healthcare </w:t>
      </w:r>
      <w:r w:rsidRPr="006A73A5">
        <w:rPr>
          <w:rFonts w:ascii="Times New Roman"/>
          <w:lang w:val="en-GB"/>
        </w:rPr>
        <w:t>ethic</w:t>
      </w:r>
      <w:r w:rsidR="00742B74">
        <w:rPr>
          <w:rFonts w:ascii="Times New Roman"/>
          <w:lang w:val="en-GB"/>
        </w:rPr>
        <w:t>i</w:t>
      </w:r>
      <w:r w:rsidRPr="006A73A5">
        <w:rPr>
          <w:rFonts w:ascii="Times New Roman"/>
          <w:lang w:val="en-GB"/>
        </w:rPr>
        <w:t>s</w:t>
      </w:r>
      <w:r w:rsidR="00742B74">
        <w:rPr>
          <w:rFonts w:ascii="Times New Roman"/>
          <w:lang w:val="en-GB"/>
        </w:rPr>
        <w:t>ts</w:t>
      </w:r>
      <w:r w:rsidRPr="006A73A5">
        <w:rPr>
          <w:rFonts w:ascii="Times New Roman"/>
          <w:lang w:val="en-GB"/>
        </w:rPr>
        <w:t xml:space="preserve"> </w:t>
      </w:r>
      <w:r w:rsidR="00875D8C">
        <w:rPr>
          <w:rFonts w:ascii="Times New Roman"/>
          <w:lang w:val="en-GB"/>
        </w:rPr>
        <w:t>sometimes</w:t>
      </w:r>
      <w:r w:rsidRPr="006A73A5">
        <w:rPr>
          <w:rFonts w:ascii="Times New Roman"/>
          <w:lang w:val="en-GB"/>
        </w:rPr>
        <w:t xml:space="preserve"> disagree in difficult cases. This is what I described as "theoretical disagreement" earlier on, and it borrows from the insight of the late legal theorist Ronald Dworkin who famously observed that there are two main ways that lawyers and </w:t>
      </w:r>
      <w:r w:rsidRPr="006A73A5">
        <w:rPr>
          <w:rFonts w:ascii="Times New Roman"/>
          <w:lang w:val="en-GB"/>
        </w:rPr>
        <w:lastRenderedPageBreak/>
        <w:t>judges, as well as ordinary citizens, can disagree about "propositions of law."</w:t>
      </w:r>
      <w:r w:rsidRPr="006A73A5">
        <w:rPr>
          <w:rFonts w:ascii="Times New Roman" w:eastAsia="Times New Roman" w:hAnsi="Times New Roman" w:cs="Times New Roman"/>
          <w:vertAlign w:val="superscript"/>
          <w:lang w:val="en-GB"/>
        </w:rPr>
        <w:footnoteReference w:id="6"/>
      </w:r>
      <w:r w:rsidRPr="006A73A5">
        <w:rPr>
          <w:rFonts w:ascii="Times New Roman"/>
          <w:lang w:val="en-GB"/>
        </w:rPr>
        <w:t xml:space="preserve"> On his account, which I will draw upon quite heavily, disagreements may be empirical or theoretical in nature. Empirical disagreement, simply put, refers to those disagreements concerning factual matters such as whether there is a statute or prior legal judgment </w:t>
      </w:r>
      <w:r w:rsidR="00494F0C">
        <w:rPr>
          <w:rFonts w:ascii="Times New Roman"/>
          <w:lang w:val="en-GB"/>
        </w:rPr>
        <w:t>that</w:t>
      </w:r>
      <w:r w:rsidRPr="006A73A5">
        <w:rPr>
          <w:rFonts w:ascii="Times New Roman"/>
          <w:lang w:val="en-GB"/>
        </w:rPr>
        <w:t xml:space="preserve"> is applicable to a case under consideration. These sorts of disagreements generally can be settled swiftly through reference to authoritative texts. In Ontario, for example, those wanting to resolve an argument about who is the legally authorised decision-maker for an incapacitated patient need only look to the hierarchy of decision makers listed in the province's </w:t>
      </w:r>
      <w:r w:rsidRPr="006A73A5">
        <w:rPr>
          <w:rFonts w:ascii="Times New Roman"/>
          <w:i/>
          <w:iCs/>
          <w:lang w:val="en-GB"/>
        </w:rPr>
        <w:t>Health Care Consent Act</w:t>
      </w:r>
      <w:r w:rsidRPr="006A73A5">
        <w:rPr>
          <w:rFonts w:ascii="Times New Roman"/>
          <w:lang w:val="en-GB"/>
        </w:rPr>
        <w:t>.</w:t>
      </w:r>
      <w:r w:rsidRPr="006A73A5">
        <w:rPr>
          <w:rFonts w:ascii="Times New Roman" w:eastAsia="Times New Roman" w:hAnsi="Times New Roman" w:cs="Times New Roman"/>
          <w:vertAlign w:val="superscript"/>
          <w:lang w:val="en-GB"/>
        </w:rPr>
        <w:footnoteReference w:id="7"/>
      </w:r>
      <w:r w:rsidRPr="006A73A5">
        <w:rPr>
          <w:rFonts w:ascii="Times New Roman"/>
          <w:lang w:val="en-GB"/>
        </w:rPr>
        <w:t xml:space="preserve"> Theoretical disagreement, on the other hand, can persist even after the statute books have been competently and thoroughly reviewed and understood. This is because theoretical disagreement finds its roots in value-laden questions related to </w:t>
      </w:r>
      <w:r w:rsidR="0087459B">
        <w:rPr>
          <w:rFonts w:ascii="Times New Roman"/>
          <w:lang w:val="en-GB"/>
        </w:rPr>
        <w:t xml:space="preserve">both </w:t>
      </w:r>
      <w:r w:rsidRPr="006A73A5">
        <w:rPr>
          <w:rFonts w:ascii="Times New Roman"/>
          <w:lang w:val="en-GB"/>
        </w:rPr>
        <w:t xml:space="preserve">the grounds and the force of law. To return to our earlier example, there is no canonical text and no applicable statute, which can tell our disputants why or whether the sorts of decision makers identified by the </w:t>
      </w:r>
      <w:r w:rsidRPr="006A73A5">
        <w:rPr>
          <w:rFonts w:ascii="Times New Roman"/>
          <w:i/>
          <w:iCs/>
          <w:lang w:val="en-GB"/>
        </w:rPr>
        <w:t>Act</w:t>
      </w:r>
      <w:r w:rsidRPr="006A73A5">
        <w:rPr>
          <w:rFonts w:ascii="Times New Roman"/>
          <w:lang w:val="en-GB"/>
        </w:rPr>
        <w:t xml:space="preserve"> ought to be given the power to decide for others. The answers to these s</w:t>
      </w:r>
      <w:r w:rsidR="00196DA9">
        <w:rPr>
          <w:rFonts w:ascii="Times New Roman"/>
          <w:lang w:val="en-GB"/>
        </w:rPr>
        <w:t>orts</w:t>
      </w:r>
      <w:r w:rsidRPr="006A73A5">
        <w:rPr>
          <w:rFonts w:ascii="Times New Roman"/>
          <w:lang w:val="en-GB"/>
        </w:rPr>
        <w:t xml:space="preserve"> of questions may be inferred from a reading of the </w:t>
      </w:r>
      <w:r w:rsidR="00AF2397" w:rsidRPr="007A2F2D">
        <w:rPr>
          <w:rFonts w:ascii="Times New Roman"/>
          <w:i/>
          <w:lang w:val="en-GB"/>
        </w:rPr>
        <w:t>Health Care Consent</w:t>
      </w:r>
      <w:r w:rsidR="00AF2397">
        <w:rPr>
          <w:rFonts w:ascii="Times New Roman"/>
          <w:lang w:val="en-GB"/>
        </w:rPr>
        <w:t xml:space="preserve"> </w:t>
      </w:r>
      <w:r w:rsidRPr="006A73A5">
        <w:rPr>
          <w:rFonts w:ascii="Times New Roman"/>
          <w:i/>
          <w:iCs/>
          <w:lang w:val="en-GB"/>
        </w:rPr>
        <w:t>Act</w:t>
      </w:r>
      <w:r w:rsidRPr="006A73A5">
        <w:rPr>
          <w:rFonts w:ascii="Times New Roman"/>
          <w:lang w:val="en-GB"/>
        </w:rPr>
        <w:t xml:space="preserve">, or by parsing </w:t>
      </w:r>
      <w:r w:rsidRPr="006A73A5">
        <w:rPr>
          <w:rFonts w:ascii="Times New Roman"/>
          <w:lang w:val="en-GB"/>
        </w:rPr>
        <w:lastRenderedPageBreak/>
        <w:t>arguments made in other legal sources such as the rulings of Ontario</w:t>
      </w:r>
      <w:r w:rsidRPr="006A73A5">
        <w:rPr>
          <w:rFonts w:hAnsi="Times New Roman"/>
          <w:lang w:val="en-GB"/>
        </w:rPr>
        <w:t>’</w:t>
      </w:r>
      <w:r w:rsidRPr="006A73A5">
        <w:rPr>
          <w:rFonts w:ascii="Times New Roman"/>
          <w:lang w:val="en-GB"/>
        </w:rPr>
        <w:t xml:space="preserve">s Consent and Capacity Board hearings, but they are different in kind and answering them requires interpretive effort. That effort, moreover, will frequently entail reflection on the relative weight of various legal and ethical principles - weight </w:t>
      </w:r>
      <w:r w:rsidR="00494F0C" w:rsidRPr="006A73A5">
        <w:rPr>
          <w:rFonts w:ascii="Times New Roman"/>
          <w:lang w:val="en-GB"/>
        </w:rPr>
        <w:t>that</w:t>
      </w:r>
      <w:r w:rsidRPr="006A73A5">
        <w:rPr>
          <w:rFonts w:ascii="Times New Roman"/>
          <w:lang w:val="en-GB"/>
        </w:rPr>
        <w:t xml:space="preserve"> will vary depending on the particulars of individual cases and the values of their interpreters. This story, however, is a complex one which will unfold over the course of the </w:t>
      </w:r>
      <w:r w:rsidR="00494F0C" w:rsidRPr="006A73A5">
        <w:rPr>
          <w:rFonts w:ascii="Times New Roman"/>
          <w:lang w:val="en-GB"/>
        </w:rPr>
        <w:t>pages that</w:t>
      </w:r>
      <w:r w:rsidRPr="006A73A5">
        <w:rPr>
          <w:rFonts w:ascii="Times New Roman"/>
          <w:lang w:val="en-GB"/>
        </w:rPr>
        <w:t xml:space="preserve"> follow. At this point, suffice it to say that I believe that health care ethics consultation</w:t>
      </w:r>
      <w:r w:rsidR="00BC1F8C">
        <w:rPr>
          <w:rFonts w:ascii="Times New Roman"/>
          <w:lang w:val="en-GB"/>
        </w:rPr>
        <w:t xml:space="preserve">, </w:t>
      </w:r>
      <w:r w:rsidRPr="006A73A5">
        <w:rPr>
          <w:rFonts w:ascii="Times New Roman"/>
          <w:lang w:val="en-GB"/>
        </w:rPr>
        <w:t xml:space="preserve">although in </w:t>
      </w:r>
      <w:r w:rsidR="00E531B0">
        <w:rPr>
          <w:rFonts w:ascii="Times New Roman"/>
          <w:lang w:val="en-GB"/>
        </w:rPr>
        <w:t xml:space="preserve">some </w:t>
      </w:r>
      <w:r w:rsidRPr="006A73A5">
        <w:rPr>
          <w:rFonts w:ascii="Times New Roman"/>
          <w:lang w:val="en-GB"/>
        </w:rPr>
        <w:t>ways very different from jurisprudence</w:t>
      </w:r>
      <w:r w:rsidR="00BC1F8C">
        <w:rPr>
          <w:rFonts w:ascii="Times New Roman"/>
          <w:lang w:val="en-GB"/>
        </w:rPr>
        <w:t>,</w:t>
      </w:r>
      <w:r w:rsidRPr="006A73A5">
        <w:rPr>
          <w:rFonts w:ascii="Times New Roman"/>
          <w:lang w:val="en-GB"/>
        </w:rPr>
        <w:t xml:space="preserve"> demands of its practitioners an ability to gather together the relevant clinical and contextual features of a patient's case (including relevant laws, policies</w:t>
      </w:r>
      <w:r w:rsidR="00E531B0">
        <w:rPr>
          <w:rFonts w:ascii="Times New Roman"/>
          <w:lang w:val="en-GB"/>
        </w:rPr>
        <w:t>,</w:t>
      </w:r>
      <w:r w:rsidRPr="006A73A5">
        <w:rPr>
          <w:rFonts w:ascii="Times New Roman"/>
          <w:lang w:val="en-GB"/>
        </w:rPr>
        <w:t xml:space="preserve"> and local conventions including the so-called standard of care) as well as the multiple </w:t>
      </w:r>
      <w:r w:rsidR="000053F7">
        <w:rPr>
          <w:rFonts w:ascii="Times New Roman"/>
          <w:lang w:val="en-GB"/>
        </w:rPr>
        <w:t xml:space="preserve">preferences, </w:t>
      </w:r>
      <w:r w:rsidRPr="006A73A5">
        <w:rPr>
          <w:rFonts w:ascii="Times New Roman"/>
          <w:lang w:val="en-GB"/>
        </w:rPr>
        <w:t>values, principles, and theoretical approaches that are relevant to a resolution of the question, or questions, it has prompted. Although I have never heard it described in this way, these cases can give rise to either empirical or theoretical disagreement (or both simultaneously) and an awareness of the distinction between the two has the potential to clarify what is at issue when parties disagree.</w:t>
      </w:r>
    </w:p>
    <w:p w14:paraId="5B7F6675" w14:textId="2B9C059A" w:rsidR="00C32E2A" w:rsidRPr="00021B84" w:rsidRDefault="006A73A5" w:rsidP="00021B84">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Given my indebtedness to </w:t>
      </w:r>
      <w:r w:rsidR="00A5334B">
        <w:rPr>
          <w:rFonts w:ascii="Times New Roman"/>
          <w:lang w:val="en-GB"/>
        </w:rPr>
        <w:t xml:space="preserve">the work of </w:t>
      </w:r>
      <w:r w:rsidRPr="006A73A5">
        <w:rPr>
          <w:rFonts w:ascii="Times New Roman"/>
          <w:lang w:val="en-GB"/>
        </w:rPr>
        <w:t xml:space="preserve">Ronald Dworkin (and to </w:t>
      </w:r>
      <w:r w:rsidR="00A5334B">
        <w:rPr>
          <w:rFonts w:ascii="Times New Roman"/>
          <w:lang w:val="en-GB"/>
        </w:rPr>
        <w:t>its</w:t>
      </w:r>
      <w:r w:rsidRPr="006A73A5">
        <w:rPr>
          <w:rFonts w:ascii="Times New Roman"/>
          <w:lang w:val="en-GB"/>
        </w:rPr>
        <w:t xml:space="preserve"> subsequent critics and defenders) it may come as no surprise that I will conclude my project with a modest attempt to defend an egalitarian liberal account of the </w:t>
      </w:r>
      <w:r w:rsidRPr="006A73A5">
        <w:rPr>
          <w:rFonts w:ascii="Times New Roman"/>
          <w:lang w:val="en-GB"/>
        </w:rPr>
        <w:lastRenderedPageBreak/>
        <w:t>aims of clinical ethics consultation</w:t>
      </w:r>
      <w:r w:rsidR="0087459B">
        <w:rPr>
          <w:rStyle w:val="FootnoteReference"/>
          <w:rFonts w:ascii="Times New Roman"/>
          <w:lang w:val="en-GB"/>
        </w:rPr>
        <w:footnoteReference w:id="8"/>
      </w:r>
      <w:r w:rsidRPr="006A73A5">
        <w:rPr>
          <w:rFonts w:ascii="Times New Roman"/>
          <w:lang w:val="en-GB"/>
        </w:rPr>
        <w:t xml:space="preserve">. Many readers would not endorse that particular interpretation of the practice, but I shall be content if they can concede the point that this is a viable alternative to the way the practice is described (or mis-described) by many of its most vocal critics and supporters. Given that the field is at least a half-century into its development, it seems reasonable to suppose that health care ethics consultants will have competing accounts or conceptions of the practice. Indeed, because practitioners come to their work from diverse home disciplines, possess a wide range of value-orientations and life experiences, and are routinely expected to weigh-in on questions that are the most contested in our, or any, society, it may seem surprising to suppose that they share a practice at all. My first chapter, therefore, will serve as a brief overview of the current state of the field. (My emphasis is on the North American context because health care ethics consultation is </w:t>
      </w:r>
      <w:r w:rsidR="00494F0C" w:rsidRPr="006A73A5">
        <w:rPr>
          <w:rFonts w:ascii="Times New Roman"/>
          <w:lang w:val="en-GB"/>
        </w:rPr>
        <w:t>well established</w:t>
      </w:r>
      <w:r w:rsidRPr="006A73A5">
        <w:rPr>
          <w:rFonts w:ascii="Times New Roman"/>
          <w:lang w:val="en-GB"/>
        </w:rPr>
        <w:t xml:space="preserve"> here and is amply described in a burgeoning academic and professional literature.) It will offer a preliminary answer to the provocative question raised by one of the Canadian pioneers of the field, Professor William (Bill) Harvey: What are we doing when we are doing what we are doing? My hope is to push further yet, and by the conclusion of this project, propose an answer to a question that I think he believes is implicit in, or at least follows from, his own: What </w:t>
      </w:r>
      <w:r w:rsidRPr="006A73A5">
        <w:rPr>
          <w:rFonts w:ascii="Times New Roman"/>
          <w:i/>
          <w:iCs/>
          <w:lang w:val="en-GB"/>
        </w:rPr>
        <w:t>should</w:t>
      </w:r>
      <w:r w:rsidRPr="006A73A5">
        <w:rPr>
          <w:rFonts w:ascii="Times New Roman"/>
          <w:lang w:val="en-GB"/>
        </w:rPr>
        <w:t xml:space="preserve"> we be doing when we are doing what we are doing?</w:t>
      </w:r>
      <w:r w:rsidRPr="006A73A5">
        <w:rPr>
          <w:rFonts w:ascii="Times New Roman" w:eastAsia="Times New Roman" w:hAnsi="Times New Roman" w:cs="Times New Roman"/>
          <w:lang w:val="en-GB"/>
        </w:rPr>
        <w:br w:type="page"/>
      </w:r>
    </w:p>
    <w:p w14:paraId="418A6D0C" w14:textId="77777777" w:rsidR="00405516" w:rsidRDefault="006A73A5">
      <w:pPr>
        <w:pStyle w:val="Body1"/>
        <w:spacing w:line="480" w:lineRule="auto"/>
        <w:rPr>
          <w:rFonts w:ascii="Times New Roman"/>
          <w:u w:val="single"/>
          <w:lang w:val="en-GB"/>
        </w:rPr>
      </w:pPr>
      <w:r w:rsidRPr="006A73A5">
        <w:rPr>
          <w:rFonts w:ascii="Times New Roman"/>
          <w:u w:val="single"/>
          <w:lang w:val="en-GB"/>
        </w:rPr>
        <w:lastRenderedPageBreak/>
        <w:t xml:space="preserve">Chapter One: </w:t>
      </w:r>
      <w:r w:rsidR="00F761B8">
        <w:rPr>
          <w:rFonts w:ascii="Times New Roman"/>
          <w:u w:val="single"/>
          <w:lang w:val="en-GB"/>
        </w:rPr>
        <w:t>A Compromised and Ineffectual Field?</w:t>
      </w:r>
    </w:p>
    <w:p w14:paraId="76863754" w14:textId="77777777" w:rsidR="00937B9A" w:rsidRDefault="00937B9A">
      <w:pPr>
        <w:pStyle w:val="Body1"/>
        <w:spacing w:line="480" w:lineRule="auto"/>
        <w:rPr>
          <w:rFonts w:ascii="Times New Roman"/>
          <w:u w:val="single"/>
          <w:lang w:val="en-GB"/>
        </w:rPr>
      </w:pPr>
    </w:p>
    <w:p w14:paraId="160586C8" w14:textId="77777777" w:rsidR="00C32E2A" w:rsidRPr="00F761B8" w:rsidRDefault="006A73A5">
      <w:pPr>
        <w:pStyle w:val="Body1"/>
        <w:spacing w:line="480" w:lineRule="auto"/>
        <w:rPr>
          <w:rFonts w:ascii="Times New Roman" w:eastAsia="Times New Roman" w:hAnsi="Times New Roman" w:cs="Times New Roman"/>
          <w:i/>
          <w:lang w:val="en-GB"/>
        </w:rPr>
      </w:pPr>
      <w:r w:rsidRPr="00F761B8">
        <w:rPr>
          <w:rFonts w:ascii="Times New Roman"/>
          <w:i/>
          <w:lang w:val="en-GB"/>
        </w:rPr>
        <w:t xml:space="preserve">Professing to be </w:t>
      </w:r>
      <w:r w:rsidR="008F0285">
        <w:rPr>
          <w:rFonts w:ascii="Times New Roman"/>
          <w:i/>
          <w:lang w:val="en-GB"/>
        </w:rPr>
        <w:t>p</w:t>
      </w:r>
      <w:r w:rsidRPr="00F761B8">
        <w:rPr>
          <w:rFonts w:ascii="Times New Roman"/>
          <w:i/>
          <w:lang w:val="en-GB"/>
        </w:rPr>
        <w:t>rofessionals</w:t>
      </w:r>
      <w:r w:rsidR="0036399E" w:rsidRPr="00F761B8">
        <w:rPr>
          <w:rFonts w:ascii="Times New Roman"/>
          <w:i/>
          <w:lang w:val="en-GB"/>
        </w:rPr>
        <w:t xml:space="preserve"> (What is the nature of the work?) </w:t>
      </w:r>
    </w:p>
    <w:p w14:paraId="6D106478"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Those seeking to understand what </w:t>
      </w:r>
      <w:r w:rsidR="0009141A">
        <w:rPr>
          <w:rFonts w:ascii="Times New Roman"/>
          <w:lang w:val="en-GB"/>
        </w:rPr>
        <w:t xml:space="preserve">practicing </w:t>
      </w:r>
      <w:r w:rsidR="00717F92">
        <w:rPr>
          <w:rFonts w:ascii="Times New Roman"/>
          <w:lang w:val="en-GB"/>
        </w:rPr>
        <w:t xml:space="preserve">healthcare </w:t>
      </w:r>
      <w:r w:rsidRPr="006A73A5">
        <w:rPr>
          <w:rFonts w:ascii="Times New Roman"/>
          <w:lang w:val="en-GB"/>
        </w:rPr>
        <w:t>ethic</w:t>
      </w:r>
      <w:r w:rsidR="0009141A">
        <w:rPr>
          <w:rFonts w:ascii="Times New Roman"/>
          <w:lang w:val="en-GB"/>
        </w:rPr>
        <w:t>i</w:t>
      </w:r>
      <w:r w:rsidRPr="006A73A5">
        <w:rPr>
          <w:rFonts w:ascii="Times New Roman"/>
          <w:lang w:val="en-GB"/>
        </w:rPr>
        <w:t>s</w:t>
      </w:r>
      <w:r w:rsidR="0009141A">
        <w:rPr>
          <w:rFonts w:ascii="Times New Roman"/>
          <w:lang w:val="en-GB"/>
        </w:rPr>
        <w:t>ts</w:t>
      </w:r>
      <w:r w:rsidRPr="006A73A5">
        <w:rPr>
          <w:rFonts w:ascii="Times New Roman"/>
          <w:lang w:val="en-GB"/>
        </w:rPr>
        <w:t xml:space="preserve"> do, or may reasonably be expected to do, might fruitfully begin their enquiries by reviewing </w:t>
      </w:r>
      <w:r w:rsidR="00021190">
        <w:rPr>
          <w:rFonts w:ascii="Times New Roman"/>
          <w:lang w:val="en-GB"/>
        </w:rPr>
        <w:t xml:space="preserve">employment </w:t>
      </w:r>
      <w:r w:rsidRPr="006A73A5">
        <w:rPr>
          <w:rFonts w:ascii="Times New Roman"/>
          <w:lang w:val="en-GB"/>
        </w:rPr>
        <w:t>advertisements posted by those who seek to employ them, or by reviewing the role descriptions that have been developed by practitioners in order to clarify the character and scope of their work.</w:t>
      </w:r>
      <w:r w:rsidRPr="006A73A5">
        <w:rPr>
          <w:rFonts w:ascii="Times New Roman" w:eastAsia="Times New Roman" w:hAnsi="Times New Roman" w:cs="Times New Roman"/>
          <w:vertAlign w:val="superscript"/>
          <w:lang w:val="en-GB"/>
        </w:rPr>
        <w:footnoteReference w:id="9"/>
      </w:r>
      <w:r w:rsidRPr="006A73A5">
        <w:rPr>
          <w:rFonts w:ascii="Times New Roman"/>
          <w:lang w:val="en-GB"/>
        </w:rPr>
        <w:t xml:space="preserve"> The nature of the practice will vary somewhat depending on institutional context</w:t>
      </w:r>
      <w:r w:rsidR="00AF0F94">
        <w:rPr>
          <w:rFonts w:ascii="Times New Roman"/>
          <w:lang w:val="en-GB"/>
        </w:rPr>
        <w:t>:</w:t>
      </w:r>
      <w:r w:rsidRPr="006A73A5">
        <w:rPr>
          <w:rFonts w:ascii="Times New Roman"/>
          <w:lang w:val="en-GB"/>
        </w:rPr>
        <w:t xml:space="preserve"> a</w:t>
      </w:r>
      <w:r w:rsidR="0009141A">
        <w:rPr>
          <w:rFonts w:ascii="Times New Roman"/>
          <w:lang w:val="en-GB"/>
        </w:rPr>
        <w:t>n</w:t>
      </w:r>
      <w:r w:rsidRPr="006A73A5">
        <w:rPr>
          <w:rFonts w:ascii="Times New Roman"/>
          <w:lang w:val="en-GB"/>
        </w:rPr>
        <w:t xml:space="preserve"> ethics consultant working in a mental health facility may find herself employing slightly different skills, knowledge, or expertise than her colleague acros</w:t>
      </w:r>
      <w:r w:rsidR="00742B74">
        <w:rPr>
          <w:rFonts w:ascii="Times New Roman"/>
          <w:lang w:val="en-GB"/>
        </w:rPr>
        <w:t>s town at a children's hospital</w:t>
      </w:r>
      <w:r w:rsidRPr="006A73A5">
        <w:rPr>
          <w:rFonts w:ascii="Times New Roman"/>
          <w:lang w:val="en-GB"/>
        </w:rPr>
        <w:t xml:space="preserve"> but</w:t>
      </w:r>
      <w:r w:rsidR="00742B74">
        <w:rPr>
          <w:rFonts w:ascii="Times New Roman"/>
          <w:lang w:val="en-GB"/>
        </w:rPr>
        <w:t>,</w:t>
      </w:r>
      <w:r w:rsidRPr="006A73A5">
        <w:rPr>
          <w:rFonts w:ascii="Times New Roman"/>
          <w:lang w:val="en-GB"/>
        </w:rPr>
        <w:t xml:space="preserve"> for the most part</w:t>
      </w:r>
      <w:r w:rsidR="00742B74">
        <w:rPr>
          <w:rFonts w:ascii="Times New Roman"/>
          <w:lang w:val="en-GB"/>
        </w:rPr>
        <w:t>,</w:t>
      </w:r>
      <w:r w:rsidRPr="006A73A5">
        <w:rPr>
          <w:rFonts w:ascii="Times New Roman"/>
          <w:lang w:val="en-GB"/>
        </w:rPr>
        <w:t xml:space="preserve"> their daily tasks will be much the same. As the literature on professionalization reveals, the work of the </w:t>
      </w:r>
      <w:r w:rsidR="0009141A">
        <w:rPr>
          <w:rFonts w:ascii="Times New Roman"/>
          <w:lang w:val="en-GB"/>
        </w:rPr>
        <w:t xml:space="preserve">PHE </w:t>
      </w:r>
      <w:r w:rsidRPr="006A73A5">
        <w:rPr>
          <w:rFonts w:ascii="Times New Roman"/>
          <w:lang w:val="en-GB"/>
        </w:rPr>
        <w:t>generally falls within four broad categories: clinical ethics consultation (which responds to requests for assistance in resolving value conflicts arising in the care of specific patients), or</w:t>
      </w:r>
      <w:r w:rsidR="00441311">
        <w:rPr>
          <w:rFonts w:ascii="Times New Roman"/>
          <w:lang w:val="en-GB"/>
        </w:rPr>
        <w:t>ganizational ethics support</w:t>
      </w:r>
      <w:r w:rsidRPr="006A73A5">
        <w:rPr>
          <w:rFonts w:ascii="Times New Roman"/>
          <w:lang w:val="en-GB"/>
        </w:rPr>
        <w:t xml:space="preserve"> (which includes policy development and review as well as assistance with one-off decisions which do not pertain specifically to the care of individual patients), supplying education to staff and </w:t>
      </w:r>
      <w:r w:rsidRPr="006A73A5">
        <w:rPr>
          <w:rFonts w:ascii="Times New Roman"/>
          <w:lang w:val="en-GB"/>
        </w:rPr>
        <w:lastRenderedPageBreak/>
        <w:t>others on ethical topics, and conducting and evaluating research.</w:t>
      </w:r>
      <w:r w:rsidRPr="006A73A5">
        <w:rPr>
          <w:rFonts w:ascii="Times New Roman" w:eastAsia="Times New Roman" w:hAnsi="Times New Roman" w:cs="Times New Roman"/>
          <w:vertAlign w:val="superscript"/>
          <w:lang w:val="en-GB"/>
        </w:rPr>
        <w:footnoteReference w:id="10"/>
      </w:r>
      <w:r w:rsidRPr="006A73A5">
        <w:rPr>
          <w:rFonts w:ascii="Times New Roman"/>
          <w:lang w:val="en-GB"/>
        </w:rPr>
        <w:t xml:space="preserve"> It is the first of these that has attracted the most attention and controversy, although it can convincingly be argued that these are not entirely separable domains.</w:t>
      </w:r>
      <w:r w:rsidRPr="006A73A5">
        <w:rPr>
          <w:rFonts w:ascii="Times New Roman" w:eastAsia="Times New Roman" w:hAnsi="Times New Roman" w:cs="Times New Roman"/>
          <w:vertAlign w:val="superscript"/>
          <w:lang w:val="en-GB"/>
        </w:rPr>
        <w:footnoteReference w:id="11"/>
      </w:r>
      <w:r w:rsidRPr="006A73A5">
        <w:rPr>
          <w:rFonts w:ascii="Times New Roman"/>
          <w:lang w:val="en-GB"/>
        </w:rPr>
        <w:t xml:space="preserve"> Health care ethicists generally find fodder for their educational efforts, and inspiration for</w:t>
      </w:r>
      <w:r w:rsidR="00742B74">
        <w:rPr>
          <w:rFonts w:ascii="Times New Roman"/>
          <w:lang w:val="en-GB"/>
        </w:rPr>
        <w:t xml:space="preserve"> their research, in the</w:t>
      </w:r>
      <w:r w:rsidRPr="006A73A5">
        <w:rPr>
          <w:rFonts w:ascii="Times New Roman"/>
          <w:lang w:val="en-GB"/>
        </w:rPr>
        <w:t xml:space="preserve"> cases that come before them. Similarly, policy development is almost always motivated by a desire to address clinical or organizational gaps</w:t>
      </w:r>
      <w:r w:rsidR="0012207C">
        <w:rPr>
          <w:rFonts w:ascii="Times New Roman"/>
          <w:lang w:val="en-GB"/>
        </w:rPr>
        <w:t>,</w:t>
      </w:r>
      <w:r w:rsidRPr="006A73A5">
        <w:rPr>
          <w:rFonts w:ascii="Times New Roman"/>
          <w:lang w:val="en-GB"/>
        </w:rPr>
        <w:t xml:space="preserve"> and rarely can be useful if it is uninformed by research and unaccompanied by an appropriate educational plan. </w:t>
      </w:r>
      <w:r w:rsidR="003D6731">
        <w:rPr>
          <w:rFonts w:ascii="Times New Roman"/>
          <w:lang w:val="en-GB"/>
        </w:rPr>
        <w:t>The policies of h</w:t>
      </w:r>
      <w:r w:rsidRPr="006A73A5">
        <w:rPr>
          <w:rFonts w:ascii="Times New Roman"/>
          <w:lang w:val="en-GB"/>
        </w:rPr>
        <w:t xml:space="preserve">ealth care </w:t>
      </w:r>
      <w:r w:rsidR="003D6731">
        <w:rPr>
          <w:rFonts w:ascii="Times New Roman"/>
          <w:lang w:val="en-GB"/>
        </w:rPr>
        <w:t>institutions</w:t>
      </w:r>
      <w:r w:rsidRPr="006A73A5">
        <w:rPr>
          <w:rFonts w:ascii="Times New Roman"/>
          <w:lang w:val="en-GB"/>
        </w:rPr>
        <w:t xml:space="preserve"> cover incredibly wide-ranging topics such as organ donation after cardio-circulatory death, disclosure of medical error, and the appropriate management of relationships with pharmaceutical industry representatives. They are rarely </w:t>
      </w:r>
      <w:r w:rsidRPr="006A73A5">
        <w:rPr>
          <w:rFonts w:ascii="Times New Roman"/>
          <w:lang w:val="en-GB"/>
        </w:rPr>
        <w:lastRenderedPageBreak/>
        <w:t xml:space="preserve">authored by ethicists alone (indeed, it is routine for representatives of a dozen or more professional practice areas to have a hand in their writing), and they nearly always undergo multiple layers of committee review, but an ethics consultant </w:t>
      </w:r>
      <w:r w:rsidR="0012207C">
        <w:rPr>
          <w:rFonts w:ascii="Times New Roman"/>
          <w:lang w:val="en-GB"/>
        </w:rPr>
        <w:t xml:space="preserve">often </w:t>
      </w:r>
      <w:r w:rsidRPr="006A73A5">
        <w:rPr>
          <w:rFonts w:ascii="Times New Roman"/>
          <w:lang w:val="en-GB"/>
        </w:rPr>
        <w:t xml:space="preserve">can exert a tremendous influence with respect to the content and disposition of the final </w:t>
      </w:r>
      <w:r w:rsidR="00441311">
        <w:rPr>
          <w:rFonts w:ascii="Times New Roman"/>
          <w:lang w:val="en-GB"/>
        </w:rPr>
        <w:t>product. Even the most independent</w:t>
      </w:r>
      <w:r w:rsidRPr="006A73A5">
        <w:rPr>
          <w:rFonts w:ascii="Times New Roman"/>
          <w:lang w:val="en-GB"/>
        </w:rPr>
        <w:t xml:space="preserve"> chief executive officer</w:t>
      </w:r>
      <w:r w:rsidR="003D6731">
        <w:rPr>
          <w:rFonts w:ascii="Times New Roman"/>
          <w:lang w:val="en-GB"/>
        </w:rPr>
        <w:t>,</w:t>
      </w:r>
      <w:r w:rsidR="00441311">
        <w:rPr>
          <w:rFonts w:ascii="Times New Roman"/>
          <w:lang w:val="en-GB"/>
        </w:rPr>
        <w:t xml:space="preserve"> or confident</w:t>
      </w:r>
      <w:r w:rsidRPr="006A73A5">
        <w:rPr>
          <w:rFonts w:ascii="Times New Roman"/>
          <w:lang w:val="en-GB"/>
        </w:rPr>
        <w:t xml:space="preserve"> medical advisory committee</w:t>
      </w:r>
      <w:r w:rsidR="003D6731">
        <w:rPr>
          <w:rFonts w:ascii="Times New Roman"/>
          <w:lang w:val="en-GB"/>
        </w:rPr>
        <w:t>,</w:t>
      </w:r>
      <w:r w:rsidRPr="006A73A5">
        <w:rPr>
          <w:rFonts w:ascii="Times New Roman"/>
          <w:lang w:val="en-GB"/>
        </w:rPr>
        <w:t xml:space="preserve"> </w:t>
      </w:r>
      <w:r w:rsidR="000053F7">
        <w:rPr>
          <w:rFonts w:ascii="Times New Roman"/>
          <w:lang w:val="en-GB"/>
        </w:rPr>
        <w:t>may</w:t>
      </w:r>
      <w:r w:rsidRPr="006A73A5">
        <w:rPr>
          <w:rFonts w:ascii="Times New Roman"/>
          <w:lang w:val="en-GB"/>
        </w:rPr>
        <w:t xml:space="preserve"> be reluctant to grant approval to a </w:t>
      </w:r>
      <w:r w:rsidR="00D60EF0">
        <w:rPr>
          <w:rFonts w:ascii="Times New Roman"/>
          <w:lang w:val="en-GB"/>
        </w:rPr>
        <w:t xml:space="preserve">policy or guidance document </w:t>
      </w:r>
      <w:r w:rsidR="003D6731">
        <w:rPr>
          <w:rFonts w:ascii="Times New Roman"/>
          <w:lang w:val="en-GB"/>
        </w:rPr>
        <w:t xml:space="preserve">that </w:t>
      </w:r>
      <w:r w:rsidRPr="006A73A5">
        <w:rPr>
          <w:rFonts w:ascii="Times New Roman"/>
          <w:lang w:val="en-GB"/>
        </w:rPr>
        <w:t>has been described as ethically deficient by the institution's own ethicist or ethics consultation service.</w:t>
      </w:r>
    </w:p>
    <w:p w14:paraId="28EB4A2E"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Perhaps it is the perception that clinical ethics consultation is performed without the kind of oversight and stakeholder involvement that is typical of policy work (and of research review) that generates concern among its critics. In most institutions an ethicist will, after all, provide </w:t>
      </w:r>
      <w:r w:rsidR="00441311">
        <w:rPr>
          <w:rFonts w:ascii="Times New Roman"/>
          <w:lang w:val="en-GB"/>
        </w:rPr>
        <w:t xml:space="preserve">support to physicians, </w:t>
      </w:r>
      <w:r w:rsidR="007A2F2D">
        <w:rPr>
          <w:rFonts w:ascii="Times New Roman"/>
          <w:lang w:val="en-GB"/>
        </w:rPr>
        <w:t>staff</w:t>
      </w:r>
      <w:r w:rsidRPr="006A73A5">
        <w:rPr>
          <w:rFonts w:ascii="Times New Roman"/>
          <w:lang w:val="en-GB"/>
        </w:rPr>
        <w:t xml:space="preserve">, senior leaders, and patients or families whenever </w:t>
      </w:r>
      <w:r w:rsidR="00021190">
        <w:rPr>
          <w:rFonts w:ascii="Times New Roman"/>
          <w:lang w:val="en-GB"/>
        </w:rPr>
        <w:t xml:space="preserve">any of these parties </w:t>
      </w:r>
      <w:r w:rsidRPr="006A73A5">
        <w:rPr>
          <w:rFonts w:ascii="Times New Roman"/>
          <w:lang w:val="en-GB"/>
        </w:rPr>
        <w:t>have standing, or a legitimate legal or ethical stake in a particular case. It is for the most part true that the content of a meeting with a health care ethicist will be protected by privacy legislation</w:t>
      </w:r>
      <w:r w:rsidR="0012207C">
        <w:rPr>
          <w:rFonts w:ascii="Times New Roman"/>
          <w:lang w:val="en-GB"/>
        </w:rPr>
        <w:t xml:space="preserve"> (</w:t>
      </w:r>
      <w:r w:rsidRPr="006A73A5">
        <w:rPr>
          <w:rFonts w:ascii="Times New Roman"/>
          <w:lang w:val="en-GB"/>
        </w:rPr>
        <w:t>and the parties need never disclose the nature or substance of their discussions if disputed issues can be resolved behind closed doors</w:t>
      </w:r>
      <w:r w:rsidR="0012207C">
        <w:rPr>
          <w:rFonts w:ascii="Times New Roman"/>
          <w:lang w:val="en-GB"/>
        </w:rPr>
        <w:t>)</w:t>
      </w:r>
      <w:r w:rsidRPr="006A73A5">
        <w:rPr>
          <w:rFonts w:ascii="Times New Roman"/>
          <w:lang w:val="en-GB"/>
        </w:rPr>
        <w:t xml:space="preserve"> but such legislation pertains to all encounters between health care providers and their clients.</w:t>
      </w:r>
      <w:r w:rsidRPr="006A73A5">
        <w:rPr>
          <w:rFonts w:ascii="Times New Roman" w:eastAsia="Times New Roman" w:hAnsi="Times New Roman" w:cs="Times New Roman"/>
          <w:vertAlign w:val="superscript"/>
          <w:lang w:val="en-GB"/>
        </w:rPr>
        <w:footnoteReference w:id="12"/>
      </w:r>
      <w:r w:rsidRPr="006A73A5">
        <w:rPr>
          <w:rFonts w:ascii="Times New Roman"/>
          <w:lang w:val="en-GB"/>
        </w:rPr>
        <w:t xml:space="preserve"> Practicing ethicists, phys</w:t>
      </w:r>
      <w:r w:rsidR="00D60EBF">
        <w:rPr>
          <w:rFonts w:ascii="Times New Roman"/>
          <w:lang w:val="en-GB"/>
        </w:rPr>
        <w:t>icians, pharmacists and physio</w:t>
      </w:r>
      <w:r w:rsidRPr="006A73A5">
        <w:rPr>
          <w:rFonts w:ascii="Times New Roman"/>
          <w:lang w:val="en-GB"/>
        </w:rPr>
        <w:t xml:space="preserve">therapists (to </w:t>
      </w:r>
      <w:r w:rsidRPr="006A73A5">
        <w:rPr>
          <w:rFonts w:ascii="Times New Roman"/>
          <w:lang w:val="en-GB"/>
        </w:rPr>
        <w:lastRenderedPageBreak/>
        <w:t>name but a few) do not differ in this regard. There must, therefore, be something distinctive about the practice of ethics consultation that generates a level of concern</w:t>
      </w:r>
      <w:r w:rsidR="00021190">
        <w:rPr>
          <w:rFonts w:ascii="Times New Roman"/>
          <w:lang w:val="en-GB"/>
        </w:rPr>
        <w:t xml:space="preserve"> or </w:t>
      </w:r>
      <w:r w:rsidRPr="006A73A5">
        <w:rPr>
          <w:rFonts w:ascii="Times New Roman"/>
          <w:lang w:val="en-GB"/>
        </w:rPr>
        <w:t>suspicion that other clinical work (</w:t>
      </w:r>
      <w:r w:rsidR="0012207C">
        <w:rPr>
          <w:rFonts w:ascii="Times New Roman"/>
          <w:lang w:val="en-GB"/>
        </w:rPr>
        <w:t xml:space="preserve">such as </w:t>
      </w:r>
      <w:r w:rsidRPr="006A73A5">
        <w:rPr>
          <w:rFonts w:ascii="Times New Roman"/>
          <w:lang w:val="en-GB"/>
        </w:rPr>
        <w:t xml:space="preserve">performing patient examinations, prescribing prescription medications, and designing </w:t>
      </w:r>
      <w:r w:rsidR="003D6731">
        <w:rPr>
          <w:rFonts w:ascii="Times New Roman"/>
          <w:lang w:val="en-GB"/>
        </w:rPr>
        <w:t xml:space="preserve">rehabilitation </w:t>
      </w:r>
      <w:r w:rsidRPr="006A73A5">
        <w:rPr>
          <w:rFonts w:ascii="Times New Roman"/>
          <w:lang w:val="en-GB"/>
        </w:rPr>
        <w:t xml:space="preserve">routines) simply does not engender. </w:t>
      </w:r>
    </w:p>
    <w:p w14:paraId="6589807B" w14:textId="77777777" w:rsidR="006A73A5" w:rsidRDefault="006A73A5" w:rsidP="00CE009C">
      <w:pPr>
        <w:pStyle w:val="Body1"/>
        <w:spacing w:line="480" w:lineRule="auto"/>
        <w:ind w:firstLine="720"/>
        <w:rPr>
          <w:rFonts w:ascii="Times New Roman"/>
          <w:lang w:val="en-GB"/>
        </w:rPr>
      </w:pPr>
      <w:r w:rsidRPr="006A73A5">
        <w:rPr>
          <w:rFonts w:ascii="Times New Roman"/>
          <w:lang w:val="en-GB"/>
        </w:rPr>
        <w:t>Some of the earl</w:t>
      </w:r>
      <w:r w:rsidR="003D6731">
        <w:rPr>
          <w:rFonts w:ascii="Times New Roman"/>
          <w:lang w:val="en-GB"/>
        </w:rPr>
        <w:t>iest</w:t>
      </w:r>
      <w:r w:rsidRPr="006A73A5">
        <w:rPr>
          <w:rFonts w:ascii="Times New Roman"/>
          <w:lang w:val="en-GB"/>
        </w:rPr>
        <w:t xml:space="preserve"> literature </w:t>
      </w:r>
      <w:r w:rsidR="003D6731">
        <w:rPr>
          <w:rFonts w:ascii="Times New Roman"/>
          <w:lang w:val="en-GB"/>
        </w:rPr>
        <w:t>that</w:t>
      </w:r>
      <w:r w:rsidRPr="006A73A5">
        <w:rPr>
          <w:rFonts w:ascii="Times New Roman"/>
          <w:lang w:val="en-GB"/>
        </w:rPr>
        <w:t xml:space="preserve"> </w:t>
      </w:r>
      <w:r w:rsidR="006C35AC">
        <w:rPr>
          <w:rFonts w:ascii="Times New Roman"/>
          <w:lang w:val="en-GB"/>
        </w:rPr>
        <w:t xml:space="preserve">argued </w:t>
      </w:r>
      <w:r w:rsidRPr="006A73A5">
        <w:rPr>
          <w:rFonts w:ascii="Times New Roman"/>
          <w:lang w:val="en-GB"/>
        </w:rPr>
        <w:t xml:space="preserve">against the professionalization of the field (dating from the late 1990s through to the last decade or so) </w:t>
      </w:r>
      <w:r w:rsidR="00D60EF0">
        <w:rPr>
          <w:rFonts w:ascii="Times New Roman"/>
          <w:lang w:val="en-GB"/>
        </w:rPr>
        <w:t xml:space="preserve">offers </w:t>
      </w:r>
      <w:r w:rsidRPr="006A73A5">
        <w:rPr>
          <w:rFonts w:ascii="Times New Roman"/>
          <w:lang w:val="en-GB"/>
        </w:rPr>
        <w:t xml:space="preserve">insights into </w:t>
      </w:r>
      <w:r w:rsidR="00415565">
        <w:rPr>
          <w:rFonts w:ascii="Times New Roman"/>
          <w:lang w:val="en-GB"/>
        </w:rPr>
        <w:t xml:space="preserve">possible </w:t>
      </w:r>
      <w:r w:rsidRPr="006A73A5">
        <w:rPr>
          <w:rFonts w:ascii="Times New Roman"/>
          <w:lang w:val="en-GB"/>
        </w:rPr>
        <w:t xml:space="preserve">reasons for anxiety about the increasing influence of institutional ethicists. These objections gradually </w:t>
      </w:r>
      <w:r w:rsidR="000053F7">
        <w:rPr>
          <w:rFonts w:ascii="Times New Roman"/>
          <w:lang w:val="en-GB"/>
        </w:rPr>
        <w:t xml:space="preserve">have </w:t>
      </w:r>
      <w:r w:rsidRPr="006A73A5">
        <w:rPr>
          <w:rFonts w:ascii="Times New Roman"/>
          <w:lang w:val="en-GB"/>
        </w:rPr>
        <w:t xml:space="preserve">receded as the focus of the professionalization debate has shifted from </w:t>
      </w:r>
      <w:r w:rsidRPr="006A73A5">
        <w:rPr>
          <w:rFonts w:ascii="Times New Roman"/>
          <w:i/>
          <w:iCs/>
          <w:lang w:val="en-GB"/>
        </w:rPr>
        <w:t>whether</w:t>
      </w:r>
      <w:r w:rsidRPr="006A73A5">
        <w:rPr>
          <w:rFonts w:ascii="Times New Roman"/>
          <w:lang w:val="en-GB"/>
        </w:rPr>
        <w:t xml:space="preserve"> the field should professionalize to very pragmatic questions concerning </w:t>
      </w:r>
      <w:r w:rsidRPr="006A73A5">
        <w:rPr>
          <w:rFonts w:ascii="Times New Roman"/>
          <w:i/>
          <w:iCs/>
          <w:lang w:val="en-GB"/>
        </w:rPr>
        <w:t>how</w:t>
      </w:r>
      <w:r w:rsidRPr="006A73A5">
        <w:rPr>
          <w:rFonts w:ascii="Times New Roman"/>
          <w:lang w:val="en-GB"/>
        </w:rPr>
        <w:t xml:space="preserve"> professionalization should occur.  Although some who perform ethics consultation (especially in remote, rural, or under-serviced areas) do so as dedicated volunteers, or as secondments from their primary responsibilities, there is a large and growing constituency which holds the view that the approach to the work cannot depend upon the fortuitous interests and </w:t>
      </w:r>
      <w:r w:rsidR="00147A87">
        <w:rPr>
          <w:rFonts w:ascii="Times New Roman"/>
          <w:lang w:val="en-GB"/>
        </w:rPr>
        <w:t xml:space="preserve">assorted </w:t>
      </w:r>
      <w:r w:rsidRPr="006A73A5">
        <w:rPr>
          <w:rFonts w:ascii="Times New Roman"/>
          <w:lang w:val="en-GB"/>
        </w:rPr>
        <w:t xml:space="preserve">aptitudes of those without systematic training in the field. The professionalization movement, therefore, currently </w:t>
      </w:r>
      <w:r w:rsidR="0012207C">
        <w:rPr>
          <w:rFonts w:ascii="Times New Roman"/>
          <w:lang w:val="en-GB"/>
        </w:rPr>
        <w:t xml:space="preserve">is </w:t>
      </w:r>
      <w:r w:rsidRPr="006A73A5">
        <w:rPr>
          <w:rFonts w:ascii="Times New Roman"/>
          <w:lang w:val="en-GB"/>
        </w:rPr>
        <w:t xml:space="preserve">occupied with the development of fair and meaningful processes for assessing the quality and competence of individual ethicists, or ethics services, and the </w:t>
      </w:r>
      <w:r w:rsidR="00494F0C" w:rsidRPr="006A73A5">
        <w:rPr>
          <w:rFonts w:ascii="Times New Roman"/>
          <w:lang w:val="en-GB"/>
        </w:rPr>
        <w:t>programs that</w:t>
      </w:r>
      <w:r w:rsidRPr="006A73A5">
        <w:rPr>
          <w:rFonts w:ascii="Times New Roman"/>
          <w:lang w:val="en-GB"/>
        </w:rPr>
        <w:t xml:space="preserve"> train them.</w:t>
      </w:r>
      <w:r w:rsidRPr="006A73A5">
        <w:rPr>
          <w:rFonts w:ascii="Times New Roman" w:eastAsia="Times New Roman" w:hAnsi="Times New Roman" w:cs="Times New Roman"/>
          <w:vertAlign w:val="superscript"/>
          <w:lang w:val="en-GB"/>
        </w:rPr>
        <w:footnoteReference w:id="13"/>
      </w:r>
      <w:r w:rsidRPr="006A73A5">
        <w:rPr>
          <w:rFonts w:ascii="Times New Roman"/>
          <w:lang w:val="en-GB"/>
        </w:rPr>
        <w:t xml:space="preserve"> It may be argued, however, that the push toward </w:t>
      </w:r>
      <w:r w:rsidRPr="006A73A5">
        <w:rPr>
          <w:rFonts w:ascii="Times New Roman"/>
          <w:lang w:val="en-GB"/>
        </w:rPr>
        <w:lastRenderedPageBreak/>
        <w:t>certification, qualification, and accreditation has left more fundamental questions unanswered.</w:t>
      </w:r>
      <w:r w:rsidRPr="006A73A5">
        <w:rPr>
          <w:rFonts w:ascii="Times New Roman" w:eastAsia="Times New Roman" w:hAnsi="Times New Roman" w:cs="Times New Roman"/>
          <w:vertAlign w:val="superscript"/>
          <w:lang w:val="en-GB"/>
        </w:rPr>
        <w:footnoteReference w:id="14"/>
      </w:r>
      <w:r w:rsidRPr="006A73A5">
        <w:rPr>
          <w:rFonts w:ascii="Times New Roman"/>
          <w:lang w:val="en-GB"/>
        </w:rPr>
        <w:t xml:space="preserve"> These questions, which I have registered very briefly already, reflect underlying concerns about the authority, neutrality</w:t>
      </w:r>
      <w:r w:rsidR="007A2F2D">
        <w:rPr>
          <w:rFonts w:ascii="Times New Roman"/>
          <w:lang w:val="en-GB"/>
        </w:rPr>
        <w:t>,</w:t>
      </w:r>
      <w:r w:rsidRPr="006A73A5">
        <w:rPr>
          <w:rFonts w:ascii="Times New Roman"/>
          <w:lang w:val="en-GB"/>
        </w:rPr>
        <w:t xml:space="preserve"> and value of the work that clinical ethicists do. Before turning to these searching questions, however, it may be most useful to begin with a brief description of the practice of health care ethics consultation.</w:t>
      </w:r>
    </w:p>
    <w:p w14:paraId="6712CA3E" w14:textId="77777777" w:rsidR="0096138F" w:rsidRDefault="0096138F" w:rsidP="00CE009C">
      <w:pPr>
        <w:pStyle w:val="Body1"/>
        <w:spacing w:line="480" w:lineRule="auto"/>
        <w:ind w:firstLine="720"/>
        <w:rPr>
          <w:rFonts w:ascii="Times New Roman" w:eastAsia="Times New Roman" w:hAnsi="Times New Roman" w:cs="Times New Roman"/>
          <w:lang w:val="en-GB"/>
        </w:rPr>
      </w:pPr>
    </w:p>
    <w:p w14:paraId="56E5AB60" w14:textId="77777777" w:rsidR="00C32E2A" w:rsidRPr="006A73A5" w:rsidRDefault="006A73A5">
      <w:pPr>
        <w:pStyle w:val="Body1"/>
        <w:spacing w:line="480" w:lineRule="auto"/>
        <w:rPr>
          <w:rFonts w:ascii="Times New Roman" w:eastAsia="Times New Roman" w:hAnsi="Times New Roman" w:cs="Times New Roman"/>
          <w:i/>
          <w:iCs/>
          <w:lang w:val="en-GB"/>
        </w:rPr>
      </w:pPr>
      <w:r w:rsidRPr="006A73A5">
        <w:rPr>
          <w:rFonts w:ascii="Times New Roman"/>
          <w:i/>
          <w:iCs/>
          <w:lang w:val="en-GB"/>
        </w:rPr>
        <w:t xml:space="preserve">Consultation </w:t>
      </w:r>
      <w:r w:rsidR="008F0285">
        <w:rPr>
          <w:rFonts w:ascii="Times New Roman"/>
          <w:i/>
          <w:iCs/>
          <w:lang w:val="en-GB"/>
        </w:rPr>
        <w:t>c</w:t>
      </w:r>
      <w:r w:rsidRPr="006A73A5">
        <w:rPr>
          <w:rFonts w:ascii="Times New Roman"/>
          <w:i/>
          <w:iCs/>
          <w:lang w:val="en-GB"/>
        </w:rPr>
        <w:t xml:space="preserve">ontent and </w:t>
      </w:r>
      <w:r w:rsidR="008F0285">
        <w:rPr>
          <w:rFonts w:ascii="Times New Roman"/>
          <w:i/>
          <w:iCs/>
          <w:lang w:val="en-GB"/>
        </w:rPr>
        <w:t>m</w:t>
      </w:r>
      <w:r w:rsidRPr="006A73A5">
        <w:rPr>
          <w:rFonts w:ascii="Times New Roman"/>
          <w:i/>
          <w:iCs/>
          <w:lang w:val="en-GB"/>
        </w:rPr>
        <w:t>ethod</w:t>
      </w:r>
    </w:p>
    <w:p w14:paraId="43EC6F92" w14:textId="77777777" w:rsidR="00C32E2A" w:rsidRPr="006A73A5" w:rsidRDefault="006A73A5" w:rsidP="00742B74">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The most recent edition of a tremendously influential report called </w:t>
      </w:r>
      <w:r w:rsidRPr="006A73A5">
        <w:rPr>
          <w:rFonts w:ascii="Times New Roman"/>
          <w:i/>
          <w:iCs/>
          <w:lang w:val="en-GB"/>
        </w:rPr>
        <w:t>Core Competencies for Health Care Ethics Consultation</w:t>
      </w:r>
      <w:r w:rsidRPr="006A73A5">
        <w:rPr>
          <w:rFonts w:ascii="Times New Roman"/>
          <w:lang w:val="en-GB"/>
        </w:rPr>
        <w:t>, is the product of four years of work by a task force of the American Society of Bioethics and Humanities (ASBH) which describe</w:t>
      </w:r>
      <w:r w:rsidR="007C2FF8">
        <w:rPr>
          <w:rFonts w:ascii="Times New Roman"/>
          <w:lang w:val="en-GB"/>
        </w:rPr>
        <w:t>d</w:t>
      </w:r>
      <w:r w:rsidRPr="006A73A5">
        <w:rPr>
          <w:rFonts w:ascii="Times New Roman"/>
          <w:lang w:val="en-GB"/>
        </w:rPr>
        <w:t xml:space="preserve"> itself </w:t>
      </w:r>
      <w:r w:rsidR="007C2FF8">
        <w:rPr>
          <w:rFonts w:ascii="Times New Roman"/>
          <w:lang w:val="en-GB"/>
        </w:rPr>
        <w:t xml:space="preserve">in </w:t>
      </w:r>
      <w:r w:rsidR="00EA5651">
        <w:rPr>
          <w:rFonts w:ascii="Times New Roman"/>
          <w:lang w:val="en-GB"/>
        </w:rPr>
        <w:t>2006</w:t>
      </w:r>
      <w:r w:rsidR="007C2FF8">
        <w:rPr>
          <w:rFonts w:ascii="Times New Roman"/>
          <w:lang w:val="en-GB"/>
        </w:rPr>
        <w:t xml:space="preserve"> </w:t>
      </w:r>
      <w:r w:rsidRPr="006A73A5">
        <w:rPr>
          <w:rFonts w:ascii="Times New Roman"/>
          <w:lang w:val="en-GB"/>
        </w:rPr>
        <w:t xml:space="preserve">as a multidisciplinary organization with a membership of </w:t>
      </w:r>
      <w:r w:rsidRPr="006A73A5">
        <w:rPr>
          <w:rFonts w:hAnsi="Times New Roman"/>
          <w:lang w:val="en-GB"/>
        </w:rPr>
        <w:t>“</w:t>
      </w:r>
      <w:r w:rsidRPr="006A73A5">
        <w:rPr>
          <w:rFonts w:ascii="Times New Roman"/>
          <w:lang w:val="en-GB"/>
        </w:rPr>
        <w:t xml:space="preserve">more than 1600 health care professionals, teachers, consultants, and others who have an interest in the field of clinical and academic bioethics and </w:t>
      </w:r>
      <w:r w:rsidRPr="006A73A5">
        <w:rPr>
          <w:rFonts w:ascii="Times New Roman"/>
          <w:lang w:val="en-GB"/>
        </w:rPr>
        <w:lastRenderedPageBreak/>
        <w:t>the health-related humanities.</w:t>
      </w:r>
      <w:r w:rsidRPr="006A73A5">
        <w:rPr>
          <w:rFonts w:hAnsi="Times New Roman"/>
          <w:lang w:val="en-GB"/>
        </w:rPr>
        <w:t>”</w:t>
      </w:r>
      <w:r w:rsidRPr="006A73A5">
        <w:rPr>
          <w:rFonts w:ascii="Times New Roman" w:eastAsia="Times New Roman" w:hAnsi="Times New Roman" w:cs="Times New Roman"/>
          <w:vertAlign w:val="superscript"/>
          <w:lang w:val="en-GB"/>
        </w:rPr>
        <w:footnoteReference w:id="15"/>
      </w:r>
      <w:r w:rsidRPr="006A73A5">
        <w:rPr>
          <w:rFonts w:ascii="Times New Roman"/>
          <w:lang w:val="en-GB"/>
        </w:rPr>
        <w:t xml:space="preserve"> The ASBH, and specifically its C</w:t>
      </w:r>
      <w:r w:rsidR="00D60EBF">
        <w:rPr>
          <w:rFonts w:ascii="Times New Roman"/>
          <w:lang w:val="en-GB"/>
        </w:rPr>
        <w:t>ore Competencies Taskforce, did</w:t>
      </w:r>
      <w:r w:rsidRPr="006A73A5">
        <w:rPr>
          <w:rFonts w:ascii="Times New Roman"/>
          <w:lang w:val="en-GB"/>
        </w:rPr>
        <w:t xml:space="preserve"> not p</w:t>
      </w:r>
      <w:r w:rsidR="00742B74">
        <w:rPr>
          <w:rFonts w:ascii="Times New Roman"/>
          <w:lang w:val="en-GB"/>
        </w:rPr>
        <w:t>urport to speak for all health care</w:t>
      </w:r>
      <w:r w:rsidRPr="006A73A5">
        <w:rPr>
          <w:rFonts w:ascii="Times New Roman"/>
          <w:lang w:val="en-GB"/>
        </w:rPr>
        <w:t xml:space="preserve"> ethicists in North America, or even in the United States, but in the course of developing this now foundational document it took care to solicit the opinion</w:t>
      </w:r>
      <w:r w:rsidR="00BF68BA">
        <w:rPr>
          <w:rFonts w:ascii="Times New Roman"/>
          <w:lang w:val="en-GB"/>
        </w:rPr>
        <w:t>s of many practitioners</w:t>
      </w:r>
      <w:r w:rsidR="00EF27B3">
        <w:rPr>
          <w:rFonts w:ascii="Times New Roman"/>
          <w:lang w:val="en-GB"/>
        </w:rPr>
        <w:t>,</w:t>
      </w:r>
      <w:r w:rsidR="00BF68BA">
        <w:rPr>
          <w:rFonts w:ascii="Times New Roman"/>
          <w:lang w:val="en-GB"/>
        </w:rPr>
        <w:t xml:space="preserve"> and </w:t>
      </w:r>
      <w:r w:rsidRPr="006A73A5">
        <w:rPr>
          <w:rFonts w:ascii="Times New Roman"/>
          <w:lang w:val="en-GB"/>
        </w:rPr>
        <w:t>interested parties (whether they were members of the Society or not) were welcome to comment on drafts of the report before it was finalized. (Draft versions were posted on-line at the Society</w:t>
      </w:r>
      <w:r w:rsidRPr="006A73A5">
        <w:rPr>
          <w:rFonts w:hAnsi="Times New Roman"/>
          <w:lang w:val="en-GB"/>
        </w:rPr>
        <w:t>’</w:t>
      </w:r>
      <w:r w:rsidRPr="006A73A5">
        <w:rPr>
          <w:rFonts w:ascii="Times New Roman"/>
          <w:lang w:val="en-GB"/>
        </w:rPr>
        <w:t xml:space="preserve">s website and on a variety of </w:t>
      </w:r>
      <w:r w:rsidR="00EA5651">
        <w:rPr>
          <w:rFonts w:ascii="Times New Roman"/>
          <w:lang w:val="en-GB"/>
        </w:rPr>
        <w:t xml:space="preserve">relevant </w:t>
      </w:r>
      <w:r w:rsidRPr="006A73A5">
        <w:rPr>
          <w:rFonts w:ascii="Times New Roman"/>
          <w:lang w:val="en-GB"/>
        </w:rPr>
        <w:t xml:space="preserve">listservs, and opportunities for additions and corrections were made available electronically as well as at ASBH annual meetings.) The report offers, therefore, a definition of health care ethics </w:t>
      </w:r>
      <w:r w:rsidR="00494F0C" w:rsidRPr="006A73A5">
        <w:rPr>
          <w:rFonts w:ascii="Times New Roman"/>
          <w:lang w:val="en-GB"/>
        </w:rPr>
        <w:t>consultation that is as close to</w:t>
      </w:r>
      <w:r w:rsidRPr="006A73A5">
        <w:rPr>
          <w:rFonts w:ascii="Times New Roman"/>
          <w:lang w:val="en-GB"/>
        </w:rPr>
        <w:t xml:space="preserve"> a consensus statement as the field currently allows:</w:t>
      </w:r>
      <w:r w:rsidR="00742B74">
        <w:rPr>
          <w:rFonts w:ascii="Times New Roman" w:eastAsia="Times New Roman" w:hAnsi="Times New Roman" w:cs="Times New Roman"/>
          <w:lang w:val="en-GB"/>
        </w:rPr>
        <w:t xml:space="preserve">  </w:t>
      </w:r>
      <w:r w:rsidRPr="006A73A5">
        <w:rPr>
          <w:rFonts w:hAnsi="Times New Roman"/>
          <w:lang w:val="en-GB"/>
        </w:rPr>
        <w:t>“</w:t>
      </w:r>
      <w:r w:rsidRPr="006A73A5">
        <w:rPr>
          <w:rFonts w:ascii="Times New Roman"/>
          <w:lang w:val="en-GB"/>
        </w:rPr>
        <w:t xml:space="preserve">Healthcare ethics consultation (HCEC or </w:t>
      </w:r>
      <w:r w:rsidRPr="006A73A5">
        <w:rPr>
          <w:rFonts w:hAnsi="Times New Roman"/>
          <w:lang w:val="en-GB"/>
        </w:rPr>
        <w:t>‘</w:t>
      </w:r>
      <w:r w:rsidRPr="006A73A5">
        <w:rPr>
          <w:rFonts w:ascii="Times New Roman"/>
          <w:lang w:val="en-GB"/>
        </w:rPr>
        <w:t>ethics consultation</w:t>
      </w:r>
      <w:r w:rsidRPr="006A73A5">
        <w:rPr>
          <w:rFonts w:hAnsi="Times New Roman"/>
          <w:lang w:val="en-GB"/>
        </w:rPr>
        <w:t>’</w:t>
      </w:r>
      <w:r w:rsidRPr="006A73A5">
        <w:rPr>
          <w:rFonts w:ascii="Times New Roman"/>
          <w:lang w:val="en-GB"/>
        </w:rPr>
        <w:t>) is a set of services provided by an individual or group in response to questions from patients, families, surrogates, healthcare professionals, or other involved parties who seek to resolve uncertainty or conflict regarding the value-laden concerns that emerge in healthcare.</w:t>
      </w:r>
      <w:r w:rsidRPr="006A73A5">
        <w:rPr>
          <w:rFonts w:hAnsi="Times New Roman"/>
          <w:lang w:val="en-GB"/>
        </w:rPr>
        <w:t>”</w:t>
      </w:r>
      <w:r w:rsidRPr="006A73A5">
        <w:rPr>
          <w:rFonts w:ascii="Times New Roman" w:eastAsia="Times New Roman" w:hAnsi="Times New Roman" w:cs="Times New Roman"/>
          <w:vertAlign w:val="superscript"/>
          <w:lang w:val="en-GB"/>
        </w:rPr>
        <w:footnoteReference w:id="16"/>
      </w:r>
      <w:r w:rsidRPr="006A73A5">
        <w:rPr>
          <w:rFonts w:ascii="Times New Roman"/>
          <w:lang w:val="en-GB"/>
        </w:rPr>
        <w:t xml:space="preserve">              </w:t>
      </w:r>
    </w:p>
    <w:p w14:paraId="60810AE1"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As one might infer from the austerity of the definition, the report allows for a range of approaches to the resolution of value conflict. The authors are agnostic as to whether services should be provided by individuals or </w:t>
      </w:r>
      <w:r w:rsidR="007C2FF8">
        <w:rPr>
          <w:rFonts w:ascii="Times New Roman"/>
          <w:lang w:val="en-GB"/>
        </w:rPr>
        <w:t xml:space="preserve">by </w:t>
      </w:r>
      <w:r w:rsidRPr="006A73A5">
        <w:rPr>
          <w:rFonts w:ascii="Times New Roman"/>
          <w:lang w:val="en-GB"/>
        </w:rPr>
        <w:t xml:space="preserve">teams, or whether consultants should be drawn from </w:t>
      </w:r>
      <w:r w:rsidR="00742B74">
        <w:rPr>
          <w:rFonts w:ascii="Times New Roman"/>
          <w:lang w:val="en-GB"/>
        </w:rPr>
        <w:t xml:space="preserve">medicine, </w:t>
      </w:r>
      <w:r w:rsidRPr="006A73A5">
        <w:rPr>
          <w:rFonts w:ascii="Times New Roman"/>
          <w:lang w:val="en-GB"/>
        </w:rPr>
        <w:t xml:space="preserve">the regulated health care </w:t>
      </w:r>
      <w:r w:rsidRPr="008C2BB6">
        <w:rPr>
          <w:rFonts w:ascii="Times New Roman"/>
          <w:lang w:val="en-GB"/>
        </w:rPr>
        <w:t>professions</w:t>
      </w:r>
      <w:r w:rsidR="00742B74" w:rsidRPr="008C2BB6">
        <w:rPr>
          <w:rFonts w:ascii="Times New Roman"/>
          <w:lang w:val="en-GB"/>
        </w:rPr>
        <w:t>,</w:t>
      </w:r>
      <w:r w:rsidRPr="008C2BB6">
        <w:rPr>
          <w:rFonts w:ascii="Times New Roman"/>
          <w:lang w:val="en-GB"/>
        </w:rPr>
        <w:t xml:space="preserve"> or from</w:t>
      </w:r>
      <w:r w:rsidRPr="006A73A5">
        <w:rPr>
          <w:rFonts w:ascii="Times New Roman"/>
          <w:lang w:val="en-GB"/>
        </w:rPr>
        <w:t xml:space="preserve"> the </w:t>
      </w:r>
      <w:r w:rsidR="00EF27B3">
        <w:rPr>
          <w:rFonts w:ascii="Times New Roman"/>
          <w:lang w:val="en-GB"/>
        </w:rPr>
        <w:t xml:space="preserve">social sciences and the </w:t>
      </w:r>
      <w:r w:rsidRPr="006A73A5">
        <w:rPr>
          <w:rFonts w:ascii="Times New Roman"/>
          <w:lang w:val="en-GB"/>
        </w:rPr>
        <w:t xml:space="preserve">humanities. They are even </w:t>
      </w:r>
      <w:r w:rsidRPr="006A73A5">
        <w:rPr>
          <w:rFonts w:ascii="Times New Roman"/>
          <w:lang w:val="en-GB"/>
        </w:rPr>
        <w:lastRenderedPageBreak/>
        <w:t xml:space="preserve">circumspect about what counts as an ethical issue. They are, however, more prescriptive with respect to what they call the matter of method when they caution against two ill-advised approaches to conflict resolution. The first, which is called the </w:t>
      </w:r>
      <w:r w:rsidRPr="006A73A5">
        <w:rPr>
          <w:rFonts w:hAnsi="Times New Roman"/>
          <w:lang w:val="en-GB"/>
        </w:rPr>
        <w:t>‘</w:t>
      </w:r>
      <w:r w:rsidRPr="006A73A5">
        <w:rPr>
          <w:rFonts w:ascii="Times New Roman"/>
          <w:lang w:val="en-GB"/>
        </w:rPr>
        <w:t>pure consensus approach,</w:t>
      </w:r>
      <w:r w:rsidRPr="006A73A5">
        <w:rPr>
          <w:rFonts w:hAnsi="Times New Roman"/>
          <w:lang w:val="en-GB"/>
        </w:rPr>
        <w:t>’</w:t>
      </w:r>
      <w:r w:rsidRPr="006A73A5">
        <w:rPr>
          <w:rFonts w:hAnsi="Times New Roman"/>
          <w:lang w:val="en-GB"/>
        </w:rPr>
        <w:t xml:space="preserve"> </w:t>
      </w:r>
      <w:r w:rsidRPr="006A73A5">
        <w:rPr>
          <w:rFonts w:ascii="Times New Roman"/>
          <w:lang w:val="en-GB"/>
        </w:rPr>
        <w:t>sees the ethicist as a mediator focussed solely on the outcomes of the consultation: if agreements are forged between opposing parties (for example, between a patient</w:t>
      </w:r>
      <w:r w:rsidRPr="006A73A5">
        <w:rPr>
          <w:rFonts w:hAnsi="Times New Roman"/>
          <w:lang w:val="en-GB"/>
        </w:rPr>
        <w:t>’</w:t>
      </w:r>
      <w:r w:rsidRPr="006A73A5">
        <w:rPr>
          <w:rFonts w:ascii="Times New Roman"/>
          <w:lang w:val="en-GB"/>
        </w:rPr>
        <w:t xml:space="preserve">s family and his treating team), then the consultation can be deemed successful. The substance of the agreement, in other words, is inconsequential. The second, which is labelled simply the </w:t>
      </w:r>
      <w:r w:rsidRPr="006A73A5">
        <w:rPr>
          <w:rFonts w:hAnsi="Times New Roman"/>
          <w:lang w:val="en-GB"/>
        </w:rPr>
        <w:t>‘</w:t>
      </w:r>
      <w:r w:rsidRPr="006A73A5">
        <w:rPr>
          <w:rFonts w:ascii="Times New Roman"/>
          <w:lang w:val="en-GB"/>
        </w:rPr>
        <w:t>authoritarian approach,</w:t>
      </w:r>
      <w:r w:rsidRPr="006A73A5">
        <w:rPr>
          <w:rFonts w:hAnsi="Times New Roman"/>
          <w:lang w:val="en-GB"/>
        </w:rPr>
        <w:t>’</w:t>
      </w:r>
      <w:r w:rsidRPr="006A73A5">
        <w:rPr>
          <w:rFonts w:hAnsi="Times New Roman"/>
          <w:lang w:val="en-GB"/>
        </w:rPr>
        <w:t xml:space="preserve"> </w:t>
      </w:r>
      <w:r w:rsidRPr="006A73A5">
        <w:rPr>
          <w:rFonts w:ascii="Times New Roman"/>
          <w:lang w:val="en-GB"/>
        </w:rPr>
        <w:t>makes the ethicist the ultimate arbiter of disputes: that is, she will judge</w:t>
      </w:r>
      <w:r w:rsidR="00BF68BA">
        <w:rPr>
          <w:rFonts w:ascii="Times New Roman"/>
          <w:lang w:val="en-GB"/>
        </w:rPr>
        <w:t xml:space="preserve"> whose values ought to prevail. On this latter approach, t</w:t>
      </w:r>
      <w:r w:rsidRPr="006A73A5">
        <w:rPr>
          <w:rFonts w:ascii="Times New Roman"/>
          <w:lang w:val="en-GB"/>
        </w:rPr>
        <w:t>o return to our earlier example</w:t>
      </w:r>
      <w:r w:rsidR="00A666B2">
        <w:rPr>
          <w:rFonts w:ascii="Times New Roman"/>
          <w:lang w:val="en-GB"/>
        </w:rPr>
        <w:t>,</w:t>
      </w:r>
      <w:r w:rsidRPr="006A73A5">
        <w:rPr>
          <w:rFonts w:ascii="Times New Roman"/>
          <w:lang w:val="en-GB"/>
        </w:rPr>
        <w:t xml:space="preserve"> the ethicist is charged with the task of deciding whether the family or the team has the better case,</w:t>
      </w:r>
      <w:r w:rsidR="00BF68BA">
        <w:rPr>
          <w:rFonts w:ascii="Times New Roman"/>
          <w:lang w:val="en-GB"/>
        </w:rPr>
        <w:t xml:space="preserve"> and sh</w:t>
      </w:r>
      <w:r w:rsidRPr="006A73A5">
        <w:rPr>
          <w:rFonts w:ascii="Times New Roman"/>
          <w:lang w:val="en-GB"/>
        </w:rPr>
        <w:t>e is empowered to override them both and may propose, or indeed impose, an alternative of her own.</w:t>
      </w:r>
    </w:p>
    <w:p w14:paraId="518B4795"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The authors of the </w:t>
      </w:r>
      <w:r w:rsidRPr="006A73A5">
        <w:rPr>
          <w:rFonts w:ascii="Times New Roman"/>
          <w:i/>
          <w:iCs/>
          <w:lang w:val="en-GB"/>
        </w:rPr>
        <w:t>Core Competencies</w:t>
      </w:r>
      <w:r w:rsidRPr="006A73A5">
        <w:rPr>
          <w:rFonts w:ascii="Times New Roman"/>
          <w:lang w:val="en-GB"/>
        </w:rPr>
        <w:t xml:space="preserve"> make the reassuring claim that </w:t>
      </w:r>
      <w:r w:rsidRPr="006A73A5">
        <w:rPr>
          <w:rFonts w:hAnsi="Times New Roman"/>
          <w:lang w:val="en-GB"/>
        </w:rPr>
        <w:t>“</w:t>
      </w:r>
      <w:r w:rsidRPr="006A73A5">
        <w:rPr>
          <w:rFonts w:ascii="Times New Roman"/>
          <w:lang w:val="en-GB"/>
        </w:rPr>
        <w:t>[t]he field has rejected both of these extremes.</w:t>
      </w:r>
      <w:r w:rsidRPr="006A73A5">
        <w:rPr>
          <w:rFonts w:hAnsi="Times New Roman"/>
          <w:lang w:val="en-GB"/>
        </w:rPr>
        <w:t>”</w:t>
      </w:r>
      <w:r w:rsidRPr="006A73A5">
        <w:rPr>
          <w:rFonts w:ascii="Times New Roman" w:eastAsia="Times New Roman" w:hAnsi="Times New Roman" w:cs="Times New Roman"/>
          <w:vertAlign w:val="superscript"/>
          <w:lang w:val="en-GB"/>
        </w:rPr>
        <w:footnoteReference w:id="17"/>
      </w:r>
      <w:r w:rsidRPr="006A73A5">
        <w:rPr>
          <w:rFonts w:ascii="Times New Roman"/>
          <w:lang w:val="en-GB"/>
        </w:rPr>
        <w:t xml:space="preserve"> These are merely provided as foils for the approach that they recommend and, presumably, most practising health care ethicists endorse. This middle way is dubbed the </w:t>
      </w:r>
      <w:r w:rsidRPr="006A73A5">
        <w:rPr>
          <w:rFonts w:hAnsi="Times New Roman"/>
          <w:lang w:val="en-GB"/>
        </w:rPr>
        <w:t>‘</w:t>
      </w:r>
      <w:r w:rsidRPr="006A73A5">
        <w:rPr>
          <w:rFonts w:ascii="Times New Roman"/>
          <w:lang w:val="en-GB"/>
        </w:rPr>
        <w:t>ethics facilitation approach</w:t>
      </w:r>
      <w:r w:rsidRPr="006A73A5">
        <w:rPr>
          <w:rFonts w:hAnsi="Times New Roman"/>
          <w:lang w:val="en-GB"/>
        </w:rPr>
        <w:t>’</w:t>
      </w:r>
      <w:r w:rsidRPr="006A73A5">
        <w:rPr>
          <w:rFonts w:hAnsi="Times New Roman"/>
          <w:lang w:val="en-GB"/>
        </w:rPr>
        <w:t xml:space="preserve"> </w:t>
      </w:r>
      <w:r w:rsidRPr="006A73A5">
        <w:rPr>
          <w:rFonts w:ascii="Times New Roman"/>
          <w:lang w:val="en-GB"/>
        </w:rPr>
        <w:t>and it combines the knowledge, skills and attributes</w:t>
      </w:r>
      <w:r w:rsidRPr="006A73A5">
        <w:rPr>
          <w:rFonts w:ascii="Times New Roman" w:eastAsia="Times New Roman" w:hAnsi="Times New Roman" w:cs="Times New Roman"/>
          <w:vertAlign w:val="superscript"/>
          <w:lang w:val="en-GB"/>
        </w:rPr>
        <w:footnoteReference w:id="18"/>
      </w:r>
      <w:r w:rsidRPr="006A73A5">
        <w:rPr>
          <w:rFonts w:ascii="Times New Roman"/>
          <w:lang w:val="en-GB"/>
        </w:rPr>
        <w:t xml:space="preserve"> that are important </w:t>
      </w:r>
      <w:r w:rsidRPr="006A73A5">
        <w:rPr>
          <w:rFonts w:ascii="Times New Roman"/>
          <w:lang w:val="en-GB"/>
        </w:rPr>
        <w:lastRenderedPageBreak/>
        <w:t>to fostering the sort of respectful and effective communication required to reason through the complexity generated by competing value commitments. If the health care ethicist is committed to this method, her aim will not be to impose her own conception of the good on her clients. (</w:t>
      </w:r>
      <w:r w:rsidR="00C635D3" w:rsidRPr="006A73A5">
        <w:rPr>
          <w:rFonts w:ascii="Times New Roman"/>
          <w:lang w:val="en-GB"/>
        </w:rPr>
        <w:t>Indeed</w:t>
      </w:r>
      <w:r w:rsidRPr="006A73A5">
        <w:rPr>
          <w:rFonts w:ascii="Times New Roman"/>
          <w:lang w:val="en-GB"/>
        </w:rPr>
        <w:t xml:space="preserve">, it would be rare for her values to be in the foreground at all.) According to the </w:t>
      </w:r>
      <w:r w:rsidRPr="006A73A5">
        <w:rPr>
          <w:rFonts w:ascii="Times New Roman"/>
          <w:i/>
          <w:iCs/>
          <w:lang w:val="en-GB"/>
        </w:rPr>
        <w:t>Core Competencies</w:t>
      </w:r>
      <w:r w:rsidRPr="006A73A5">
        <w:rPr>
          <w:rFonts w:ascii="Times New Roman"/>
          <w:lang w:val="en-GB"/>
        </w:rPr>
        <w:t xml:space="preserve"> report, </w:t>
      </w:r>
      <w:r w:rsidRPr="006A73A5">
        <w:rPr>
          <w:rFonts w:hAnsi="Times New Roman"/>
          <w:lang w:val="en-GB"/>
        </w:rPr>
        <w:t>“</w:t>
      </w:r>
      <w:r w:rsidRPr="006A73A5">
        <w:rPr>
          <w:rFonts w:ascii="Times New Roman"/>
          <w:lang w:val="en-GB"/>
        </w:rPr>
        <w:t>The consultant helps relevant decision makers fashion a plan that respects the needs and values of those involved and that is within the bounds of ethical and legal standards.</w:t>
      </w:r>
      <w:r w:rsidRPr="006A73A5">
        <w:rPr>
          <w:rFonts w:hAnsi="Times New Roman"/>
          <w:lang w:val="en-GB"/>
        </w:rPr>
        <w:t>”</w:t>
      </w:r>
      <w:r w:rsidRPr="006A73A5">
        <w:rPr>
          <w:rFonts w:ascii="Times New Roman" w:eastAsia="Times New Roman" w:hAnsi="Times New Roman" w:cs="Times New Roman"/>
          <w:vertAlign w:val="superscript"/>
          <w:lang w:val="en-GB"/>
        </w:rPr>
        <w:footnoteReference w:id="19"/>
      </w:r>
    </w:p>
    <w:p w14:paraId="674603E8"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Those who are concerned about the potential for health care ethics consultation to provide cover for an elitist and unstated agenda (that of the ethicist herself</w:t>
      </w:r>
      <w:r w:rsidR="00767EC4">
        <w:rPr>
          <w:rFonts w:ascii="Times New Roman"/>
          <w:lang w:val="en-GB"/>
        </w:rPr>
        <w:t>,</w:t>
      </w:r>
      <w:r w:rsidRPr="006A73A5">
        <w:rPr>
          <w:rFonts w:ascii="Times New Roman"/>
          <w:lang w:val="en-GB"/>
        </w:rPr>
        <w:t xml:space="preserve"> or of her employers) may take some comfort in the care that the authors have taken to construct this deceptively simple statement. It should be noted that </w:t>
      </w:r>
      <w:r w:rsidR="00097BD1">
        <w:rPr>
          <w:rFonts w:ascii="Times New Roman"/>
          <w:lang w:val="en-GB"/>
        </w:rPr>
        <w:t xml:space="preserve">it </w:t>
      </w:r>
      <w:r w:rsidRPr="006A73A5">
        <w:rPr>
          <w:rFonts w:ascii="Times New Roman"/>
          <w:lang w:val="en-GB"/>
        </w:rPr>
        <w:t xml:space="preserve">is the </w:t>
      </w:r>
      <w:r w:rsidRPr="006A73A5">
        <w:rPr>
          <w:rFonts w:hAnsi="Times New Roman"/>
          <w:lang w:val="en-GB"/>
        </w:rPr>
        <w:t>“</w:t>
      </w:r>
      <w:r w:rsidRPr="006A73A5">
        <w:rPr>
          <w:rFonts w:ascii="Times New Roman"/>
          <w:lang w:val="en-GB"/>
        </w:rPr>
        <w:t>relevant decision makers</w:t>
      </w:r>
      <w:r w:rsidRPr="006A73A5">
        <w:rPr>
          <w:rFonts w:hAnsi="Times New Roman"/>
          <w:lang w:val="en-GB"/>
        </w:rPr>
        <w:t>”</w:t>
      </w:r>
      <w:r w:rsidRPr="006A73A5">
        <w:rPr>
          <w:rFonts w:hAnsi="Times New Roman"/>
          <w:lang w:val="en-GB"/>
        </w:rPr>
        <w:t xml:space="preserve"> </w:t>
      </w:r>
      <w:r w:rsidRPr="006A73A5">
        <w:rPr>
          <w:rFonts w:ascii="Times New Roman"/>
          <w:lang w:val="en-GB"/>
        </w:rPr>
        <w:t xml:space="preserve">who are to arrive at a plan that </w:t>
      </w:r>
      <w:r w:rsidRPr="006A73A5">
        <w:rPr>
          <w:rFonts w:hAnsi="Times New Roman"/>
          <w:lang w:val="en-GB"/>
        </w:rPr>
        <w:t>“</w:t>
      </w:r>
      <w:r w:rsidRPr="006A73A5">
        <w:rPr>
          <w:rFonts w:ascii="Times New Roman"/>
          <w:lang w:val="en-GB"/>
        </w:rPr>
        <w:t>respects the needs and values</w:t>
      </w:r>
      <w:r w:rsidRPr="006A73A5">
        <w:rPr>
          <w:rFonts w:hAnsi="Times New Roman"/>
          <w:lang w:val="en-GB"/>
        </w:rPr>
        <w:t>”</w:t>
      </w:r>
      <w:r w:rsidRPr="006A73A5">
        <w:rPr>
          <w:rFonts w:hAnsi="Times New Roman"/>
          <w:lang w:val="en-GB"/>
        </w:rPr>
        <w:t xml:space="preserve"> </w:t>
      </w:r>
      <w:r w:rsidRPr="006A73A5">
        <w:rPr>
          <w:rFonts w:ascii="Times New Roman"/>
          <w:lang w:val="en-GB"/>
        </w:rPr>
        <w:t>of the involved parties.</w:t>
      </w:r>
      <w:r w:rsidRPr="006A73A5">
        <w:rPr>
          <w:rFonts w:ascii="Times New Roman" w:eastAsia="Times New Roman" w:hAnsi="Times New Roman" w:cs="Times New Roman"/>
          <w:vertAlign w:val="superscript"/>
          <w:lang w:val="en-GB"/>
        </w:rPr>
        <w:footnoteReference w:id="20"/>
      </w:r>
      <w:r w:rsidRPr="006A73A5">
        <w:rPr>
          <w:rFonts w:ascii="Times New Roman"/>
          <w:lang w:val="en-GB"/>
        </w:rPr>
        <w:t xml:space="preserve"> The ethicist has a role, and it is by no </w:t>
      </w:r>
      <w:r w:rsidRPr="006A73A5">
        <w:rPr>
          <w:rFonts w:ascii="Times New Roman"/>
          <w:lang w:val="en-GB"/>
        </w:rPr>
        <w:lastRenderedPageBreak/>
        <w:t>means an insignificant one, but that role is to ensure that the consultation is focussed on its ultimate aim</w:t>
      </w:r>
      <w:r w:rsidR="00494F0C">
        <w:rPr>
          <w:rFonts w:ascii="Times New Roman"/>
          <w:lang w:val="en-GB"/>
        </w:rPr>
        <w:t>,</w:t>
      </w:r>
      <w:r w:rsidRPr="006A73A5">
        <w:rPr>
          <w:rFonts w:ascii="Times New Roman"/>
          <w:lang w:val="en-GB"/>
        </w:rPr>
        <w:t xml:space="preserve"> which is </w:t>
      </w:r>
      <w:r w:rsidRPr="006A73A5">
        <w:rPr>
          <w:rFonts w:hAnsi="Times New Roman"/>
          <w:lang w:val="en-GB"/>
        </w:rPr>
        <w:t>“</w:t>
      </w:r>
      <w:r w:rsidRPr="006A73A5">
        <w:rPr>
          <w:rFonts w:ascii="Times New Roman"/>
          <w:lang w:val="en-GB"/>
        </w:rPr>
        <w:t>to improve the quality of health care through the identification, analysis, and resolution of ethical questions or concerns.</w:t>
      </w:r>
      <w:r w:rsidRPr="006A73A5">
        <w:rPr>
          <w:rFonts w:hAnsi="Times New Roman"/>
          <w:lang w:val="en-GB"/>
        </w:rPr>
        <w:t>”</w:t>
      </w:r>
      <w:r w:rsidRPr="006A73A5">
        <w:rPr>
          <w:rFonts w:ascii="Times New Roman" w:eastAsia="Times New Roman" w:hAnsi="Times New Roman" w:cs="Times New Roman"/>
          <w:vertAlign w:val="superscript"/>
          <w:lang w:val="en-GB"/>
        </w:rPr>
        <w:footnoteReference w:id="21"/>
      </w:r>
      <w:r w:rsidRPr="006A73A5">
        <w:rPr>
          <w:rFonts w:ascii="Times New Roman"/>
          <w:lang w:val="en-GB"/>
        </w:rPr>
        <w:t xml:space="preserve"> To make this end more likely the Core Competencies Task Force urged consultants to embrace a facilitator role </w:t>
      </w:r>
      <w:r w:rsidR="00494F0C">
        <w:rPr>
          <w:rFonts w:ascii="Times New Roman"/>
          <w:lang w:val="en-GB"/>
        </w:rPr>
        <w:t xml:space="preserve">that </w:t>
      </w:r>
      <w:r w:rsidRPr="006A73A5">
        <w:rPr>
          <w:rFonts w:ascii="Times New Roman"/>
          <w:lang w:val="en-GB"/>
        </w:rPr>
        <w:t xml:space="preserve">is distinguished by two </w:t>
      </w:r>
      <w:r w:rsidRPr="006A73A5">
        <w:rPr>
          <w:rFonts w:hAnsi="Times New Roman"/>
          <w:lang w:val="en-GB"/>
        </w:rPr>
        <w:t>“</w:t>
      </w:r>
      <w:r w:rsidRPr="006A73A5">
        <w:rPr>
          <w:rFonts w:ascii="Times New Roman"/>
          <w:lang w:val="en-GB"/>
        </w:rPr>
        <w:t>core features.</w:t>
      </w:r>
      <w:r w:rsidRPr="006A73A5">
        <w:rPr>
          <w:rFonts w:hAnsi="Times New Roman"/>
          <w:lang w:val="en-GB"/>
        </w:rPr>
        <w:t>”</w:t>
      </w:r>
      <w:r w:rsidRPr="006A73A5">
        <w:rPr>
          <w:rFonts w:hAnsi="Times New Roman"/>
          <w:lang w:val="en-GB"/>
        </w:rPr>
        <w:t xml:space="preserve"> </w:t>
      </w:r>
      <w:r w:rsidRPr="006A73A5">
        <w:rPr>
          <w:rFonts w:ascii="Times New Roman"/>
          <w:lang w:val="en-GB"/>
        </w:rPr>
        <w:t xml:space="preserve">These are </w:t>
      </w:r>
      <w:r w:rsidRPr="006A73A5">
        <w:rPr>
          <w:rFonts w:hAnsi="Times New Roman"/>
          <w:lang w:val="en-GB"/>
        </w:rPr>
        <w:t>“</w:t>
      </w:r>
      <w:r w:rsidRPr="006A73A5">
        <w:rPr>
          <w:rFonts w:ascii="Times New Roman"/>
          <w:lang w:val="en-GB"/>
        </w:rPr>
        <w:t xml:space="preserve">(1) identifying and </w:t>
      </w:r>
      <w:r w:rsidR="00C635D3" w:rsidRPr="006A73A5">
        <w:rPr>
          <w:rFonts w:ascii="Times New Roman"/>
          <w:lang w:val="en-GB"/>
        </w:rPr>
        <w:t>analysing</w:t>
      </w:r>
      <w:r w:rsidRPr="006A73A5">
        <w:rPr>
          <w:rFonts w:ascii="Times New Roman"/>
          <w:lang w:val="en-GB"/>
        </w:rPr>
        <w:t xml:space="preserve"> the nature of the value uncertainty, and (2) facilitating the building of a principled ethical resolution.</w:t>
      </w:r>
      <w:r w:rsidRPr="006A73A5">
        <w:rPr>
          <w:rFonts w:hAnsi="Times New Roman"/>
          <w:lang w:val="en-GB"/>
        </w:rPr>
        <w:t>”</w:t>
      </w:r>
      <w:r w:rsidRPr="006A73A5">
        <w:rPr>
          <w:rFonts w:ascii="Times New Roman" w:eastAsia="Times New Roman" w:hAnsi="Times New Roman" w:cs="Times New Roman"/>
          <w:vertAlign w:val="superscript"/>
          <w:lang w:val="en-GB"/>
        </w:rPr>
        <w:footnoteReference w:id="22"/>
      </w:r>
      <w:r w:rsidRPr="006A73A5">
        <w:rPr>
          <w:rFonts w:ascii="Times New Roman"/>
          <w:lang w:val="en-GB"/>
        </w:rPr>
        <w:t xml:space="preserve">   </w:t>
      </w:r>
    </w:p>
    <w:p w14:paraId="0410C0E3" w14:textId="77777777" w:rsidR="00C32E2A" w:rsidRPr="006A73A5" w:rsidRDefault="006A73A5">
      <w:pPr>
        <w:pStyle w:val="Body1"/>
        <w:spacing w:line="480" w:lineRule="auto"/>
        <w:rPr>
          <w:rFonts w:ascii="Times New Roman" w:eastAsia="Times New Roman" w:hAnsi="Times New Roman" w:cs="Times New Roman"/>
          <w:lang w:val="en-GB"/>
        </w:rPr>
      </w:pPr>
      <w:r w:rsidRPr="006A73A5">
        <w:rPr>
          <w:rFonts w:ascii="Times New Roman"/>
          <w:lang w:val="en-GB"/>
        </w:rPr>
        <w:t>The second of these core features, facilitating the building of a principled ethical resolution, is arguably less controversial than the first and its c</w:t>
      </w:r>
      <w:r w:rsidR="00C5187A">
        <w:rPr>
          <w:rFonts w:ascii="Times New Roman"/>
          <w:lang w:val="en-GB"/>
        </w:rPr>
        <w:t>haracter</w:t>
      </w:r>
      <w:r w:rsidRPr="006A73A5">
        <w:rPr>
          <w:rFonts w:ascii="Times New Roman"/>
          <w:lang w:val="en-GB"/>
        </w:rPr>
        <w:t xml:space="preserve"> will be familiar to those non-ethicists (such as genetic counsellors, spiritual care providers</w:t>
      </w:r>
      <w:r w:rsidR="00767EC4">
        <w:rPr>
          <w:rFonts w:ascii="Times New Roman"/>
          <w:lang w:val="en-GB"/>
        </w:rPr>
        <w:t>,</w:t>
      </w:r>
      <w:r w:rsidRPr="006A73A5">
        <w:rPr>
          <w:rFonts w:ascii="Times New Roman"/>
          <w:lang w:val="en-GB"/>
        </w:rPr>
        <w:t xml:space="preserve"> or social workers) who engage in the various non-directive facilitation activities that </w:t>
      </w:r>
      <w:r w:rsidR="00147A87">
        <w:rPr>
          <w:rFonts w:ascii="Times New Roman"/>
          <w:lang w:val="en-GB"/>
        </w:rPr>
        <w:t xml:space="preserve">routinely </w:t>
      </w:r>
      <w:r w:rsidRPr="006A73A5">
        <w:rPr>
          <w:rFonts w:ascii="Times New Roman"/>
          <w:lang w:val="en-GB"/>
        </w:rPr>
        <w:t xml:space="preserve">occur in health care settings. It largely consists in ensuring that the various parties have reliable and reasonably complete information, occasions to </w:t>
      </w:r>
      <w:r w:rsidR="00EF27B3">
        <w:rPr>
          <w:rFonts w:ascii="Times New Roman"/>
          <w:lang w:val="en-GB"/>
        </w:rPr>
        <w:t>participate in</w:t>
      </w:r>
      <w:r w:rsidRPr="006A73A5">
        <w:rPr>
          <w:rFonts w:ascii="Times New Roman"/>
          <w:lang w:val="en-GB"/>
        </w:rPr>
        <w:t xml:space="preserve"> the discussions that concern them, and opportunities to be listened to with respect. A skilful facilitator will also be attentive to moments when parties need assistance to identify and clarify the values that they hold and will help them to recognize points of agreement and disagreement. When needed, she will help to resolve uncertainty about factual matters (such as the meaning of medical terminology, or the content of institutional policy, or how to identify a </w:t>
      </w:r>
      <w:r w:rsidRPr="006A73A5">
        <w:rPr>
          <w:rFonts w:ascii="Times New Roman"/>
          <w:lang w:val="en-GB"/>
        </w:rPr>
        <w:lastRenderedPageBreak/>
        <w:t>patient</w:t>
      </w:r>
      <w:r w:rsidRPr="006A73A5">
        <w:rPr>
          <w:rFonts w:hAnsi="Times New Roman"/>
          <w:lang w:val="en-GB"/>
        </w:rPr>
        <w:t>’</w:t>
      </w:r>
      <w:r w:rsidRPr="006A73A5">
        <w:rPr>
          <w:rFonts w:ascii="Times New Roman"/>
          <w:lang w:val="en-GB"/>
        </w:rPr>
        <w:t xml:space="preserve">s legally-authorized decision-makers under the </w:t>
      </w:r>
      <w:r w:rsidRPr="006A73A5">
        <w:rPr>
          <w:rFonts w:ascii="Times New Roman"/>
          <w:i/>
          <w:iCs/>
          <w:lang w:val="en-GB"/>
        </w:rPr>
        <w:t>Health Care Consent Act</w:t>
      </w:r>
      <w:r w:rsidRPr="006A73A5">
        <w:rPr>
          <w:rFonts w:ascii="Times New Roman"/>
          <w:lang w:val="en-GB"/>
        </w:rPr>
        <w:t>). Finally, if conflict persists, she will often employ mediation techniques in an effort to resolve or to manage conflicts.</w:t>
      </w:r>
      <w:r w:rsidRPr="006A73A5">
        <w:rPr>
          <w:rFonts w:ascii="Times New Roman" w:eastAsia="Times New Roman" w:hAnsi="Times New Roman" w:cs="Times New Roman"/>
          <w:vertAlign w:val="superscript"/>
          <w:lang w:val="en-GB"/>
        </w:rPr>
        <w:footnoteReference w:id="23"/>
      </w:r>
    </w:p>
    <w:p w14:paraId="11C483A2" w14:textId="408F53D4"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The goal of </w:t>
      </w:r>
      <w:r w:rsidRPr="006A73A5">
        <w:rPr>
          <w:rFonts w:hAnsi="Times New Roman"/>
          <w:lang w:val="en-GB"/>
        </w:rPr>
        <w:t>“</w:t>
      </w:r>
      <w:r w:rsidRPr="006A73A5">
        <w:rPr>
          <w:rFonts w:ascii="Times New Roman"/>
          <w:lang w:val="en-GB"/>
        </w:rPr>
        <w:t xml:space="preserve">identifying and </w:t>
      </w:r>
      <w:r w:rsidR="00C635D3" w:rsidRPr="006A73A5">
        <w:rPr>
          <w:rFonts w:ascii="Times New Roman"/>
          <w:lang w:val="en-GB"/>
        </w:rPr>
        <w:t>analysing</w:t>
      </w:r>
      <w:r w:rsidRPr="006A73A5">
        <w:rPr>
          <w:rFonts w:ascii="Times New Roman"/>
          <w:lang w:val="en-GB"/>
        </w:rPr>
        <w:t xml:space="preserve"> the nature of value uncertainty</w:t>
      </w:r>
      <w:r w:rsidRPr="006A73A5">
        <w:rPr>
          <w:rFonts w:hAnsi="Times New Roman"/>
          <w:lang w:val="en-GB"/>
        </w:rPr>
        <w:t>”</w:t>
      </w:r>
      <w:r w:rsidRPr="006A73A5">
        <w:rPr>
          <w:rFonts w:hAnsi="Times New Roman"/>
          <w:lang w:val="en-GB"/>
        </w:rPr>
        <w:t xml:space="preserve"> </w:t>
      </w:r>
      <w:r w:rsidRPr="006A73A5">
        <w:rPr>
          <w:rFonts w:ascii="Times New Roman"/>
          <w:lang w:val="en-GB"/>
        </w:rPr>
        <w:t xml:space="preserve">is the part of health care ethics consultation </w:t>
      </w:r>
      <w:r w:rsidR="00494F0C">
        <w:rPr>
          <w:rFonts w:ascii="Times New Roman"/>
          <w:lang w:val="en-GB"/>
        </w:rPr>
        <w:t>that</w:t>
      </w:r>
      <w:r w:rsidRPr="006A73A5">
        <w:rPr>
          <w:rFonts w:ascii="Times New Roman"/>
          <w:lang w:val="en-GB"/>
        </w:rPr>
        <w:t xml:space="preserve"> may attract the greater degree of controversy. A consultation typically begins with a request</w:t>
      </w:r>
      <w:r w:rsidR="00B75A08">
        <w:rPr>
          <w:rFonts w:ascii="Times New Roman"/>
          <w:lang w:val="en-GB"/>
        </w:rPr>
        <w:t xml:space="preserve"> for</w:t>
      </w:r>
      <w:r w:rsidRPr="006A73A5">
        <w:rPr>
          <w:rFonts w:ascii="Times New Roman"/>
          <w:lang w:val="en-GB"/>
        </w:rPr>
        <w:t xml:space="preserve"> support in answering an ethically</w:t>
      </w:r>
      <w:r w:rsidR="00196DA9">
        <w:rPr>
          <w:rFonts w:ascii="Times New Roman"/>
          <w:lang w:val="en-GB"/>
        </w:rPr>
        <w:t xml:space="preserve"> </w:t>
      </w:r>
      <w:r w:rsidRPr="006A73A5">
        <w:rPr>
          <w:rFonts w:ascii="Times New Roman"/>
          <w:lang w:val="en-GB"/>
        </w:rPr>
        <w:t xml:space="preserve">challenging question, such as, Is it ethically defensible to </w:t>
      </w:r>
      <w:r w:rsidRPr="006A73A5">
        <w:rPr>
          <w:rFonts w:hAnsi="Times New Roman"/>
          <w:lang w:val="en-GB"/>
        </w:rPr>
        <w:t>‘</w:t>
      </w:r>
      <w:r w:rsidRPr="006A73A5">
        <w:rPr>
          <w:rFonts w:ascii="Times New Roman"/>
          <w:lang w:val="en-GB"/>
        </w:rPr>
        <w:t>starve</w:t>
      </w:r>
      <w:r w:rsidRPr="006A73A5">
        <w:rPr>
          <w:rFonts w:hAnsi="Times New Roman"/>
          <w:lang w:val="en-GB"/>
        </w:rPr>
        <w:t>’</w:t>
      </w:r>
      <w:r w:rsidRPr="006A73A5">
        <w:rPr>
          <w:rFonts w:hAnsi="Times New Roman"/>
          <w:lang w:val="en-GB"/>
        </w:rPr>
        <w:t xml:space="preserve"> </w:t>
      </w:r>
      <w:r w:rsidRPr="006A73A5">
        <w:rPr>
          <w:rFonts w:ascii="Times New Roman"/>
          <w:lang w:val="en-GB"/>
        </w:rPr>
        <w:t xml:space="preserve">Mr Beaton who is </w:t>
      </w:r>
      <w:r w:rsidR="00EF27B3">
        <w:rPr>
          <w:rFonts w:ascii="Times New Roman"/>
          <w:lang w:val="en-GB"/>
        </w:rPr>
        <w:t xml:space="preserve">a frail patient </w:t>
      </w:r>
      <w:r w:rsidRPr="006A73A5">
        <w:rPr>
          <w:rFonts w:ascii="Times New Roman"/>
          <w:lang w:val="en-GB"/>
        </w:rPr>
        <w:t>in the final stage of dementia</w:t>
      </w:r>
      <w:r w:rsidR="00BF68BA">
        <w:rPr>
          <w:rFonts w:ascii="Times New Roman"/>
          <w:lang w:val="en-GB"/>
        </w:rPr>
        <w:t xml:space="preserve"> and subject to frequent bouts of feeding-related aspiration pneumonia</w:t>
      </w:r>
      <w:r w:rsidRPr="006A73A5">
        <w:rPr>
          <w:rFonts w:ascii="Times New Roman"/>
          <w:lang w:val="en-GB"/>
        </w:rPr>
        <w:t xml:space="preserve">? This sort of query will trigger fact-finding activities by the ethicist such as reviewing any relevant literature (including institutional policies, professional codes of ethics, </w:t>
      </w:r>
      <w:r w:rsidR="002B09BE">
        <w:rPr>
          <w:rFonts w:ascii="Times New Roman"/>
          <w:lang w:val="en-GB"/>
        </w:rPr>
        <w:t>relevant</w:t>
      </w:r>
      <w:r w:rsidRPr="006A73A5">
        <w:rPr>
          <w:rFonts w:ascii="Times New Roman"/>
          <w:lang w:val="en-GB"/>
        </w:rPr>
        <w:t xml:space="preserve"> bioethics texts, and legal materials); examining the patient</w:t>
      </w:r>
      <w:r w:rsidRPr="006A73A5">
        <w:rPr>
          <w:rFonts w:hAnsi="Times New Roman"/>
          <w:lang w:val="en-GB"/>
        </w:rPr>
        <w:t>’</w:t>
      </w:r>
      <w:r w:rsidRPr="006A73A5">
        <w:rPr>
          <w:rFonts w:ascii="Times New Roman"/>
          <w:lang w:val="en-GB"/>
        </w:rPr>
        <w:t xml:space="preserve">s medical records; and </w:t>
      </w:r>
      <w:r w:rsidR="000B641B">
        <w:rPr>
          <w:rFonts w:ascii="Times New Roman"/>
          <w:lang w:val="en-GB"/>
        </w:rPr>
        <w:t>engag</w:t>
      </w:r>
      <w:r w:rsidRPr="006A73A5">
        <w:rPr>
          <w:rFonts w:ascii="Times New Roman"/>
          <w:lang w:val="en-GB"/>
        </w:rPr>
        <w:t xml:space="preserve">ing key stakeholders. Who these stakeholders might be is not always </w:t>
      </w:r>
      <w:r w:rsidR="00B53552">
        <w:rPr>
          <w:rFonts w:ascii="Times New Roman"/>
          <w:lang w:val="en-GB"/>
        </w:rPr>
        <w:t>self-evident</w:t>
      </w:r>
      <w:r w:rsidRPr="006A73A5">
        <w:rPr>
          <w:rFonts w:ascii="Times New Roman"/>
          <w:lang w:val="en-GB"/>
        </w:rPr>
        <w:t xml:space="preserve">, but if </w:t>
      </w:r>
      <w:r w:rsidR="00196DA9">
        <w:rPr>
          <w:rFonts w:ascii="Times New Roman"/>
          <w:lang w:val="en-GB"/>
        </w:rPr>
        <w:t>a</w:t>
      </w:r>
      <w:r w:rsidRPr="006A73A5">
        <w:rPr>
          <w:rFonts w:ascii="Times New Roman"/>
          <w:lang w:val="en-GB"/>
        </w:rPr>
        <w:t xml:space="preserve"> patient is capable of making his own </w:t>
      </w:r>
      <w:r w:rsidR="00D25CE7">
        <w:rPr>
          <w:rFonts w:ascii="Times New Roman"/>
          <w:lang w:val="en-GB"/>
        </w:rPr>
        <w:t xml:space="preserve">health-related </w:t>
      </w:r>
      <w:r w:rsidRPr="006A73A5">
        <w:rPr>
          <w:rFonts w:ascii="Times New Roman"/>
          <w:lang w:val="en-GB"/>
        </w:rPr>
        <w:t>decisions it w</w:t>
      </w:r>
      <w:r w:rsidR="00FC53EB">
        <w:rPr>
          <w:rFonts w:ascii="Times New Roman"/>
          <w:lang w:val="en-GB"/>
        </w:rPr>
        <w:t>ill</w:t>
      </w:r>
      <w:r w:rsidRPr="006A73A5">
        <w:rPr>
          <w:rFonts w:ascii="Times New Roman"/>
          <w:lang w:val="en-GB"/>
        </w:rPr>
        <w:t xml:space="preserve"> </w:t>
      </w:r>
      <w:r w:rsidR="00FC53EB">
        <w:rPr>
          <w:rFonts w:ascii="Times New Roman"/>
          <w:lang w:val="en-GB"/>
        </w:rPr>
        <w:t xml:space="preserve">almost </w:t>
      </w:r>
      <w:r w:rsidRPr="006A73A5">
        <w:rPr>
          <w:rFonts w:ascii="Times New Roman"/>
          <w:lang w:val="en-GB"/>
        </w:rPr>
        <w:t xml:space="preserve">always be indefensible to exclude him from this process. Other parties </w:t>
      </w:r>
      <w:r w:rsidRPr="006A73A5">
        <w:rPr>
          <w:rFonts w:ascii="Times New Roman"/>
          <w:lang w:val="en-GB"/>
        </w:rPr>
        <w:lastRenderedPageBreak/>
        <w:t>with moral standing typically will b</w:t>
      </w:r>
      <w:r w:rsidR="00BF68BA">
        <w:rPr>
          <w:rFonts w:ascii="Times New Roman"/>
          <w:lang w:val="en-GB"/>
        </w:rPr>
        <w:t>e the most responsible practitioner</w:t>
      </w:r>
      <w:r w:rsidR="00021190">
        <w:rPr>
          <w:rFonts w:ascii="Times New Roman"/>
          <w:lang w:val="en-GB"/>
        </w:rPr>
        <w:t xml:space="preserve"> (MRP)</w:t>
      </w:r>
      <w:r w:rsidR="00BF68BA">
        <w:rPr>
          <w:rStyle w:val="FootnoteReference"/>
          <w:rFonts w:ascii="Times New Roman"/>
          <w:lang w:val="en-GB"/>
        </w:rPr>
        <w:footnoteReference w:id="24"/>
      </w:r>
      <w:r w:rsidRPr="006A73A5">
        <w:rPr>
          <w:rFonts w:ascii="Times New Roman"/>
          <w:lang w:val="en-GB"/>
        </w:rPr>
        <w:t xml:space="preserve">, any </w:t>
      </w:r>
      <w:r w:rsidR="00D25CE7" w:rsidRPr="006A73A5">
        <w:rPr>
          <w:rFonts w:ascii="Times New Roman"/>
          <w:lang w:val="en-GB"/>
        </w:rPr>
        <w:t>legally authorised</w:t>
      </w:r>
      <w:r w:rsidRPr="006A73A5">
        <w:rPr>
          <w:rFonts w:ascii="Times New Roman"/>
          <w:lang w:val="en-GB"/>
        </w:rPr>
        <w:t xml:space="preserve"> surrogates or family members (especially those who represent incapable patients or </w:t>
      </w:r>
      <w:r w:rsidR="00D25CE7">
        <w:rPr>
          <w:rFonts w:ascii="Times New Roman"/>
          <w:lang w:val="en-GB"/>
        </w:rPr>
        <w:t xml:space="preserve">provide </w:t>
      </w:r>
      <w:r w:rsidRPr="006A73A5">
        <w:rPr>
          <w:rFonts w:ascii="Times New Roman"/>
          <w:lang w:val="en-GB"/>
        </w:rPr>
        <w:t xml:space="preserve">support </w:t>
      </w:r>
      <w:r w:rsidR="00D25CE7">
        <w:rPr>
          <w:rFonts w:ascii="Times New Roman"/>
          <w:lang w:val="en-GB"/>
        </w:rPr>
        <w:t xml:space="preserve">to </w:t>
      </w:r>
      <w:r w:rsidRPr="006A73A5">
        <w:rPr>
          <w:rFonts w:ascii="Times New Roman"/>
          <w:lang w:val="en-GB"/>
        </w:rPr>
        <w:t>those who are capable), and any other members of the health care team who are intimately involved with the patient</w:t>
      </w:r>
      <w:r w:rsidRPr="006A73A5">
        <w:rPr>
          <w:rFonts w:hAnsi="Times New Roman"/>
          <w:lang w:val="en-GB"/>
        </w:rPr>
        <w:t>’</w:t>
      </w:r>
      <w:r w:rsidRPr="006A73A5">
        <w:rPr>
          <w:rFonts w:ascii="Times New Roman"/>
          <w:lang w:val="en-GB"/>
        </w:rPr>
        <w:t xml:space="preserve">s care. </w:t>
      </w:r>
      <w:r w:rsidR="00504D3B">
        <w:rPr>
          <w:rFonts w:ascii="Times New Roman"/>
          <w:lang w:val="en-GB"/>
        </w:rPr>
        <w:t>(</w:t>
      </w:r>
      <w:r w:rsidRPr="006A73A5">
        <w:rPr>
          <w:rFonts w:ascii="Times New Roman"/>
          <w:lang w:val="en-GB"/>
        </w:rPr>
        <w:t xml:space="preserve">For the purposes of this example, these might be the </w:t>
      </w:r>
      <w:r w:rsidR="00C32471">
        <w:rPr>
          <w:rFonts w:ascii="Times New Roman"/>
          <w:lang w:val="en-GB"/>
        </w:rPr>
        <w:t xml:space="preserve">registered </w:t>
      </w:r>
      <w:r w:rsidRPr="006A73A5">
        <w:rPr>
          <w:rFonts w:ascii="Times New Roman"/>
          <w:lang w:val="en-GB"/>
        </w:rPr>
        <w:t>nurses providing direct patient care, a speech-language pathologist, a dietician, a social worker, a palliative care representative, and a spiritual care provider.</w:t>
      </w:r>
      <w:r w:rsidR="00504D3B">
        <w:rPr>
          <w:rFonts w:ascii="Times New Roman"/>
          <w:lang w:val="en-GB"/>
        </w:rPr>
        <w:t>)</w:t>
      </w:r>
      <w:r w:rsidRPr="006A73A5">
        <w:rPr>
          <w:rFonts w:ascii="Times New Roman"/>
          <w:lang w:val="en-GB"/>
        </w:rPr>
        <w:t xml:space="preserve"> If the case is perceived to be legally contentious other parties may be consulted as well, such as hospital counsel, a risk manager or patients</w:t>
      </w:r>
      <w:r w:rsidRPr="006A73A5">
        <w:rPr>
          <w:rFonts w:hAnsi="Times New Roman"/>
          <w:lang w:val="en-GB"/>
        </w:rPr>
        <w:t>’</w:t>
      </w:r>
      <w:r w:rsidRPr="006A73A5">
        <w:rPr>
          <w:rFonts w:hAnsi="Times New Roman"/>
          <w:lang w:val="en-GB"/>
        </w:rPr>
        <w:t xml:space="preserve"> </w:t>
      </w:r>
      <w:r w:rsidR="00504D3B">
        <w:rPr>
          <w:rFonts w:ascii="Times New Roman"/>
          <w:lang w:val="en-GB"/>
        </w:rPr>
        <w:t>ombudsman</w:t>
      </w:r>
      <w:r w:rsidRPr="006A73A5">
        <w:rPr>
          <w:rFonts w:ascii="Times New Roman"/>
          <w:lang w:val="en-GB"/>
        </w:rPr>
        <w:t xml:space="preserve">, the unit manager, or representatives of the senior leadership team.     </w:t>
      </w:r>
    </w:p>
    <w:p w14:paraId="3AFA960C"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Following the information-gathering stage the </w:t>
      </w:r>
      <w:r w:rsidR="00526296">
        <w:rPr>
          <w:rFonts w:ascii="Times New Roman"/>
          <w:lang w:val="en-GB"/>
        </w:rPr>
        <w:t>PHE</w:t>
      </w:r>
      <w:r w:rsidRPr="006A73A5">
        <w:rPr>
          <w:rFonts w:ascii="Times New Roman"/>
          <w:lang w:val="en-GB"/>
        </w:rPr>
        <w:t xml:space="preserve"> may decide that the central ethical question needs to be re-framed or refined. More appropriate questions in the instant case may be</w:t>
      </w:r>
      <w:r w:rsidR="0009141A">
        <w:rPr>
          <w:rFonts w:ascii="Times New Roman"/>
          <w:lang w:val="en-GB"/>
        </w:rPr>
        <w:t xml:space="preserve"> the following: </w:t>
      </w:r>
      <w:r w:rsidRPr="006A73A5">
        <w:rPr>
          <w:rFonts w:ascii="Times New Roman"/>
          <w:lang w:val="en-GB"/>
        </w:rPr>
        <w:t>Which plan of treatment best respects the known values, or prior capable wishes, expressed by Mr Beaton? Does th</w:t>
      </w:r>
      <w:r w:rsidR="00526296">
        <w:rPr>
          <w:rFonts w:ascii="Times New Roman"/>
          <w:lang w:val="en-GB"/>
        </w:rPr>
        <w:t>e proposed</w:t>
      </w:r>
      <w:r w:rsidRPr="006A73A5">
        <w:rPr>
          <w:rFonts w:ascii="Times New Roman"/>
          <w:lang w:val="en-GB"/>
        </w:rPr>
        <w:t xml:space="preserve"> plan violate any of the community</w:t>
      </w:r>
      <w:r w:rsidRPr="006A73A5">
        <w:rPr>
          <w:rFonts w:hAnsi="Times New Roman"/>
          <w:lang w:val="en-GB"/>
        </w:rPr>
        <w:t>’</w:t>
      </w:r>
      <w:r w:rsidRPr="006A73A5">
        <w:rPr>
          <w:rFonts w:ascii="Times New Roman"/>
          <w:lang w:val="en-GB"/>
        </w:rPr>
        <w:t>s prevailing ethical or legal norms? What benefits and burdens (to Mr Beaton</w:t>
      </w:r>
      <w:r w:rsidR="00D25CE7">
        <w:rPr>
          <w:rFonts w:ascii="Times New Roman"/>
          <w:lang w:val="en-GB"/>
        </w:rPr>
        <w:t xml:space="preserve"> or to others</w:t>
      </w:r>
      <w:r w:rsidRPr="006A73A5">
        <w:rPr>
          <w:rFonts w:ascii="Times New Roman"/>
          <w:lang w:val="en-GB"/>
        </w:rPr>
        <w:t>) are likely to be associated with the options under consideration?</w:t>
      </w:r>
    </w:p>
    <w:p w14:paraId="3A5B2D0A"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The effort to find answers to these questions will be shared by the parties involved in the case and the health care ethicist can assist by helping to unpack the meaning of relevant concepts that commonly arise in the bioethics literature</w:t>
      </w:r>
      <w:r w:rsidR="002B09BE">
        <w:rPr>
          <w:rFonts w:ascii="Times New Roman"/>
          <w:lang w:val="en-GB"/>
        </w:rPr>
        <w:t xml:space="preserve">; </w:t>
      </w:r>
      <w:r w:rsidRPr="006A73A5">
        <w:rPr>
          <w:rFonts w:ascii="Times New Roman"/>
          <w:lang w:val="en-GB"/>
        </w:rPr>
        <w:lastRenderedPageBreak/>
        <w:t>those pertaining to Mr</w:t>
      </w:r>
      <w:r w:rsidR="00494F0C">
        <w:rPr>
          <w:rFonts w:ascii="Times New Roman"/>
          <w:lang w:val="en-GB"/>
        </w:rPr>
        <w:t xml:space="preserve"> </w:t>
      </w:r>
      <w:r w:rsidRPr="006A73A5">
        <w:rPr>
          <w:rFonts w:ascii="Times New Roman"/>
          <w:lang w:val="en-GB"/>
        </w:rPr>
        <w:t>Beaton</w:t>
      </w:r>
      <w:r w:rsidRPr="006A73A5">
        <w:rPr>
          <w:rFonts w:hAnsi="Times New Roman"/>
          <w:lang w:val="en-GB"/>
        </w:rPr>
        <w:t>’</w:t>
      </w:r>
      <w:r w:rsidRPr="006A73A5">
        <w:rPr>
          <w:rFonts w:ascii="Times New Roman"/>
          <w:lang w:val="en-GB"/>
        </w:rPr>
        <w:t xml:space="preserve">s case might be decision-making capacity, power of attorney for medical care, best interests, the duty of care, the doctrine of double effect, or the right to refuse medical treatment. Explication of these concepts often will be needed as the </w:t>
      </w:r>
      <w:r w:rsidR="004A7E10">
        <w:rPr>
          <w:rFonts w:ascii="Times New Roman"/>
          <w:lang w:val="en-GB"/>
        </w:rPr>
        <w:t xml:space="preserve">PHE </w:t>
      </w:r>
      <w:r w:rsidRPr="006A73A5">
        <w:rPr>
          <w:rFonts w:ascii="Times New Roman"/>
          <w:lang w:val="en-GB"/>
        </w:rPr>
        <w:t>helps parties to identify the course,</w:t>
      </w:r>
      <w:r w:rsidR="007127C6">
        <w:rPr>
          <w:rFonts w:ascii="Times New Roman"/>
          <w:lang w:val="en-GB"/>
        </w:rPr>
        <w:t xml:space="preserve"> or courses, of action that </w:t>
      </w:r>
      <w:r w:rsidRPr="006A73A5">
        <w:rPr>
          <w:rFonts w:ascii="Times New Roman"/>
          <w:lang w:val="en-GB"/>
        </w:rPr>
        <w:t xml:space="preserve">generally </w:t>
      </w:r>
      <w:r w:rsidR="007127C6">
        <w:rPr>
          <w:rFonts w:ascii="Times New Roman"/>
          <w:lang w:val="en-GB"/>
        </w:rPr>
        <w:t xml:space="preserve">are </w:t>
      </w:r>
      <w:r w:rsidRPr="006A73A5">
        <w:rPr>
          <w:rFonts w:ascii="Times New Roman"/>
          <w:lang w:val="en-GB"/>
        </w:rPr>
        <w:t>thought to be ethically defensible in cases of this kind. The consultant will not, in other words, act as an ethical arbiter. As the brochures of many ethics services promise, ultimate authority for decision-making rests in the hands of patients (or their legally authorized decision-makers) and their health care providers.</w:t>
      </w:r>
      <w:r w:rsidRPr="006A73A5">
        <w:rPr>
          <w:rFonts w:ascii="Times New Roman" w:eastAsia="Times New Roman" w:hAnsi="Times New Roman" w:cs="Times New Roman"/>
          <w:vertAlign w:val="superscript"/>
          <w:lang w:val="en-GB"/>
        </w:rPr>
        <w:footnoteReference w:id="25"/>
      </w:r>
      <w:r w:rsidRPr="006A73A5">
        <w:rPr>
          <w:rFonts w:ascii="Times New Roman"/>
          <w:lang w:val="en-GB"/>
        </w:rPr>
        <w:t xml:space="preserve"> </w:t>
      </w:r>
    </w:p>
    <w:p w14:paraId="56DBBAF0" w14:textId="77777777"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Despite the fact that health care ethicists are</w:t>
      </w:r>
      <w:r w:rsidR="00D12FC2">
        <w:rPr>
          <w:rFonts w:ascii="Times New Roman"/>
          <w:lang w:val="en-GB"/>
        </w:rPr>
        <w:t xml:space="preserve"> rarely</w:t>
      </w:r>
      <w:r w:rsidRPr="006A73A5">
        <w:rPr>
          <w:rFonts w:ascii="Times New Roman"/>
          <w:lang w:val="en-GB"/>
        </w:rPr>
        <w:t xml:space="preserve"> called upon to mediate disputes that do not elicit differing perspectives or evoke strong feelings, the process </w:t>
      </w:r>
      <w:r w:rsidR="002B09BE">
        <w:rPr>
          <w:rFonts w:ascii="Times New Roman"/>
          <w:lang w:val="en-GB"/>
        </w:rPr>
        <w:t>only rarely culm</w:t>
      </w:r>
      <w:r w:rsidR="00B13633">
        <w:rPr>
          <w:rFonts w:ascii="Times New Roman"/>
          <w:lang w:val="en-GB"/>
        </w:rPr>
        <w:t>i</w:t>
      </w:r>
      <w:r w:rsidR="002B09BE">
        <w:rPr>
          <w:rFonts w:ascii="Times New Roman"/>
          <w:lang w:val="en-GB"/>
        </w:rPr>
        <w:t>nate</w:t>
      </w:r>
      <w:r w:rsidRPr="006A73A5">
        <w:rPr>
          <w:rFonts w:ascii="Times New Roman"/>
          <w:lang w:val="en-GB"/>
        </w:rPr>
        <w:t>s in legal contests. High profile cases like those of Teresa Schiavo or Hassan Rasouli may attract considerable media attention</w:t>
      </w:r>
      <w:r w:rsidR="004536CA">
        <w:rPr>
          <w:rFonts w:ascii="Times New Roman"/>
          <w:lang w:val="en-GB"/>
        </w:rPr>
        <w:t>,</w:t>
      </w:r>
      <w:r w:rsidRPr="006A73A5">
        <w:rPr>
          <w:rFonts w:ascii="Times New Roman"/>
          <w:lang w:val="en-GB"/>
        </w:rPr>
        <w:t xml:space="preserve"> or prompt interventions by politicians and special interest groups, but it is only their visibility </w:t>
      </w:r>
      <w:r w:rsidR="00494F0C">
        <w:rPr>
          <w:rFonts w:ascii="Times New Roman"/>
          <w:lang w:val="en-GB"/>
        </w:rPr>
        <w:t>that</w:t>
      </w:r>
      <w:r w:rsidRPr="006A73A5">
        <w:rPr>
          <w:rFonts w:ascii="Times New Roman"/>
          <w:lang w:val="en-GB"/>
        </w:rPr>
        <w:t xml:space="preserve"> is exceptional. Nearly all experienced ethics consultants have been involved in cases with similar elements, and many health care institutions have been inclined to establish ethics services largely in order to promote non-litigious approaches to dispute resolution.</w:t>
      </w:r>
      <w:r w:rsidRPr="006A73A5">
        <w:rPr>
          <w:rFonts w:ascii="Times New Roman" w:eastAsia="Times New Roman" w:hAnsi="Times New Roman" w:cs="Times New Roman"/>
          <w:vertAlign w:val="superscript"/>
          <w:lang w:val="en-GB"/>
        </w:rPr>
        <w:footnoteReference w:id="26"/>
      </w:r>
      <w:r w:rsidRPr="006A73A5">
        <w:rPr>
          <w:rFonts w:ascii="Times New Roman"/>
          <w:lang w:val="en-GB"/>
        </w:rPr>
        <w:t xml:space="preserve"> Grief, miscommunication, unrealistic </w:t>
      </w:r>
      <w:r w:rsidRPr="006A73A5">
        <w:rPr>
          <w:rFonts w:ascii="Times New Roman"/>
          <w:lang w:val="en-GB"/>
        </w:rPr>
        <w:lastRenderedPageBreak/>
        <w:t>expectations, and value-conflicts can generate frustrations that are addressed more efficiently and effectively at well-mediated team and family meeting</w:t>
      </w:r>
      <w:r w:rsidR="004A7E10">
        <w:rPr>
          <w:rFonts w:ascii="Times New Roman"/>
          <w:lang w:val="en-GB"/>
        </w:rPr>
        <w:t>s</w:t>
      </w:r>
      <w:r w:rsidRPr="006A73A5">
        <w:rPr>
          <w:rFonts w:ascii="Times New Roman"/>
          <w:lang w:val="en-GB"/>
        </w:rPr>
        <w:t xml:space="preserve"> than in a court of law. A</w:t>
      </w:r>
      <w:r w:rsidR="00A24AE3">
        <w:rPr>
          <w:rFonts w:ascii="Times New Roman"/>
          <w:lang w:val="en-GB"/>
        </w:rPr>
        <w:t xml:space="preserve">n </w:t>
      </w:r>
      <w:r w:rsidRPr="006A73A5">
        <w:rPr>
          <w:rFonts w:ascii="Times New Roman"/>
          <w:lang w:val="en-GB"/>
        </w:rPr>
        <w:t xml:space="preserve">ethics consultation can be called to help parties to uncover the bases of their disagreements and to arrive at strategies that can resolve conflicts altogether or </w:t>
      </w:r>
      <w:r w:rsidR="00C32471">
        <w:rPr>
          <w:rFonts w:ascii="Times New Roman"/>
          <w:lang w:val="en-GB"/>
        </w:rPr>
        <w:t xml:space="preserve">that </w:t>
      </w:r>
      <w:r w:rsidRPr="006A73A5">
        <w:rPr>
          <w:rFonts w:ascii="Times New Roman"/>
          <w:lang w:val="en-GB"/>
        </w:rPr>
        <w:t>will allow disputants to narrow the field sufficiently so that a few mutually acceptable solutions</w:t>
      </w:r>
      <w:r w:rsidR="00D12FC2">
        <w:rPr>
          <w:rFonts w:ascii="Times New Roman"/>
          <w:lang w:val="en-GB"/>
        </w:rPr>
        <w:t xml:space="preserve"> can be found</w:t>
      </w:r>
      <w:r w:rsidRPr="006A73A5">
        <w:rPr>
          <w:rFonts w:ascii="Times New Roman"/>
          <w:lang w:val="en-GB"/>
        </w:rPr>
        <w:t xml:space="preserve">. </w:t>
      </w:r>
    </w:p>
    <w:p w14:paraId="469F6F04" w14:textId="77777777" w:rsidR="00C32E2A" w:rsidRDefault="006A73A5" w:rsidP="00CE009C">
      <w:pPr>
        <w:pStyle w:val="Body1"/>
        <w:spacing w:line="480" w:lineRule="auto"/>
        <w:ind w:firstLine="720"/>
        <w:rPr>
          <w:rFonts w:ascii="Times New Roman"/>
          <w:lang w:val="en-GB"/>
        </w:rPr>
      </w:pPr>
      <w:r w:rsidRPr="006A73A5">
        <w:rPr>
          <w:rFonts w:ascii="Times New Roman"/>
          <w:lang w:val="en-GB"/>
        </w:rPr>
        <w:t>Legal remedies remain open to those who are not satisfied by the processes or outcomes of ethics consultations, but only a small percentage of those involved in consultat</w:t>
      </w:r>
      <w:r w:rsidR="00C10954">
        <w:rPr>
          <w:rFonts w:ascii="Times New Roman"/>
          <w:lang w:val="en-GB"/>
        </w:rPr>
        <w:t>ions report dissatisfaction or, as was noted earlier,</w:t>
      </w:r>
      <w:r w:rsidRPr="006A73A5">
        <w:rPr>
          <w:rFonts w:ascii="Times New Roman"/>
          <w:lang w:val="en-GB"/>
        </w:rPr>
        <w:t xml:space="preserve"> take their concerns </w:t>
      </w:r>
      <w:r w:rsidR="00C10954">
        <w:rPr>
          <w:rFonts w:ascii="Times New Roman"/>
          <w:lang w:val="en-GB"/>
        </w:rPr>
        <w:t>in</w:t>
      </w:r>
      <w:r w:rsidRPr="006A73A5">
        <w:rPr>
          <w:rFonts w:ascii="Times New Roman"/>
          <w:lang w:val="en-GB"/>
        </w:rPr>
        <w:t xml:space="preserve">to courts of law. What this means admits of no clear answer, although there is a growing interest in </w:t>
      </w:r>
      <w:r w:rsidR="004A7E10">
        <w:rPr>
          <w:rFonts w:ascii="Times New Roman"/>
          <w:lang w:val="en-GB"/>
        </w:rPr>
        <w:t xml:space="preserve">developing </w:t>
      </w:r>
      <w:r w:rsidRPr="006A73A5">
        <w:rPr>
          <w:rFonts w:ascii="Times New Roman"/>
          <w:lang w:val="en-GB"/>
        </w:rPr>
        <w:t xml:space="preserve">better </w:t>
      </w:r>
      <w:r w:rsidR="004A7E10">
        <w:rPr>
          <w:rFonts w:ascii="Times New Roman"/>
          <w:lang w:val="en-GB"/>
        </w:rPr>
        <w:t xml:space="preserve">ways to </w:t>
      </w:r>
      <w:r w:rsidRPr="006A73A5">
        <w:rPr>
          <w:rFonts w:ascii="Times New Roman"/>
          <w:lang w:val="en-GB"/>
        </w:rPr>
        <w:t>understand and measur</w:t>
      </w:r>
      <w:r w:rsidR="004A7E10">
        <w:rPr>
          <w:rFonts w:ascii="Times New Roman"/>
          <w:lang w:val="en-GB"/>
        </w:rPr>
        <w:t>e</w:t>
      </w:r>
      <w:r w:rsidRPr="006A73A5">
        <w:rPr>
          <w:rFonts w:ascii="Times New Roman"/>
          <w:lang w:val="en-GB"/>
        </w:rPr>
        <w:t xml:space="preserve"> what </w:t>
      </w:r>
      <w:r w:rsidR="00B13633">
        <w:rPr>
          <w:rFonts w:ascii="Times New Roman"/>
          <w:lang w:val="en-GB"/>
        </w:rPr>
        <w:t>may be</w:t>
      </w:r>
      <w:r w:rsidRPr="006A73A5">
        <w:rPr>
          <w:rFonts w:ascii="Times New Roman"/>
          <w:lang w:val="en-GB"/>
        </w:rPr>
        <w:t xml:space="preserve"> described as quality</w:t>
      </w:r>
      <w:r w:rsidRPr="006A73A5">
        <w:rPr>
          <w:rFonts w:hAnsi="Times New Roman"/>
          <w:lang w:val="en-GB"/>
        </w:rPr>
        <w:t xml:space="preserve"> </w:t>
      </w:r>
      <w:r w:rsidRPr="006A73A5">
        <w:rPr>
          <w:rFonts w:ascii="Times New Roman"/>
          <w:lang w:val="en-GB"/>
        </w:rPr>
        <w:t>in clinical ethics consultation. It should be acknowledged that reports of satisfaction from consultation requestors and participants c</w:t>
      </w:r>
      <w:r w:rsidR="00C10954">
        <w:rPr>
          <w:rFonts w:ascii="Times New Roman"/>
          <w:lang w:val="en-GB"/>
        </w:rPr>
        <w:t>an</w:t>
      </w:r>
      <w:r w:rsidRPr="006A73A5">
        <w:rPr>
          <w:rFonts w:ascii="Times New Roman"/>
          <w:lang w:val="en-GB"/>
        </w:rPr>
        <w:t xml:space="preserve"> be </w:t>
      </w:r>
      <w:r w:rsidR="004536CA">
        <w:rPr>
          <w:rFonts w:ascii="Times New Roman"/>
          <w:lang w:val="en-GB"/>
        </w:rPr>
        <w:t xml:space="preserve">deeply </w:t>
      </w:r>
      <w:r w:rsidRPr="006A73A5">
        <w:rPr>
          <w:rFonts w:ascii="Times New Roman"/>
          <w:lang w:val="en-GB"/>
        </w:rPr>
        <w:t>misleading</w:t>
      </w:r>
      <w:r w:rsidR="004A7E10">
        <w:rPr>
          <w:rFonts w:ascii="Times New Roman"/>
          <w:lang w:val="en-GB"/>
        </w:rPr>
        <w:t xml:space="preserve"> as a quality measure</w:t>
      </w:r>
      <w:r w:rsidRPr="006A73A5">
        <w:rPr>
          <w:rFonts w:ascii="Times New Roman"/>
          <w:lang w:val="en-GB"/>
        </w:rPr>
        <w:t xml:space="preserve">. After all, the most </w:t>
      </w:r>
      <w:r w:rsidR="00A51215">
        <w:rPr>
          <w:rFonts w:ascii="Times New Roman"/>
          <w:lang w:val="en-GB"/>
        </w:rPr>
        <w:t>vocal</w:t>
      </w:r>
      <w:r w:rsidRPr="006A73A5">
        <w:rPr>
          <w:rFonts w:ascii="Times New Roman"/>
          <w:lang w:val="en-GB"/>
        </w:rPr>
        <w:t xml:space="preserve"> parties may be </w:t>
      </w:r>
      <w:r w:rsidR="004536CA">
        <w:rPr>
          <w:rFonts w:ascii="Times New Roman"/>
          <w:lang w:val="en-GB"/>
        </w:rPr>
        <w:t>content</w:t>
      </w:r>
      <w:r w:rsidRPr="006A73A5">
        <w:rPr>
          <w:rFonts w:ascii="Times New Roman"/>
          <w:lang w:val="en-GB"/>
        </w:rPr>
        <w:t xml:space="preserve"> with outcome</w:t>
      </w:r>
      <w:r w:rsidR="00D80195">
        <w:rPr>
          <w:rFonts w:ascii="Times New Roman"/>
          <w:lang w:val="en-GB"/>
        </w:rPr>
        <w:t>s</w:t>
      </w:r>
      <w:r w:rsidRPr="006A73A5">
        <w:rPr>
          <w:rFonts w:ascii="Times New Roman"/>
          <w:lang w:val="en-GB"/>
        </w:rPr>
        <w:t xml:space="preserve"> that violat</w:t>
      </w:r>
      <w:r w:rsidR="00D80195">
        <w:rPr>
          <w:rFonts w:ascii="Times New Roman"/>
          <w:lang w:val="en-GB"/>
        </w:rPr>
        <w:t>e</w:t>
      </w:r>
      <w:r w:rsidRPr="006A73A5">
        <w:rPr>
          <w:rFonts w:ascii="Times New Roman"/>
          <w:lang w:val="en-GB"/>
        </w:rPr>
        <w:t xml:space="preserve"> </w:t>
      </w:r>
      <w:r w:rsidR="008B789B">
        <w:rPr>
          <w:rFonts w:ascii="Times New Roman"/>
          <w:lang w:val="en-GB"/>
        </w:rPr>
        <w:t>the rights</w:t>
      </w:r>
      <w:r w:rsidR="00C10954">
        <w:rPr>
          <w:rFonts w:ascii="Times New Roman"/>
          <w:lang w:val="en-GB"/>
        </w:rPr>
        <w:t>, or disregard the values,</w:t>
      </w:r>
      <w:r w:rsidR="008B789B">
        <w:rPr>
          <w:rFonts w:ascii="Times New Roman"/>
          <w:lang w:val="en-GB"/>
        </w:rPr>
        <w:t xml:space="preserve"> of </w:t>
      </w:r>
      <w:r w:rsidRPr="006A73A5">
        <w:rPr>
          <w:rFonts w:ascii="Times New Roman"/>
          <w:lang w:val="en-GB"/>
        </w:rPr>
        <w:t xml:space="preserve">patients or </w:t>
      </w:r>
      <w:r w:rsidR="00C32471">
        <w:rPr>
          <w:rFonts w:ascii="Times New Roman"/>
          <w:lang w:val="en-GB"/>
        </w:rPr>
        <w:t xml:space="preserve">their </w:t>
      </w:r>
      <w:r w:rsidRPr="006A73A5">
        <w:rPr>
          <w:rFonts w:ascii="Times New Roman"/>
          <w:lang w:val="en-GB"/>
        </w:rPr>
        <w:t xml:space="preserve">caregivers. Participants may be frustrated, moreover, when processes are acknowledged to be fair but the outcomes are inconsistent with their interests or preferences. While neither of these concerns constitutes </w:t>
      </w:r>
      <w:r w:rsidR="00B13633">
        <w:rPr>
          <w:rFonts w:ascii="Times New Roman"/>
          <w:lang w:val="en-GB"/>
        </w:rPr>
        <w:t xml:space="preserve">a </w:t>
      </w:r>
      <w:r w:rsidR="00D80195">
        <w:rPr>
          <w:rFonts w:ascii="Times New Roman"/>
          <w:lang w:val="en-GB"/>
        </w:rPr>
        <w:t xml:space="preserve">reasonable </w:t>
      </w:r>
      <w:r w:rsidR="00B13633">
        <w:rPr>
          <w:rFonts w:ascii="Times New Roman"/>
          <w:lang w:val="en-GB"/>
        </w:rPr>
        <w:t xml:space="preserve">basis </w:t>
      </w:r>
      <w:r w:rsidRPr="006A73A5">
        <w:rPr>
          <w:rFonts w:ascii="Times New Roman"/>
          <w:lang w:val="en-GB"/>
        </w:rPr>
        <w:t xml:space="preserve">for abandoning the practice </w:t>
      </w:r>
      <w:r w:rsidR="00B13633">
        <w:rPr>
          <w:rFonts w:ascii="Times New Roman"/>
          <w:lang w:val="en-GB"/>
        </w:rPr>
        <w:t xml:space="preserve">altogether </w:t>
      </w:r>
      <w:r w:rsidRPr="006A73A5">
        <w:rPr>
          <w:rFonts w:ascii="Times New Roman"/>
          <w:lang w:val="en-GB"/>
        </w:rPr>
        <w:t xml:space="preserve">they do help us to better understand why its critics </w:t>
      </w:r>
      <w:r w:rsidR="00D12FC2">
        <w:rPr>
          <w:rFonts w:ascii="Times New Roman"/>
          <w:lang w:val="en-GB"/>
        </w:rPr>
        <w:t>can be</w:t>
      </w:r>
      <w:r w:rsidRPr="006A73A5">
        <w:rPr>
          <w:rFonts w:ascii="Times New Roman"/>
          <w:lang w:val="en-GB"/>
        </w:rPr>
        <w:t xml:space="preserve"> difficult to satisfy. </w:t>
      </w:r>
    </w:p>
    <w:p w14:paraId="6D72C085" w14:textId="77777777" w:rsidR="00405516" w:rsidRPr="006A73A5" w:rsidRDefault="00405516" w:rsidP="00CE009C">
      <w:pPr>
        <w:pStyle w:val="Body1"/>
        <w:spacing w:line="480" w:lineRule="auto"/>
        <w:ind w:firstLine="720"/>
        <w:rPr>
          <w:rFonts w:ascii="Times New Roman" w:eastAsia="Times New Roman" w:hAnsi="Times New Roman" w:cs="Times New Roman"/>
          <w:lang w:val="en-GB"/>
        </w:rPr>
      </w:pPr>
    </w:p>
    <w:p w14:paraId="6650A6E0" w14:textId="77777777" w:rsidR="00C32E2A" w:rsidRPr="006A73A5" w:rsidRDefault="006A73A5">
      <w:pPr>
        <w:pStyle w:val="Body1"/>
        <w:spacing w:line="480" w:lineRule="auto"/>
        <w:rPr>
          <w:rFonts w:ascii="Times New Roman" w:eastAsia="Times New Roman" w:hAnsi="Times New Roman" w:cs="Times New Roman"/>
          <w:lang w:val="en-GB"/>
        </w:rPr>
      </w:pPr>
      <w:r w:rsidRPr="006A73A5">
        <w:rPr>
          <w:rFonts w:ascii="Times New Roman"/>
          <w:i/>
          <w:iCs/>
          <w:lang w:val="en-GB"/>
        </w:rPr>
        <w:t xml:space="preserve">Sophistry and the </w:t>
      </w:r>
      <w:r w:rsidR="008C2BB6">
        <w:rPr>
          <w:rFonts w:ascii="Times New Roman"/>
          <w:i/>
          <w:iCs/>
          <w:lang w:val="en-GB"/>
        </w:rPr>
        <w:t>s</w:t>
      </w:r>
      <w:r w:rsidRPr="006A73A5">
        <w:rPr>
          <w:rFonts w:ascii="Times New Roman"/>
          <w:i/>
          <w:iCs/>
          <w:lang w:val="en-GB"/>
        </w:rPr>
        <w:t xml:space="preserve">tatus </w:t>
      </w:r>
      <w:r w:rsidR="008C2BB6">
        <w:rPr>
          <w:rFonts w:ascii="Times New Roman"/>
          <w:i/>
          <w:iCs/>
          <w:lang w:val="en-GB"/>
        </w:rPr>
        <w:t>q</w:t>
      </w:r>
      <w:r w:rsidRPr="006A73A5">
        <w:rPr>
          <w:rFonts w:ascii="Times New Roman"/>
          <w:i/>
          <w:iCs/>
          <w:lang w:val="en-GB"/>
        </w:rPr>
        <w:t>uo</w:t>
      </w:r>
      <w:r w:rsidRPr="006A73A5">
        <w:rPr>
          <w:rFonts w:ascii="Times New Roman"/>
          <w:lang w:val="en-GB"/>
        </w:rPr>
        <w:t xml:space="preserve"> </w:t>
      </w:r>
    </w:p>
    <w:p w14:paraId="3F1EC341" w14:textId="77777777" w:rsidR="00C32E2A" w:rsidRPr="006A73A5" w:rsidRDefault="00F523C1" w:rsidP="00C10954">
      <w:pPr>
        <w:pStyle w:val="Body1"/>
        <w:spacing w:line="480" w:lineRule="auto"/>
        <w:ind w:firstLine="720"/>
        <w:rPr>
          <w:rFonts w:ascii="Times New Roman" w:eastAsia="Times New Roman" w:hAnsi="Times New Roman" w:cs="Times New Roman"/>
          <w:lang w:val="en-GB"/>
        </w:rPr>
      </w:pPr>
      <w:r>
        <w:rPr>
          <w:rFonts w:ascii="Times New Roman"/>
          <w:lang w:val="en-GB"/>
        </w:rPr>
        <w:t>It is perhaps not surprising, therefore, that d</w:t>
      </w:r>
      <w:r w:rsidR="006A73A5" w:rsidRPr="006A73A5">
        <w:rPr>
          <w:rFonts w:ascii="Times New Roman"/>
          <w:lang w:val="en-GB"/>
        </w:rPr>
        <w:t xml:space="preserve">espite the assurances </w:t>
      </w:r>
      <w:r>
        <w:rPr>
          <w:rFonts w:ascii="Times New Roman"/>
          <w:lang w:val="en-GB"/>
        </w:rPr>
        <w:t xml:space="preserve">offered </w:t>
      </w:r>
      <w:r w:rsidR="00D80195">
        <w:rPr>
          <w:rFonts w:ascii="Times New Roman"/>
          <w:lang w:val="en-GB"/>
        </w:rPr>
        <w:t>by the ASBH Core Consultation Taskforce</w:t>
      </w:r>
      <w:r w:rsidR="006A73A5" w:rsidRPr="006A73A5">
        <w:rPr>
          <w:rFonts w:ascii="Times New Roman"/>
          <w:lang w:val="en-GB"/>
        </w:rPr>
        <w:t>, those who are most critical of health care ethics consultation have not seen the process as a benign one. Unlike those who seek to make consultation methods more consisten</w:t>
      </w:r>
      <w:r w:rsidR="00C10954">
        <w:rPr>
          <w:rFonts w:ascii="Times New Roman"/>
          <w:lang w:val="en-GB"/>
        </w:rPr>
        <w:t xml:space="preserve">t, transparent, and accountable  - </w:t>
      </w:r>
      <w:r w:rsidR="006A73A5" w:rsidRPr="006A73A5">
        <w:rPr>
          <w:rFonts w:ascii="Times New Roman"/>
          <w:lang w:val="en-GB"/>
        </w:rPr>
        <w:t>some of the aims of those who seek professionalization</w:t>
      </w:r>
      <w:r w:rsidR="00B13633">
        <w:rPr>
          <w:rFonts w:ascii="Times New Roman"/>
          <w:lang w:val="en-GB"/>
        </w:rPr>
        <w:t xml:space="preserve"> </w:t>
      </w:r>
      <w:r w:rsidR="00C10954">
        <w:rPr>
          <w:rFonts w:ascii="Times New Roman"/>
          <w:lang w:val="en-GB"/>
        </w:rPr>
        <w:t xml:space="preserve">- many of </w:t>
      </w:r>
      <w:r w:rsidR="006A73A5" w:rsidRPr="006A73A5">
        <w:rPr>
          <w:rFonts w:ascii="Times New Roman"/>
          <w:lang w:val="en-GB"/>
        </w:rPr>
        <w:t>these critics have focussed attention on what they believe to be the limitations of the ethic</w:t>
      </w:r>
      <w:r w:rsidR="00494F0C">
        <w:rPr>
          <w:rFonts w:ascii="Times New Roman"/>
          <w:lang w:val="en-GB"/>
        </w:rPr>
        <w:t>s consultants</w:t>
      </w:r>
      <w:r w:rsidR="006A73A5" w:rsidRPr="006A73A5">
        <w:rPr>
          <w:rFonts w:ascii="Times New Roman"/>
          <w:lang w:val="en-GB"/>
        </w:rPr>
        <w:t xml:space="preserve"> themselves. As we have already observed,</w:t>
      </w:r>
      <w:r w:rsidR="004A7E10">
        <w:rPr>
          <w:rFonts w:ascii="Times New Roman"/>
          <w:lang w:val="en-GB"/>
        </w:rPr>
        <w:t xml:space="preserve"> PHE</w:t>
      </w:r>
      <w:r w:rsidR="006A73A5" w:rsidRPr="006A73A5">
        <w:rPr>
          <w:rFonts w:ascii="Times New Roman"/>
          <w:lang w:val="en-GB"/>
        </w:rPr>
        <w:t>s have been described as compromised, politicised, or in pursuit of incoherent ends. It is the first of these charges to which I shall turn first.</w:t>
      </w:r>
    </w:p>
    <w:p w14:paraId="1A357353" w14:textId="56356898" w:rsidR="00C32E2A" w:rsidRPr="006A73A5" w:rsidRDefault="006A73A5" w:rsidP="00CE009C">
      <w:pPr>
        <w:pStyle w:val="Body1"/>
        <w:spacing w:line="480" w:lineRule="auto"/>
        <w:ind w:firstLine="720"/>
        <w:rPr>
          <w:rFonts w:ascii="Times New Roman" w:eastAsia="Times New Roman" w:hAnsi="Times New Roman" w:cs="Times New Roman"/>
          <w:lang w:val="en-GB"/>
        </w:rPr>
      </w:pPr>
      <w:r w:rsidRPr="006A73A5">
        <w:rPr>
          <w:rFonts w:ascii="Times New Roman"/>
          <w:lang w:val="en-GB"/>
        </w:rPr>
        <w:t xml:space="preserve">Carl Elliott, who worked for four years at McGill University (where he was on the faculty of the Biomedical Ethics Unit and </w:t>
      </w:r>
      <w:r w:rsidR="008A63F0">
        <w:rPr>
          <w:rFonts w:ascii="Times New Roman"/>
          <w:lang w:val="en-GB"/>
        </w:rPr>
        <w:t xml:space="preserve">a staff member at </w:t>
      </w:r>
      <w:r w:rsidRPr="006A73A5">
        <w:rPr>
          <w:rFonts w:ascii="Times New Roman"/>
          <w:lang w:val="en-GB"/>
        </w:rPr>
        <w:t>the Montreal Children</w:t>
      </w:r>
      <w:r w:rsidRPr="006A73A5">
        <w:rPr>
          <w:rFonts w:hAnsi="Times New Roman"/>
          <w:lang w:val="en-GB"/>
        </w:rPr>
        <w:t>’</w:t>
      </w:r>
      <w:r w:rsidRPr="006A73A5">
        <w:rPr>
          <w:rFonts w:ascii="Times New Roman"/>
          <w:lang w:val="en-GB"/>
        </w:rPr>
        <w:t xml:space="preserve">s Hospital), and is now a professor in the Center for Bioethics at the University of Minnesota, has been </w:t>
      </w:r>
      <w:r w:rsidR="005263B1">
        <w:rPr>
          <w:rFonts w:ascii="Times New Roman"/>
          <w:lang w:val="en-GB"/>
        </w:rPr>
        <w:t xml:space="preserve">among </w:t>
      </w:r>
      <w:r w:rsidRPr="006A73A5">
        <w:rPr>
          <w:rFonts w:ascii="Times New Roman"/>
          <w:lang w:val="en-GB"/>
        </w:rPr>
        <w:t xml:space="preserve">the most vocal </w:t>
      </w:r>
      <w:r w:rsidR="00E531B0">
        <w:rPr>
          <w:rFonts w:ascii="Times New Roman"/>
          <w:lang w:val="en-GB"/>
        </w:rPr>
        <w:t>of</w:t>
      </w:r>
      <w:r w:rsidRPr="006A73A5">
        <w:rPr>
          <w:rFonts w:ascii="Times New Roman"/>
          <w:lang w:val="en-GB"/>
        </w:rPr>
        <w:t xml:space="preserve"> </w:t>
      </w:r>
      <w:r w:rsidR="00F523C1">
        <w:rPr>
          <w:rFonts w:ascii="Times New Roman"/>
          <w:lang w:val="en-GB"/>
        </w:rPr>
        <w:t xml:space="preserve">the critics </w:t>
      </w:r>
      <w:r w:rsidRPr="006A73A5">
        <w:rPr>
          <w:rFonts w:ascii="Times New Roman"/>
          <w:lang w:val="en-GB"/>
        </w:rPr>
        <w:t xml:space="preserve">who see the field as compromised and ineffectual. In a memorable essay, entitled </w:t>
      </w:r>
      <w:r w:rsidRPr="006A73A5">
        <w:rPr>
          <w:rFonts w:hAnsi="Times New Roman"/>
          <w:lang w:val="en-GB"/>
        </w:rPr>
        <w:t>“</w:t>
      </w:r>
      <w:r w:rsidRPr="006A73A5">
        <w:rPr>
          <w:rFonts w:ascii="Times New Roman"/>
          <w:lang w:val="en-GB"/>
        </w:rPr>
        <w:t>Pharma Buys a Conscience,</w:t>
      </w:r>
      <w:r w:rsidRPr="006A73A5">
        <w:rPr>
          <w:rFonts w:hAnsi="Times New Roman"/>
          <w:lang w:val="en-GB"/>
        </w:rPr>
        <w:t>”</w:t>
      </w:r>
      <w:r w:rsidRPr="006A73A5">
        <w:rPr>
          <w:rFonts w:hAnsi="Times New Roman"/>
          <w:lang w:val="en-GB"/>
        </w:rPr>
        <w:t xml:space="preserve"> </w:t>
      </w:r>
      <w:r w:rsidRPr="006A73A5">
        <w:rPr>
          <w:rFonts w:ascii="Times New Roman"/>
          <w:lang w:val="en-GB"/>
        </w:rPr>
        <w:t xml:space="preserve">he described his colleagues as </w:t>
      </w:r>
      <w:r w:rsidRPr="006A73A5">
        <w:rPr>
          <w:rFonts w:hAnsi="Times New Roman"/>
          <w:lang w:val="en-GB"/>
        </w:rPr>
        <w:t>“</w:t>
      </w:r>
      <w:r w:rsidRPr="006A73A5">
        <w:rPr>
          <w:rFonts w:ascii="Times New Roman"/>
          <w:lang w:val="en-GB"/>
        </w:rPr>
        <w:t>show dogs</w:t>
      </w:r>
      <w:r w:rsidRPr="006A73A5">
        <w:rPr>
          <w:rFonts w:hAnsi="Times New Roman"/>
          <w:lang w:val="en-GB"/>
        </w:rPr>
        <w:t>”</w:t>
      </w:r>
      <w:r w:rsidRPr="006A73A5">
        <w:rPr>
          <w:rFonts w:hAnsi="Times New Roman"/>
          <w:lang w:val="en-GB"/>
        </w:rPr>
        <w:t xml:space="preserve"> </w:t>
      </w:r>
      <w:r w:rsidRPr="006A73A5">
        <w:rPr>
          <w:rFonts w:ascii="Times New Roman"/>
          <w:lang w:val="en-GB"/>
        </w:rPr>
        <w:t>who are unwilling to bite the hands that feed them.</w:t>
      </w:r>
      <w:r w:rsidRPr="006A73A5">
        <w:rPr>
          <w:rFonts w:ascii="Times New Roman" w:eastAsia="Times New Roman" w:hAnsi="Times New Roman" w:cs="Times New Roman"/>
          <w:vertAlign w:val="superscript"/>
          <w:lang w:val="en-GB"/>
        </w:rPr>
        <w:footnoteReference w:id="27"/>
      </w:r>
      <w:r w:rsidRPr="006A73A5">
        <w:rPr>
          <w:rFonts w:ascii="Times New Roman"/>
          <w:lang w:val="en-GB"/>
        </w:rPr>
        <w:t xml:space="preserve"> Elliott does not generally </w:t>
      </w:r>
      <w:r w:rsidR="008A63F0">
        <w:rPr>
          <w:rFonts w:ascii="Times New Roman"/>
          <w:lang w:val="en-GB"/>
        </w:rPr>
        <w:t>make a distinction</w:t>
      </w:r>
      <w:r w:rsidRPr="006A73A5">
        <w:rPr>
          <w:rFonts w:ascii="Times New Roman"/>
          <w:lang w:val="en-GB"/>
        </w:rPr>
        <w:t xml:space="preserve"> between academic bioethicists and those working in clinical settings</w:t>
      </w:r>
      <w:r w:rsidR="008A63F0">
        <w:rPr>
          <w:rFonts w:ascii="Times New Roman"/>
          <w:lang w:val="en-GB"/>
        </w:rPr>
        <w:t>,</w:t>
      </w:r>
      <w:r w:rsidRPr="006A73A5">
        <w:rPr>
          <w:rFonts w:ascii="Times New Roman"/>
          <w:lang w:val="en-GB"/>
        </w:rPr>
        <w:t xml:space="preserve"> and that may not matter overmuch</w:t>
      </w:r>
      <w:r w:rsidR="008A63F0">
        <w:rPr>
          <w:rFonts w:ascii="Times New Roman"/>
          <w:lang w:val="en-GB"/>
        </w:rPr>
        <w:t>,</w:t>
      </w:r>
      <w:r w:rsidRPr="006A73A5">
        <w:rPr>
          <w:rFonts w:ascii="Times New Roman"/>
          <w:lang w:val="en-GB"/>
        </w:rPr>
        <w:t xml:space="preserve"> as he </w:t>
      </w:r>
      <w:r w:rsidR="00B13633">
        <w:rPr>
          <w:rFonts w:ascii="Times New Roman"/>
          <w:lang w:val="en-GB"/>
        </w:rPr>
        <w:t>maintains</w:t>
      </w:r>
      <w:r w:rsidRPr="006A73A5">
        <w:rPr>
          <w:rFonts w:ascii="Times New Roman"/>
          <w:lang w:val="en-GB"/>
        </w:rPr>
        <w:t xml:space="preserve"> that both those working at </w:t>
      </w:r>
      <w:r w:rsidRPr="006A73A5">
        <w:rPr>
          <w:rFonts w:ascii="Times New Roman"/>
          <w:lang w:val="en-GB"/>
        </w:rPr>
        <w:lastRenderedPageBreak/>
        <w:t>universities and those in the direct employ of medical centres have reason to be attentive to financial imperatives. Elliott</w:t>
      </w:r>
      <w:r w:rsidRPr="006A73A5">
        <w:rPr>
          <w:rFonts w:hAnsi="Times New Roman"/>
          <w:lang w:val="en-GB"/>
        </w:rPr>
        <w:t>’</w:t>
      </w:r>
      <w:r w:rsidRPr="006A73A5">
        <w:rPr>
          <w:rFonts w:ascii="Times New Roman"/>
          <w:lang w:val="en-GB"/>
        </w:rPr>
        <w:t xml:space="preserve">s chief concern appears to be that those doing ethics work will be unable to resist, or perhaps even recognize, the biases introduced into their analyses by those who pay their stipends or salaries. His most </w:t>
      </w:r>
      <w:r w:rsidR="00D12FC2">
        <w:rPr>
          <w:rFonts w:ascii="Times New Roman"/>
          <w:lang w:val="en-GB"/>
        </w:rPr>
        <w:t xml:space="preserve">critical </w:t>
      </w:r>
      <w:r w:rsidRPr="006A73A5">
        <w:rPr>
          <w:rFonts w:ascii="Times New Roman"/>
          <w:lang w:val="en-GB"/>
        </w:rPr>
        <w:t>remarks are reserved for those who offer advice to</w:t>
      </w:r>
      <w:r w:rsidR="00097BD1">
        <w:rPr>
          <w:rFonts w:ascii="Times New Roman"/>
          <w:lang w:val="en-GB"/>
        </w:rPr>
        <w:t xml:space="preserve"> pharmaceutical companies or to</w:t>
      </w:r>
      <w:r w:rsidRPr="006A73A5">
        <w:rPr>
          <w:rFonts w:ascii="Times New Roman"/>
          <w:lang w:val="en-GB"/>
        </w:rPr>
        <w:t xml:space="preserve"> for-profit </w:t>
      </w:r>
      <w:r w:rsidR="00F32C9F">
        <w:rPr>
          <w:rFonts w:ascii="Times New Roman"/>
          <w:lang w:val="en-GB"/>
        </w:rPr>
        <w:t>i</w:t>
      </w:r>
      <w:r w:rsidRPr="006A73A5">
        <w:rPr>
          <w:rFonts w:ascii="Times New Roman"/>
          <w:lang w:val="en-GB"/>
        </w:rPr>
        <w:t xml:space="preserve">nstitutional </w:t>
      </w:r>
      <w:r w:rsidR="00F32C9F">
        <w:rPr>
          <w:rFonts w:ascii="Times New Roman"/>
          <w:lang w:val="en-GB"/>
        </w:rPr>
        <w:t>r</w:t>
      </w:r>
      <w:r w:rsidRPr="006A73A5">
        <w:rPr>
          <w:rFonts w:ascii="Times New Roman"/>
          <w:lang w:val="en-GB"/>
        </w:rPr>
        <w:t xml:space="preserve">eview </w:t>
      </w:r>
      <w:r w:rsidR="00F32C9F">
        <w:rPr>
          <w:rFonts w:ascii="Times New Roman"/>
          <w:lang w:val="en-GB"/>
        </w:rPr>
        <w:t>b</w:t>
      </w:r>
      <w:r w:rsidRPr="006A73A5">
        <w:rPr>
          <w:rFonts w:ascii="Times New Roman"/>
          <w:lang w:val="en-GB"/>
        </w:rPr>
        <w:t xml:space="preserve">oards </w:t>
      </w:r>
      <w:r w:rsidR="00F523C1">
        <w:rPr>
          <w:rFonts w:ascii="Times New Roman"/>
          <w:lang w:val="en-GB"/>
        </w:rPr>
        <w:t xml:space="preserve">or IRBs </w:t>
      </w:r>
      <w:r w:rsidRPr="006A73A5">
        <w:rPr>
          <w:rFonts w:ascii="Times New Roman"/>
          <w:lang w:val="en-GB"/>
        </w:rPr>
        <w:t>(the latter is the American term for what Canadians call research ethics boards)</w:t>
      </w:r>
      <w:r w:rsidR="008A63F0">
        <w:rPr>
          <w:rFonts w:ascii="Times New Roman"/>
          <w:lang w:val="en-GB"/>
        </w:rPr>
        <w:t>,</w:t>
      </w:r>
      <w:r w:rsidRPr="006A73A5">
        <w:rPr>
          <w:rFonts w:ascii="Times New Roman"/>
          <w:lang w:val="en-GB"/>
        </w:rPr>
        <w:t xml:space="preserve"> but his view of other ethics consultants appears to be equally jaundiced. In response to Thomas Donaldson, the Mark O. Winkelman Professor of Law and Ethics at the Wharton </w:t>
      </w:r>
      <w:r w:rsidR="00B13633">
        <w:rPr>
          <w:rFonts w:ascii="Times New Roman"/>
          <w:lang w:val="en-GB"/>
        </w:rPr>
        <w:t>S</w:t>
      </w:r>
      <w:r w:rsidRPr="006A73A5">
        <w:rPr>
          <w:rFonts w:ascii="Times New Roman"/>
          <w:lang w:val="en-GB"/>
        </w:rPr>
        <w:t>chool</w:t>
      </w:r>
      <w:r w:rsidR="00B13633">
        <w:rPr>
          <w:rFonts w:ascii="Times New Roman"/>
          <w:lang w:val="en-GB"/>
        </w:rPr>
        <w:t xml:space="preserve"> of the University of Pennsylvania</w:t>
      </w:r>
      <w:r w:rsidRPr="006A73A5">
        <w:rPr>
          <w:rFonts w:ascii="Times New Roman"/>
          <w:lang w:val="en-GB"/>
        </w:rPr>
        <w:t>, who compares ethicists to accountants who must depend upon a reputation for integrity in order to credibly perform their duties</w:t>
      </w:r>
      <w:r w:rsidR="00097BD1">
        <w:rPr>
          <w:rFonts w:ascii="Times New Roman"/>
          <w:lang w:val="en-GB"/>
        </w:rPr>
        <w:t>,</w:t>
      </w:r>
      <w:r w:rsidRPr="006A73A5">
        <w:rPr>
          <w:rFonts w:ascii="Times New Roman"/>
          <w:lang w:val="en-GB"/>
        </w:rPr>
        <w:t xml:space="preserve"> Elliott </w:t>
      </w:r>
      <w:r w:rsidR="00E90D07">
        <w:rPr>
          <w:rFonts w:ascii="Times New Roman"/>
          <w:lang w:val="en-GB"/>
        </w:rPr>
        <w:t>issue</w:t>
      </w:r>
      <w:r w:rsidRPr="006A73A5">
        <w:rPr>
          <w:rFonts w:ascii="Times New Roman"/>
          <w:lang w:val="en-GB"/>
        </w:rPr>
        <w:t>s the following challenge</w:t>
      </w:r>
      <w:r w:rsidR="005263B1">
        <w:rPr>
          <w:rFonts w:ascii="Times New Roman"/>
          <w:lang w:val="en-GB"/>
        </w:rPr>
        <w:t>,</w:t>
      </w:r>
    </w:p>
    <w:p w14:paraId="0F960169" w14:textId="77777777" w:rsidR="00C32E2A" w:rsidRPr="006A73A5" w:rsidRDefault="006A73A5" w:rsidP="00B72D0C">
      <w:pPr>
        <w:pStyle w:val="Body1"/>
        <w:ind w:left="720"/>
        <w:rPr>
          <w:rFonts w:ascii="Times New Roman" w:eastAsia="Times New Roman" w:hAnsi="Times New Roman" w:cs="Times New Roman"/>
          <w:lang w:val="en-GB"/>
        </w:rPr>
      </w:pPr>
      <w:r w:rsidRPr="006A73A5">
        <w:rPr>
          <w:rFonts w:ascii="Times New Roman"/>
          <w:lang w:val="en-GB"/>
        </w:rPr>
        <w:t>...ethical analysis does not really resemble a financial audit. If a company is cooking its books and the accountant closes his eyes to this fact in his audit, the accountant</w:t>
      </w:r>
      <w:r w:rsidRPr="006A73A5">
        <w:rPr>
          <w:rFonts w:hAnsi="Times New Roman"/>
          <w:lang w:val="en-GB"/>
        </w:rPr>
        <w:t>’</w:t>
      </w:r>
      <w:r w:rsidRPr="006A73A5">
        <w:rPr>
          <w:rFonts w:ascii="Times New Roman"/>
          <w:lang w:val="en-GB"/>
        </w:rPr>
        <w:t>s wrongdoing can be reliably detected and verified by outside monitors. It is not so easy with an ethics consultant. Ethicists have widely divergent views. They come from different religious standpoints, use different theoretical frameworks and profess different political philosophies. They are also free to change their minds at any point. How do you tell the difference between an ethics consultant who has changed her mind for legitimate reasons and one who has changed her mind for money? What distinguishes the consultant who has been hired for her integrity from the one who has been hired because her moral viewpoint lines up nicely with that of company executives?</w:t>
      </w:r>
      <w:r w:rsidR="008A63F0">
        <w:rPr>
          <w:rStyle w:val="FootnoteReference"/>
          <w:rFonts w:ascii="Times New Roman"/>
          <w:lang w:val="en-GB"/>
        </w:rPr>
        <w:footnoteReference w:id="28"/>
      </w:r>
    </w:p>
    <w:p w14:paraId="08C0CCD9" w14:textId="77777777" w:rsidR="00C32E2A" w:rsidRPr="006A73A5" w:rsidRDefault="00C32E2A">
      <w:pPr>
        <w:pStyle w:val="Body1"/>
        <w:rPr>
          <w:rFonts w:ascii="Times New Roman" w:eastAsia="Times New Roman" w:hAnsi="Times New Roman" w:cs="Times New Roman"/>
          <w:lang w:val="en-GB"/>
        </w:rPr>
      </w:pPr>
    </w:p>
    <w:p w14:paraId="677F610B" w14:textId="12CDC522" w:rsidR="00C32E2A" w:rsidRDefault="006A73A5" w:rsidP="00B72D0C">
      <w:pPr>
        <w:pStyle w:val="Body1"/>
        <w:spacing w:line="480" w:lineRule="auto"/>
        <w:ind w:firstLine="720"/>
        <w:rPr>
          <w:rFonts w:ascii="Times New Roman"/>
          <w:lang w:val="en-GB"/>
        </w:rPr>
      </w:pPr>
      <w:r w:rsidRPr="006A73A5">
        <w:rPr>
          <w:rFonts w:ascii="Times New Roman"/>
          <w:lang w:val="en-GB"/>
        </w:rPr>
        <w:t>The connection between Elliott</w:t>
      </w:r>
      <w:r w:rsidRPr="006A73A5">
        <w:rPr>
          <w:rFonts w:hAnsi="Times New Roman"/>
          <w:lang w:val="en-GB"/>
        </w:rPr>
        <w:t>’</w:t>
      </w:r>
      <w:r w:rsidRPr="006A73A5">
        <w:rPr>
          <w:rFonts w:ascii="Times New Roman"/>
          <w:lang w:val="en-GB"/>
        </w:rPr>
        <w:t xml:space="preserve">s critique of ethicists </w:t>
      </w:r>
      <w:r w:rsidR="00937239">
        <w:rPr>
          <w:rFonts w:ascii="Times New Roman"/>
          <w:lang w:val="en-GB"/>
        </w:rPr>
        <w:t xml:space="preserve">who </w:t>
      </w:r>
      <w:r w:rsidRPr="006A73A5">
        <w:rPr>
          <w:rFonts w:ascii="Times New Roman"/>
          <w:lang w:val="en-GB"/>
        </w:rPr>
        <w:t xml:space="preserve">offer consulting services to the pharmaceutical or device industries (those we might for the sake of </w:t>
      </w:r>
      <w:r w:rsidRPr="006A73A5">
        <w:rPr>
          <w:rFonts w:ascii="Times New Roman"/>
          <w:lang w:val="en-GB"/>
        </w:rPr>
        <w:lastRenderedPageBreak/>
        <w:t xml:space="preserve">brevity call ethical entrepreneurs) and those who earn their livelihood advising hospital staff, physicians, and patients may appear to be a tenuous one, but even in a publically-funded health care system, such as the one we have in Canada, it is </w:t>
      </w:r>
      <w:r w:rsidR="00937239">
        <w:rPr>
          <w:rFonts w:ascii="Times New Roman"/>
          <w:lang w:val="en-GB"/>
        </w:rPr>
        <w:t xml:space="preserve">important to acknowledge </w:t>
      </w:r>
      <w:r w:rsidRPr="006A73A5">
        <w:rPr>
          <w:rFonts w:ascii="Times New Roman"/>
          <w:lang w:val="en-GB"/>
        </w:rPr>
        <w:t xml:space="preserve">that pressures to contain costs are never entirely absent from deliberations concerning the alternatives that are </w:t>
      </w:r>
      <w:r w:rsidR="00937239">
        <w:rPr>
          <w:rFonts w:ascii="Times New Roman"/>
          <w:lang w:val="en-GB"/>
        </w:rPr>
        <w:t xml:space="preserve">deemed </w:t>
      </w:r>
      <w:r w:rsidRPr="006A73A5">
        <w:rPr>
          <w:rFonts w:ascii="Times New Roman"/>
          <w:lang w:val="en-GB"/>
        </w:rPr>
        <w:t>possible</w:t>
      </w:r>
      <w:r w:rsidR="0011559C">
        <w:rPr>
          <w:rFonts w:ascii="Times New Roman"/>
          <w:lang w:val="en-GB"/>
        </w:rPr>
        <w:t xml:space="preserve">, </w:t>
      </w:r>
      <w:r w:rsidRPr="006A73A5">
        <w:rPr>
          <w:rFonts w:ascii="Times New Roman"/>
          <w:lang w:val="en-GB"/>
        </w:rPr>
        <w:t>realistic</w:t>
      </w:r>
      <w:r w:rsidR="00FC3E3D">
        <w:rPr>
          <w:rFonts w:ascii="Times New Roman"/>
          <w:lang w:val="en-GB"/>
        </w:rPr>
        <w:t>,</w:t>
      </w:r>
      <w:r w:rsidRPr="006A73A5">
        <w:rPr>
          <w:rFonts w:ascii="Times New Roman"/>
          <w:lang w:val="en-GB"/>
        </w:rPr>
        <w:t xml:space="preserve"> or ethically defensible. The case of a patient who is persistently unconscious and occupying a critical care bed may provoke as much consternation as the implementation of a randomised clinical trial designed to test the effects of a novel chemotherapeutic agent that may benefit the few at </w:t>
      </w:r>
      <w:r w:rsidR="001201C4">
        <w:rPr>
          <w:rFonts w:ascii="Times New Roman"/>
          <w:lang w:val="en-GB"/>
        </w:rPr>
        <w:t xml:space="preserve">a </w:t>
      </w:r>
      <w:r w:rsidRPr="006A73A5">
        <w:rPr>
          <w:rFonts w:ascii="Times New Roman"/>
          <w:lang w:val="en-GB"/>
        </w:rPr>
        <w:t>significant cost to the many. It may be obvious that questions pertaining to fairness in the distribution of health care goods and services arise in so-called organizational ethics consultations (whose purpose is often to order institutional priorities), but they can also generate lively discussions in clinical ethic</w:t>
      </w:r>
      <w:r w:rsidR="008A63F0">
        <w:rPr>
          <w:rFonts w:ascii="Times New Roman"/>
          <w:lang w:val="en-GB"/>
        </w:rPr>
        <w:t>s consultations called to address</w:t>
      </w:r>
      <w:r w:rsidRPr="006A73A5">
        <w:rPr>
          <w:rFonts w:ascii="Times New Roman"/>
          <w:lang w:val="en-GB"/>
        </w:rPr>
        <w:t xml:space="preserve"> quotidian concerns such as the content of an individual patient</w:t>
      </w:r>
      <w:r w:rsidRPr="006A73A5">
        <w:rPr>
          <w:rFonts w:hAnsi="Times New Roman"/>
          <w:lang w:val="en-GB"/>
        </w:rPr>
        <w:t>’</w:t>
      </w:r>
      <w:r w:rsidRPr="006A73A5">
        <w:rPr>
          <w:rFonts w:ascii="Times New Roman"/>
          <w:lang w:val="en-GB"/>
        </w:rPr>
        <w:t>s discharge plan. A safe transition from hospital, and indeed a patient</w:t>
      </w:r>
      <w:r w:rsidRPr="006A73A5">
        <w:rPr>
          <w:rFonts w:hAnsi="Times New Roman"/>
          <w:lang w:val="en-GB"/>
        </w:rPr>
        <w:t>’</w:t>
      </w:r>
      <w:r w:rsidRPr="006A73A5">
        <w:rPr>
          <w:rFonts w:ascii="Times New Roman"/>
          <w:lang w:val="en-GB"/>
        </w:rPr>
        <w:t>s ultimate discharge destination (his own home, a long term care facility, or a homeless shelter), may depend almost entirely upon decisions about who ought to bear the costs of the human and financial resources that he requires.</w:t>
      </w:r>
      <w:r w:rsidRPr="006A73A5">
        <w:rPr>
          <w:rFonts w:ascii="Times New Roman" w:eastAsia="Times New Roman" w:hAnsi="Times New Roman" w:cs="Times New Roman"/>
          <w:vertAlign w:val="superscript"/>
          <w:lang w:val="en-GB"/>
        </w:rPr>
        <w:footnoteReference w:id="29"/>
      </w:r>
      <w:r w:rsidRPr="006A73A5">
        <w:rPr>
          <w:rFonts w:ascii="Times New Roman"/>
          <w:lang w:val="en-GB"/>
        </w:rPr>
        <w:t xml:space="preserve"> Furthermore, if the judgement of health care ethics consultants is vulnerable to distortion owing to pressures </w:t>
      </w:r>
      <w:r w:rsidRPr="006A73A5">
        <w:rPr>
          <w:rFonts w:ascii="Times New Roman"/>
          <w:lang w:val="en-GB"/>
        </w:rPr>
        <w:lastRenderedPageBreak/>
        <w:t xml:space="preserve">exerted by payors, then it is not obvious whether casual employment (in the form of </w:t>
      </w:r>
      <w:r w:rsidR="005263B1">
        <w:rPr>
          <w:rFonts w:ascii="Times New Roman"/>
          <w:lang w:val="en-GB"/>
        </w:rPr>
        <w:t>time-limited</w:t>
      </w:r>
      <w:r w:rsidRPr="006A73A5">
        <w:rPr>
          <w:rFonts w:ascii="Times New Roman"/>
          <w:lang w:val="en-GB"/>
        </w:rPr>
        <w:t xml:space="preserve"> contracts) or permanent full-time work will present the greater threat to ethical independence. The freelance </w:t>
      </w:r>
      <w:r w:rsidR="00204301" w:rsidRPr="006A73A5">
        <w:rPr>
          <w:rFonts w:ascii="Times New Roman"/>
          <w:lang w:val="en-GB"/>
        </w:rPr>
        <w:t xml:space="preserve">consultant </w:t>
      </w:r>
      <w:r w:rsidR="00204301">
        <w:rPr>
          <w:rFonts w:ascii="Times New Roman"/>
          <w:lang w:val="en-GB"/>
        </w:rPr>
        <w:t xml:space="preserve">jeopardises </w:t>
      </w:r>
      <w:r w:rsidR="00204301" w:rsidRPr="006A73A5">
        <w:rPr>
          <w:rFonts w:ascii="Times New Roman"/>
          <w:lang w:val="en-GB"/>
        </w:rPr>
        <w:t>future</w:t>
      </w:r>
      <w:r w:rsidRPr="006A73A5">
        <w:rPr>
          <w:rFonts w:ascii="Times New Roman"/>
          <w:lang w:val="en-GB"/>
        </w:rPr>
        <w:t xml:space="preserve"> </w:t>
      </w:r>
      <w:r w:rsidR="005263B1">
        <w:rPr>
          <w:rFonts w:ascii="Times New Roman"/>
          <w:lang w:val="en-GB"/>
        </w:rPr>
        <w:t>offers of employment</w:t>
      </w:r>
      <w:r w:rsidR="008A63F0">
        <w:rPr>
          <w:rFonts w:ascii="Times New Roman"/>
          <w:lang w:val="en-GB"/>
        </w:rPr>
        <w:t>,</w:t>
      </w:r>
      <w:r w:rsidRPr="006A73A5">
        <w:rPr>
          <w:rFonts w:ascii="Times New Roman"/>
          <w:lang w:val="en-GB"/>
        </w:rPr>
        <w:t xml:space="preserve"> </w:t>
      </w:r>
      <w:r w:rsidR="001201C4">
        <w:rPr>
          <w:rFonts w:ascii="Times New Roman"/>
          <w:lang w:val="en-GB"/>
        </w:rPr>
        <w:t xml:space="preserve">whereas </w:t>
      </w:r>
      <w:r w:rsidRPr="006A73A5">
        <w:rPr>
          <w:rFonts w:ascii="Times New Roman"/>
          <w:lang w:val="en-GB"/>
        </w:rPr>
        <w:t xml:space="preserve">the permanent employee risks </w:t>
      </w:r>
      <w:r w:rsidR="008A63F0">
        <w:rPr>
          <w:rFonts w:ascii="Times New Roman"/>
          <w:lang w:val="en-GB"/>
        </w:rPr>
        <w:t xml:space="preserve">demotion or </w:t>
      </w:r>
      <w:r w:rsidRPr="006A73A5">
        <w:rPr>
          <w:rFonts w:ascii="Times New Roman"/>
          <w:lang w:val="en-GB"/>
        </w:rPr>
        <w:t xml:space="preserve">dismissal. Ethicists </w:t>
      </w:r>
      <w:r w:rsidR="00FC3E3D">
        <w:rPr>
          <w:rFonts w:ascii="Times New Roman"/>
          <w:lang w:val="en-GB"/>
        </w:rPr>
        <w:t xml:space="preserve">typically </w:t>
      </w:r>
      <w:r w:rsidRPr="006A73A5">
        <w:rPr>
          <w:rFonts w:ascii="Times New Roman"/>
          <w:lang w:val="en-GB"/>
        </w:rPr>
        <w:t xml:space="preserve">have no </w:t>
      </w:r>
      <w:r w:rsidR="00E90D07">
        <w:rPr>
          <w:rFonts w:ascii="Times New Roman"/>
          <w:lang w:val="en-GB"/>
        </w:rPr>
        <w:t xml:space="preserve">trade </w:t>
      </w:r>
      <w:r w:rsidRPr="006A73A5">
        <w:rPr>
          <w:rFonts w:ascii="Times New Roman"/>
          <w:lang w:val="en-GB"/>
        </w:rPr>
        <w:t xml:space="preserve">unions or professional </w:t>
      </w:r>
      <w:r w:rsidR="00AF2DF2">
        <w:rPr>
          <w:rFonts w:ascii="Times New Roman"/>
          <w:lang w:val="en-GB"/>
        </w:rPr>
        <w:t>as</w:t>
      </w:r>
      <w:r w:rsidRPr="006A73A5">
        <w:rPr>
          <w:rFonts w:ascii="Times New Roman"/>
          <w:lang w:val="en-GB"/>
        </w:rPr>
        <w:t>s</w:t>
      </w:r>
      <w:r w:rsidR="00AF2DF2">
        <w:rPr>
          <w:rFonts w:ascii="Times New Roman"/>
          <w:lang w:val="en-GB"/>
        </w:rPr>
        <w:t>ociations</w:t>
      </w:r>
      <w:r w:rsidRPr="006A73A5">
        <w:rPr>
          <w:rFonts w:ascii="Times New Roman"/>
          <w:lang w:val="en-GB"/>
        </w:rPr>
        <w:t xml:space="preserve"> to </w:t>
      </w:r>
      <w:r w:rsidR="00A515B6">
        <w:rPr>
          <w:rFonts w:ascii="Times New Roman"/>
          <w:lang w:val="en-GB"/>
        </w:rPr>
        <w:t xml:space="preserve">which they can </w:t>
      </w:r>
      <w:r w:rsidRPr="006A73A5">
        <w:rPr>
          <w:rFonts w:ascii="Times New Roman"/>
          <w:lang w:val="en-GB"/>
        </w:rPr>
        <w:t>appeal should an organization decide that their services are no longer required</w:t>
      </w:r>
      <w:r w:rsidR="00AF2DF2">
        <w:rPr>
          <w:rFonts w:ascii="Times New Roman"/>
          <w:lang w:val="en-GB"/>
        </w:rPr>
        <w:t>,</w:t>
      </w:r>
      <w:r w:rsidRPr="006A73A5">
        <w:rPr>
          <w:rFonts w:ascii="Times New Roman"/>
          <w:lang w:val="en-GB"/>
        </w:rPr>
        <w:t xml:space="preserve"> and in the clinical context there is no </w:t>
      </w:r>
      <w:r w:rsidR="00AF2DF2">
        <w:rPr>
          <w:rFonts w:ascii="Times New Roman"/>
          <w:lang w:val="en-GB"/>
        </w:rPr>
        <w:t>guarantee that</w:t>
      </w:r>
      <w:r w:rsidRPr="006A73A5">
        <w:rPr>
          <w:rFonts w:ascii="Times New Roman"/>
          <w:lang w:val="en-GB"/>
        </w:rPr>
        <w:t xml:space="preserve"> the principle of academic freedom</w:t>
      </w:r>
      <w:r w:rsidR="00AF2DF2">
        <w:rPr>
          <w:rFonts w:ascii="Times New Roman"/>
          <w:lang w:val="en-GB"/>
        </w:rPr>
        <w:t xml:space="preserve"> will be recognised</w:t>
      </w:r>
      <w:r w:rsidRPr="006A73A5">
        <w:rPr>
          <w:rFonts w:ascii="Times New Roman"/>
          <w:lang w:val="en-GB"/>
        </w:rPr>
        <w:t>.</w:t>
      </w:r>
      <w:r w:rsidR="00FC3E3D">
        <w:rPr>
          <w:rStyle w:val="FootnoteReference"/>
          <w:rFonts w:ascii="Times New Roman"/>
          <w:lang w:val="en-GB"/>
        </w:rPr>
        <w:footnoteReference w:id="30"/>
      </w:r>
      <w:r w:rsidRPr="006A73A5">
        <w:rPr>
          <w:rFonts w:ascii="Times New Roman"/>
          <w:lang w:val="en-GB"/>
        </w:rPr>
        <w:t xml:space="preserve"> So, in either case, if Elliott</w:t>
      </w:r>
      <w:r w:rsidRPr="006A73A5">
        <w:rPr>
          <w:rFonts w:hAnsi="Times New Roman"/>
          <w:lang w:val="en-GB"/>
        </w:rPr>
        <w:t>’</w:t>
      </w:r>
      <w:r w:rsidRPr="006A73A5">
        <w:rPr>
          <w:rFonts w:ascii="Times New Roman"/>
          <w:lang w:val="en-GB"/>
        </w:rPr>
        <w:t xml:space="preserve">s reasoning is sound, it would seem that </w:t>
      </w:r>
      <w:r w:rsidR="00A51215">
        <w:rPr>
          <w:rFonts w:ascii="Times New Roman"/>
          <w:lang w:val="en-GB"/>
        </w:rPr>
        <w:t>PHE</w:t>
      </w:r>
      <w:r w:rsidRPr="006A73A5">
        <w:rPr>
          <w:rFonts w:ascii="Times New Roman"/>
          <w:lang w:val="en-GB"/>
        </w:rPr>
        <w:t>s routinely will be obliged to exchange integrity for financial security.</w:t>
      </w:r>
    </w:p>
    <w:p w14:paraId="1CBAD663" w14:textId="77777777" w:rsidR="0096138F" w:rsidRPr="006A73A5" w:rsidRDefault="0096138F" w:rsidP="00B72D0C">
      <w:pPr>
        <w:pStyle w:val="Body1"/>
        <w:spacing w:line="480" w:lineRule="auto"/>
        <w:ind w:firstLine="720"/>
        <w:rPr>
          <w:rFonts w:ascii="Times New Roman" w:eastAsia="Times New Roman" w:hAnsi="Times New Roman" w:cs="Times New Roman"/>
          <w:lang w:val="en-GB"/>
        </w:rPr>
      </w:pPr>
    </w:p>
    <w:p w14:paraId="46BF6350" w14:textId="77777777" w:rsidR="00C32E2A" w:rsidRPr="006A73A5" w:rsidRDefault="006A73A5">
      <w:pPr>
        <w:pStyle w:val="Body1"/>
        <w:spacing w:line="480" w:lineRule="auto"/>
        <w:rPr>
          <w:rFonts w:ascii="Times New Roman" w:eastAsia="Times New Roman" w:hAnsi="Times New Roman" w:cs="Times New Roman"/>
          <w:i/>
          <w:iCs/>
          <w:lang w:val="en-GB"/>
        </w:rPr>
      </w:pPr>
      <w:r w:rsidRPr="006A73A5">
        <w:rPr>
          <w:rFonts w:ascii="Times New Roman"/>
          <w:i/>
          <w:iCs/>
          <w:lang w:val="en-GB"/>
        </w:rPr>
        <w:t>The art (or artifice) of compromise</w:t>
      </w:r>
    </w:p>
    <w:p w14:paraId="3751DB9D" w14:textId="77777777" w:rsidR="00C32E2A" w:rsidRPr="006A73A5" w:rsidRDefault="006A73A5" w:rsidP="00B72D0C">
      <w:pPr>
        <w:spacing w:line="480" w:lineRule="auto"/>
        <w:ind w:firstLine="720"/>
      </w:pPr>
      <w:r w:rsidRPr="006A73A5">
        <w:t>This is a serious charge but it is by no means a new one</w:t>
      </w:r>
      <w:r w:rsidR="00937239">
        <w:t xml:space="preserve"> as a well-known </w:t>
      </w:r>
      <w:r w:rsidR="009876E4">
        <w:t>Canadian</w:t>
      </w:r>
      <w:r w:rsidR="00937239">
        <w:t xml:space="preserve"> example </w:t>
      </w:r>
      <w:r w:rsidR="009876E4">
        <w:t>demonstrates</w:t>
      </w:r>
      <w:r w:rsidRPr="006A73A5">
        <w:t>. In the late 1990s Elliott was one of a sizeable group of mainly academically</w:t>
      </w:r>
      <w:r w:rsidR="008A63F0">
        <w:t>-</w:t>
      </w:r>
      <w:r w:rsidRPr="006A73A5">
        <w:t xml:space="preserve">affiliated bioethicists who drew attention to what they perceived to be the inaction of the </w:t>
      </w:r>
      <w:r w:rsidR="009876E4">
        <w:t xml:space="preserve">national </w:t>
      </w:r>
      <w:r w:rsidRPr="006A73A5">
        <w:t xml:space="preserve">health care ethics community in the face of a research scandal at Toronto’s Hospital for Sick Children (SickKids). The case concerned an important multi-site </w:t>
      </w:r>
      <w:r w:rsidR="00A7764F">
        <w:t xml:space="preserve">clinical </w:t>
      </w:r>
      <w:r w:rsidRPr="006A73A5">
        <w:t xml:space="preserve">trial of deferiprone (L1), an investigational agent designed to protect sufferers of an inherited disease called thalassaemia major (also known as Mediterranean anaemia) from the effects of </w:t>
      </w:r>
      <w:r w:rsidRPr="006A73A5">
        <w:lastRenderedPageBreak/>
        <w:t xml:space="preserve">iron overload </w:t>
      </w:r>
      <w:r w:rsidR="00A7764F">
        <w:t xml:space="preserve">which is </w:t>
      </w:r>
      <w:r w:rsidR="00AF2DF2">
        <w:t xml:space="preserve">caused by </w:t>
      </w:r>
      <w:r w:rsidRPr="006A73A5">
        <w:t xml:space="preserve">the frequent blood transfusions they require. </w:t>
      </w:r>
      <w:r w:rsidR="00204301" w:rsidRPr="006A73A5">
        <w:t>Dr</w:t>
      </w:r>
      <w:r w:rsidRPr="006A73A5">
        <w:t xml:space="preserve"> Nancy Olivieri, a prominent paediatric haematologist, was the principal investigator for the SickKids trial site</w:t>
      </w:r>
      <w:r w:rsidR="00F150D2">
        <w:t>,</w:t>
      </w:r>
      <w:r w:rsidRPr="006A73A5">
        <w:t xml:space="preserve"> and over time she became convinced that L1 was losing its efficacy in her young participants. More concerning, however, was additional evidence suggesting that L1 was responsible for serious liver toxicities as well as an acceleration of liver fibrosis. Olivieri reported these concerns to the study’s sponsor and to the hospital’s research ethics board. The latter directed her to revise her informed consent form without delay and to inform study subjects of this increased risk of trial participation. Apotex, the industry sponsor, re</w:t>
      </w:r>
      <w:r w:rsidR="00CB423C">
        <w:t>taliated swiftly</w:t>
      </w:r>
      <w:r w:rsidRPr="006A73A5">
        <w:t>. It terminated the trial at the Sick</w:t>
      </w:r>
      <w:r w:rsidR="00204301">
        <w:t>K</w:t>
      </w:r>
      <w:r w:rsidRPr="006A73A5">
        <w:t>ids site and threatened legal action should Olivieri</w:t>
      </w:r>
      <w:r w:rsidR="007045D0">
        <w:t>,</w:t>
      </w:r>
      <w:r w:rsidRPr="006A73A5">
        <w:t xml:space="preserve"> or any other member of the research team</w:t>
      </w:r>
      <w:r w:rsidR="007045D0">
        <w:t>,</w:t>
      </w:r>
      <w:r w:rsidRPr="006A73A5">
        <w:t xml:space="preserve"> disclose these local findings without the company’s prior approval. The rest of the details of the story are complex and contested, and include many players including Olivieri’s local co-investigator, senior administrators at the Hospital for Sick Children and the University of Toronto, the Ontario College of Physicians and Surgeons, the Canadian Association of University Teachers, the leadership of the University of Toronto’s Joint Centre for Bioethics and, significantly, Mary Rowell, who was one of SickKids’ two full-time health care ethicists</w:t>
      </w:r>
      <w:r w:rsidR="00A7764F">
        <w:t>,</w:t>
      </w:r>
      <w:r w:rsidRPr="006A73A5">
        <w:t xml:space="preserve"> and the Bioethics</w:t>
      </w:r>
      <w:r w:rsidR="009876E4">
        <w:t xml:space="preserve"> Program</w:t>
      </w:r>
      <w:r w:rsidRPr="006A73A5">
        <w:t>’s representative on the hospital’s research ethics board.</w:t>
      </w:r>
    </w:p>
    <w:p w14:paraId="5A62F0EC" w14:textId="77777777" w:rsidR="007045D0" w:rsidRDefault="006A73A5">
      <w:pPr>
        <w:spacing w:line="480" w:lineRule="auto"/>
      </w:pPr>
      <w:r w:rsidRPr="00204301">
        <w:t xml:space="preserve">The Hospital for Sick Children is a teaching hospital </w:t>
      </w:r>
      <w:r w:rsidR="00494F0C">
        <w:t>that</w:t>
      </w:r>
      <w:r w:rsidRPr="00204301">
        <w:t xml:space="preserve"> is fully affiliated with the University of Toronto and Olivieri turned to these, her home institutions, for support when confronted with the sponsor’s</w:t>
      </w:r>
      <w:r w:rsidR="0078601A">
        <w:t xml:space="preserve"> threats</w:t>
      </w:r>
      <w:r w:rsidRPr="00204301">
        <w:t xml:space="preserve">. Apotex challenged her </w:t>
      </w:r>
      <w:r w:rsidRPr="00204301">
        <w:lastRenderedPageBreak/>
        <w:t xml:space="preserve">interpretation of the data and attempted to halt the disclosure of her findings to study participants, conference audiences, and eventually the readers of leading medical journals including the </w:t>
      </w:r>
      <w:r w:rsidRPr="00204301">
        <w:rPr>
          <w:i/>
          <w:iCs/>
        </w:rPr>
        <w:t>New England Journal of Medicine</w:t>
      </w:r>
      <w:r w:rsidR="007045D0">
        <w:t>. U</w:t>
      </w:r>
      <w:r w:rsidRPr="00204301">
        <w:t>niversity</w:t>
      </w:r>
      <w:r w:rsidR="007045D0">
        <w:t xml:space="preserve"> officials</w:t>
      </w:r>
      <w:r w:rsidRPr="00204301">
        <w:t xml:space="preserve"> made unsuccessful efforts to mediate the dispute, and Olivieri resigned or was relieved of her position (interpretations vary) as the director of the Hemoglobinopathy Research Program at the Hospital for Sick Children. </w:t>
      </w:r>
    </w:p>
    <w:p w14:paraId="20C1743D" w14:textId="77777777" w:rsidR="00C32E2A" w:rsidRPr="006A73A5" w:rsidRDefault="006A73A5" w:rsidP="007045D0">
      <w:pPr>
        <w:spacing w:line="480" w:lineRule="auto"/>
        <w:ind w:firstLine="720"/>
      </w:pPr>
      <w:r w:rsidRPr="00204301">
        <w:t>A</w:t>
      </w:r>
      <w:r w:rsidR="007045D0">
        <w:t xml:space="preserve"> number of </w:t>
      </w:r>
      <w:r w:rsidRPr="00204301">
        <w:t xml:space="preserve">scientific </w:t>
      </w:r>
      <w:r w:rsidR="007045D0">
        <w:t>and other colleagues came to Olivieri’s</w:t>
      </w:r>
      <w:r w:rsidRPr="00204301">
        <w:t xml:space="preserve"> defence but, in a much-cited article entitled “The Olivieri Debacle: where were th</w:t>
      </w:r>
      <w:r w:rsidR="00CE5019">
        <w:t xml:space="preserve">e heroes of bioethics?” </w:t>
      </w:r>
      <w:r w:rsidR="00CE5019" w:rsidRPr="002F490A">
        <w:t>Fran</w:t>
      </w:r>
      <w:r w:rsidR="00CE5019">
        <w:t>ç</w:t>
      </w:r>
      <w:r w:rsidR="00CE5019" w:rsidRPr="002F490A">
        <w:t>oise</w:t>
      </w:r>
      <w:r w:rsidRPr="00204301">
        <w:t xml:space="preserve"> Baylis of Dalhousie University focussed on what she called the “deafening silence from the Canadian bioethics community;” a community which has, as she wryly observed, a significant membership who regard themselves as duty-bound to “speak truth to power.” Baylis painted an unflattering picture of a field that appeared to have become as ineffectual as it was institutionalized. She argued that the Olivieri case marked a significant moment in the development of the field. It forced the uncomfortable realization that health care ethic</w:t>
      </w:r>
      <w:r w:rsidR="00CB423C">
        <w:t>ists</w:t>
      </w:r>
      <w:r w:rsidRPr="00204301">
        <w:t xml:space="preserve"> are either incapable </w:t>
      </w:r>
      <w:r w:rsidR="00CB423C">
        <w:t xml:space="preserve">of, </w:t>
      </w:r>
      <w:r w:rsidRPr="00204301">
        <w:t>or unwilling to do</w:t>
      </w:r>
      <w:r w:rsidR="00CB423C">
        <w:t>,</w:t>
      </w:r>
      <w:r w:rsidRPr="00204301">
        <w:t xml:space="preserve"> the kind of work that should be at the very heart of the practice: </w:t>
      </w:r>
    </w:p>
    <w:p w14:paraId="38950E38" w14:textId="77777777" w:rsidR="00C32E2A" w:rsidRPr="006A73A5" w:rsidRDefault="006A73A5" w:rsidP="00B72D0C">
      <w:pPr>
        <w:ind w:left="720"/>
      </w:pPr>
      <w:r w:rsidRPr="00204301">
        <w:rPr>
          <w:rFonts w:eastAsia="Arial Unicode MS" w:hAnsi="Arial Unicode MS" w:cs="Arial Unicode MS"/>
        </w:rPr>
        <w:t>The time has come to critically examine the failure of Canadian bioethicists to play a role in this precedent setting research ethics controversy. It is important to question the meaning and value of bioethics work in clinical and academic settings, if bioethicists say and do nothing (or very little) in difficult and complicated cases that directly challenge fundamental ethical standards and principles.</w:t>
      </w:r>
      <w:r w:rsidRPr="006A73A5">
        <w:rPr>
          <w:vertAlign w:val="superscript"/>
        </w:rPr>
        <w:footnoteReference w:id="31"/>
      </w:r>
    </w:p>
    <w:p w14:paraId="494F4DD0" w14:textId="77777777" w:rsidR="00C32E2A" w:rsidRPr="00C635D3" w:rsidRDefault="00C32E2A"/>
    <w:p w14:paraId="02690BBE" w14:textId="77777777" w:rsidR="00204301" w:rsidRDefault="006A73A5" w:rsidP="00B72D0C">
      <w:pPr>
        <w:spacing w:line="480" w:lineRule="auto"/>
        <w:ind w:firstLine="720"/>
      </w:pPr>
      <w:r w:rsidRPr="00204301">
        <w:t>It is certainly true that the ethicists most intimately acquainted with this cli</w:t>
      </w:r>
      <w:r w:rsidR="007127C6">
        <w:t>nical trial (both those at The H</w:t>
      </w:r>
      <w:r w:rsidRPr="00204301">
        <w:t>ospital for Sick Children and those at the University of Toronto’s Joint Centre for Bioethics) did not have a significant public presence at the height of the Olivieri controversy. It is important to distinguish, however, between the public and private activities of those directly involved in the case. There is also benefit to be derived from considering the differences between the roles and obligations of the academic and the applied members of the discipline. It may be true, as Baylis claims, that “the role of bioethics in helping to resolve the controversy was, at best, very limited,”</w:t>
      </w:r>
      <w:r w:rsidRPr="006A73A5">
        <w:rPr>
          <w:vertAlign w:val="superscript"/>
        </w:rPr>
        <w:footnoteReference w:id="32"/>
      </w:r>
      <w:r w:rsidRPr="00204301">
        <w:t xml:space="preserve"> but it is not obvious what sort of actions the “heroic” health care ethicist ought to have performed. A more useful exercise might have been to ask instead what sort of actions a com</w:t>
      </w:r>
      <w:r w:rsidR="007045D0">
        <w:t>petent or conscientious PHE</w:t>
      </w:r>
      <w:r w:rsidRPr="00204301">
        <w:t xml:space="preserve"> might be expected to perform in circumstances like these. If th</w:t>
      </w:r>
      <w:r w:rsidR="00750628">
        <w:t>o</w:t>
      </w:r>
      <w:r w:rsidRPr="00204301">
        <w:t>se</w:t>
      </w:r>
      <w:r w:rsidR="00750628">
        <w:t xml:space="preserve"> actions</w:t>
      </w:r>
      <w:r w:rsidR="005F327F">
        <w:t xml:space="preserve"> are inevitably</w:t>
      </w:r>
      <w:r w:rsidR="00750628">
        <w:t xml:space="preserve"> </w:t>
      </w:r>
      <w:r w:rsidRPr="00204301">
        <w:t>inadequate or suspect</w:t>
      </w:r>
      <w:r w:rsidR="00D15617">
        <w:t xml:space="preserve">, </w:t>
      </w:r>
      <w:r w:rsidR="005F327F">
        <w:t xml:space="preserve">owing to </w:t>
      </w:r>
      <w:r w:rsidR="00D25A49">
        <w:t xml:space="preserve">factors such as </w:t>
      </w:r>
      <w:r w:rsidR="005F327F">
        <w:t>insurmountable institutional pressures or unmanageable conflicts of interest</w:t>
      </w:r>
      <w:r w:rsidR="00D15617">
        <w:t>,</w:t>
      </w:r>
      <w:r w:rsidR="005F327F">
        <w:t xml:space="preserve"> </w:t>
      </w:r>
      <w:r w:rsidRPr="00204301">
        <w:t>then Baylis may have been correct to call the “meaning and value” of the entire field into question. The call for heroism, on the other hand, is by definition a call for extraordinary conduct. What this might consist in, and whether it can in some circumstances be obligatory, is a matter better deferred until after we pause to examine some of the practice norms that are applicable to situations of this kind.</w:t>
      </w:r>
    </w:p>
    <w:p w14:paraId="12F43013" w14:textId="77777777" w:rsidR="0096138F" w:rsidRDefault="0096138F" w:rsidP="00B72D0C">
      <w:pPr>
        <w:spacing w:line="480" w:lineRule="auto"/>
        <w:ind w:firstLine="720"/>
      </w:pPr>
    </w:p>
    <w:p w14:paraId="3CE4F749" w14:textId="77777777" w:rsidR="00C32E2A" w:rsidRPr="006A73A5" w:rsidRDefault="006A73A5">
      <w:pPr>
        <w:spacing w:line="480" w:lineRule="auto"/>
        <w:rPr>
          <w:i/>
          <w:iCs/>
        </w:rPr>
      </w:pPr>
      <w:r w:rsidRPr="00204301">
        <w:rPr>
          <w:i/>
          <w:iCs/>
        </w:rPr>
        <w:t xml:space="preserve">Research </w:t>
      </w:r>
      <w:r w:rsidR="005C13F3">
        <w:rPr>
          <w:i/>
          <w:iCs/>
        </w:rPr>
        <w:t>e</w:t>
      </w:r>
      <w:r w:rsidRPr="00204301">
        <w:rPr>
          <w:i/>
          <w:iCs/>
        </w:rPr>
        <w:t xml:space="preserve">thics: </w:t>
      </w:r>
      <w:r w:rsidR="005C13F3">
        <w:rPr>
          <w:i/>
          <w:iCs/>
        </w:rPr>
        <w:t>r</w:t>
      </w:r>
      <w:r w:rsidRPr="00204301">
        <w:rPr>
          <w:i/>
          <w:iCs/>
        </w:rPr>
        <w:t>ules, regulations</w:t>
      </w:r>
      <w:r w:rsidR="00F150D2">
        <w:rPr>
          <w:i/>
          <w:iCs/>
        </w:rPr>
        <w:t>,</w:t>
      </w:r>
      <w:r w:rsidRPr="00204301">
        <w:rPr>
          <w:i/>
          <w:iCs/>
        </w:rPr>
        <w:t xml:space="preserve"> and review</w:t>
      </w:r>
    </w:p>
    <w:p w14:paraId="36EF86B5" w14:textId="6FFFFFF1" w:rsidR="00C32E2A" w:rsidRPr="006A73A5" w:rsidRDefault="006A73A5" w:rsidP="00B72D0C">
      <w:pPr>
        <w:spacing w:line="480" w:lineRule="auto"/>
        <w:ind w:firstLine="720"/>
      </w:pPr>
      <w:r w:rsidRPr="00204301">
        <w:t xml:space="preserve">In Canada, as in most developed countries, the review of human subjects’ research is more closely regulated than nearly any other activity occurring in a health care context. If </w:t>
      </w:r>
      <w:r w:rsidR="00D15617">
        <w:t xml:space="preserve"> </w:t>
      </w:r>
      <w:r w:rsidRPr="00204301">
        <w:t xml:space="preserve">“all [or most] of medical ethics is but a footnote to </w:t>
      </w:r>
      <w:r w:rsidR="00B4413C">
        <w:t xml:space="preserve">informed </w:t>
      </w:r>
      <w:r w:rsidRPr="00204301">
        <w:t>consent,” to use Mark Kuczewski’s striking phrase, then the ethical review of research proposals must be its highest embodiment.</w:t>
      </w:r>
      <w:r w:rsidRPr="006A73A5">
        <w:rPr>
          <w:vertAlign w:val="superscript"/>
        </w:rPr>
        <w:footnoteReference w:id="33"/>
      </w:r>
      <w:r w:rsidRPr="00204301">
        <w:t xml:space="preserve"> It has been many de</w:t>
      </w:r>
      <w:r w:rsidR="007045D0">
        <w:t>cades since researchers have been</w:t>
      </w:r>
      <w:r w:rsidRPr="00204301">
        <w:t xml:space="preserve"> free to follow their hunches and pursue promising lines of enqui</w:t>
      </w:r>
      <w:r w:rsidR="00B761E5">
        <w:t>ry without external oversight. Indeed, c</w:t>
      </w:r>
      <w:r w:rsidRPr="00204301">
        <w:t xml:space="preserve">linical investigators operate in an environment where every blood draw, every chart review, and every interaction with study participants is scrutinized to ensure that consent is obtained and risks and benefits are appropriately described and distributed. The </w:t>
      </w:r>
      <w:r w:rsidRPr="00B028DF">
        <w:rPr>
          <w:i/>
        </w:rPr>
        <w:t>Tri-Council Policy Statement</w:t>
      </w:r>
      <w:r w:rsidRPr="00204301">
        <w:t xml:space="preserve"> (now in its second edition) has guided Canadian researchers and research reviewers for </w:t>
      </w:r>
      <w:r w:rsidR="00D15617">
        <w:t xml:space="preserve">almost twenty </w:t>
      </w:r>
      <w:r w:rsidRPr="00204301">
        <w:t xml:space="preserve">years, but even before its development and promulgation, the World Medical Association’s </w:t>
      </w:r>
      <w:r w:rsidRPr="00D15617">
        <w:rPr>
          <w:i/>
        </w:rPr>
        <w:t>Declaration of Helsinki</w:t>
      </w:r>
      <w:r w:rsidR="00B761E5">
        <w:rPr>
          <w:i/>
        </w:rPr>
        <w:t>,</w:t>
      </w:r>
      <w:r w:rsidRPr="00204301">
        <w:t xml:space="preserve"> and the </w:t>
      </w:r>
      <w:r w:rsidRPr="00D15617">
        <w:rPr>
          <w:i/>
        </w:rPr>
        <w:t>Belmont Report</w:t>
      </w:r>
      <w:r w:rsidRPr="00204301">
        <w:t xml:space="preserve"> (among other well-known guidance documents)</w:t>
      </w:r>
      <w:r w:rsidR="00B761E5">
        <w:t>,</w:t>
      </w:r>
      <w:r w:rsidRPr="00204301">
        <w:t xml:space="preserve"> supplied ethical standards by which research could be evaluated. The principles contained in these foundational documents reveal common themes although they are elaborated in a variety of ways. As the </w:t>
      </w:r>
      <w:r w:rsidRPr="00D15617">
        <w:rPr>
          <w:i/>
        </w:rPr>
        <w:t xml:space="preserve">Belmont </w:t>
      </w:r>
      <w:r w:rsidR="00D15617">
        <w:rPr>
          <w:i/>
        </w:rPr>
        <w:t>R</w:t>
      </w:r>
      <w:r w:rsidRPr="00D15617">
        <w:rPr>
          <w:i/>
        </w:rPr>
        <w:t>eport</w:t>
      </w:r>
      <w:r w:rsidRPr="00204301">
        <w:t xml:space="preserve"> (released by the American National Commission for the Protection of </w:t>
      </w:r>
      <w:r w:rsidRPr="00204301">
        <w:lastRenderedPageBreak/>
        <w:t xml:space="preserve">Human Subjects of Biomedical and Behavioral </w:t>
      </w:r>
      <w:r w:rsidR="00494F0C" w:rsidRPr="0078601A">
        <w:t>Research in</w:t>
      </w:r>
      <w:r w:rsidRPr="0078601A">
        <w:t xml:space="preserve"> April</w:t>
      </w:r>
      <w:r w:rsidRPr="00204301">
        <w:t xml:space="preserve"> of 1979) succinctly states: “Three basic principles, among those generally accepted in our cultural tradition, are particularly relevant to the ethics of research involving human subje</w:t>
      </w:r>
      <w:r w:rsidR="007127C6">
        <w:t xml:space="preserve">cts: the principles of respect </w:t>
      </w:r>
      <w:r w:rsidRPr="00204301">
        <w:t>f</w:t>
      </w:r>
      <w:r w:rsidR="007127C6">
        <w:t>or</w:t>
      </w:r>
      <w:r w:rsidRPr="00204301">
        <w:t xml:space="preserve"> persons, beneficence and justice.”</w:t>
      </w:r>
      <w:r w:rsidRPr="00204301">
        <w:rPr>
          <w:vertAlign w:val="superscript"/>
        </w:rPr>
        <w:footnoteReference w:id="34"/>
      </w:r>
    </w:p>
    <w:p w14:paraId="1E0FA9C5" w14:textId="4CBBF207" w:rsidR="00C32E2A" w:rsidRPr="006A73A5" w:rsidRDefault="006A73A5" w:rsidP="00B72D0C">
      <w:pPr>
        <w:spacing w:line="480" w:lineRule="auto"/>
        <w:ind w:firstLine="720"/>
      </w:pPr>
      <w:r w:rsidRPr="00204301">
        <w:t xml:space="preserve">Like all broad principles, these statements require interpretive effort in order to be </w:t>
      </w:r>
      <w:r w:rsidR="00494F0C" w:rsidRPr="00204301">
        <w:t>action guiding</w:t>
      </w:r>
      <w:r w:rsidRPr="00204301">
        <w:t>, but research ethics is an area that is sufficiently well developed to admit of an extensive body of what might be regarded as precedent</w:t>
      </w:r>
      <w:r w:rsidR="00E90D07">
        <w:t>-setting</w:t>
      </w:r>
      <w:r w:rsidRPr="00204301">
        <w:t xml:space="preserve"> cases. The Willowbrook State School study, for example, highlights the coerciveness of making access to care (in that case in the form of an institutional placement for children with disabilities) conditional on study enrolment; the Tuskegee Syphilis Study illustrates the injustice of keeping participants uninformed – and without an offer of treatment – when a safe and reliable cure has become readily available; and the Stanford Prison experiment, to offer yet another </w:t>
      </w:r>
      <w:r w:rsidR="006556B4">
        <w:t>infamous</w:t>
      </w:r>
      <w:r w:rsidR="006556B4" w:rsidRPr="00204301">
        <w:t xml:space="preserve"> </w:t>
      </w:r>
      <w:r w:rsidRPr="00204301">
        <w:t xml:space="preserve">example, supplies a caution to anyone who might believe that randomised clinical trials are always to be taken more seriously than socio-behavioural investigations. As the last of these </w:t>
      </w:r>
      <w:r w:rsidR="00D15617">
        <w:t xml:space="preserve">examples </w:t>
      </w:r>
      <w:r w:rsidRPr="00204301">
        <w:t xml:space="preserve">illustrates, studies can be laden with risk even in what seem to be innocuous circumstances; that is, when they are conducted on </w:t>
      </w:r>
      <w:r w:rsidR="00D15617">
        <w:t>able-bodied</w:t>
      </w:r>
      <w:r w:rsidRPr="00204301">
        <w:t xml:space="preserve"> </w:t>
      </w:r>
      <w:r w:rsidR="006556B4">
        <w:t>participant</w:t>
      </w:r>
      <w:r w:rsidRPr="00204301">
        <w:t>s who appear to be free to resist obvious sources of coercion.</w:t>
      </w:r>
    </w:p>
    <w:p w14:paraId="59F0A024" w14:textId="77777777" w:rsidR="00C32E2A" w:rsidRPr="006A73A5" w:rsidRDefault="006A73A5" w:rsidP="00B72D0C">
      <w:pPr>
        <w:spacing w:line="480" w:lineRule="auto"/>
        <w:ind w:firstLine="720"/>
      </w:pPr>
      <w:r w:rsidRPr="00204301">
        <w:lastRenderedPageBreak/>
        <w:t>These case studies are well</w:t>
      </w:r>
      <w:r w:rsidR="00494F0C" w:rsidRPr="00204301">
        <w:t xml:space="preserve"> known</w:t>
      </w:r>
      <w:r w:rsidRPr="00204301">
        <w:t xml:space="preserve"> to students of bioethics but, even if they were not, members of Canadian research review boards have a number of other resources on which they can, and generally do, rely. B</w:t>
      </w:r>
      <w:r w:rsidR="007127C6">
        <w:t>oth publically-funded REBs</w:t>
      </w:r>
      <w:r w:rsidRPr="00204301">
        <w:t xml:space="preserve"> (such as those serving hospitals, public health agencies, and universities) and private, for-profit, research ethics boards currently have well-developed organisational structures which include standard operating procedures based on the content of regulatory documents such as the </w:t>
      </w:r>
      <w:r w:rsidRPr="00B4413C">
        <w:rPr>
          <w:i/>
        </w:rPr>
        <w:t>Tri-Council Policy Statement</w:t>
      </w:r>
      <w:r w:rsidRPr="00204301">
        <w:t xml:space="preserve">, the </w:t>
      </w:r>
      <w:r w:rsidRPr="00B4413C">
        <w:rPr>
          <w:i/>
        </w:rPr>
        <w:t>Canadian General Standards Board Guide</w:t>
      </w:r>
      <w:r w:rsidRPr="00204301">
        <w:t xml:space="preserve">, the so-called </w:t>
      </w:r>
      <w:r w:rsidRPr="00B4413C">
        <w:rPr>
          <w:i/>
        </w:rPr>
        <w:t>Common Rule</w:t>
      </w:r>
      <w:r w:rsidRPr="00204301">
        <w:t xml:space="preserve"> (formally known as the United States’ </w:t>
      </w:r>
      <w:r w:rsidRPr="00E90D07">
        <w:rPr>
          <w:i/>
        </w:rPr>
        <w:t>Code of Federal Regulations, Section 45, Part 46</w:t>
      </w:r>
      <w:r w:rsidRPr="00204301">
        <w:t xml:space="preserve">), as well as other pertinent Health Canada and the United States’ Department of Health and Human Services polices. In addition, board co-ordinators and </w:t>
      </w:r>
      <w:r w:rsidR="008C0A8B">
        <w:t xml:space="preserve">managers </w:t>
      </w:r>
      <w:r w:rsidRPr="00204301">
        <w:t xml:space="preserve">are </w:t>
      </w:r>
      <w:r w:rsidR="00204301" w:rsidRPr="00204301">
        <w:t>employed</w:t>
      </w:r>
      <w:r w:rsidR="00204301">
        <w:t xml:space="preserve"> to</w:t>
      </w:r>
      <w:r w:rsidRPr="00204301">
        <w:t xml:space="preserve"> ensure the completeness and consistency of investigators’ submissions, internal and external monitors verify compliance with approved protocols, and, in recent years, </w:t>
      </w:r>
      <w:r w:rsidR="00A7764F">
        <w:t xml:space="preserve">most </w:t>
      </w:r>
      <w:r w:rsidRPr="00204301">
        <w:t>Canadian hospital</w:t>
      </w:r>
      <w:r w:rsidR="008C0A8B">
        <w:t>s</w:t>
      </w:r>
      <w:r w:rsidRPr="00204301">
        <w:t xml:space="preserve"> and universities </w:t>
      </w:r>
      <w:r w:rsidR="00204301" w:rsidRPr="00204301">
        <w:t>have established</w:t>
      </w:r>
      <w:r w:rsidRPr="00204301">
        <w:t xml:space="preserve"> institutional offices whose mandate is to uphold research integrity.</w:t>
      </w:r>
      <w:r w:rsidRPr="006A73A5">
        <w:rPr>
          <w:vertAlign w:val="superscript"/>
        </w:rPr>
        <w:footnoteReference w:id="35"/>
      </w:r>
    </w:p>
    <w:p w14:paraId="7F3C5A0B" w14:textId="77777777" w:rsidR="00C32E2A" w:rsidRPr="006A73A5" w:rsidRDefault="006A73A5" w:rsidP="00B72D0C">
      <w:pPr>
        <w:spacing w:line="480" w:lineRule="auto"/>
        <w:ind w:firstLine="720"/>
      </w:pPr>
      <w:r w:rsidRPr="00204301">
        <w:lastRenderedPageBreak/>
        <w:t>Despite the great range of research settings</w:t>
      </w:r>
      <w:r w:rsidR="007127C6">
        <w:t>,</w:t>
      </w:r>
      <w:r w:rsidRPr="00204301">
        <w:t xml:space="preserve"> and the variety of study types and topics</w:t>
      </w:r>
      <w:r w:rsidR="007127C6">
        <w:t xml:space="preserve"> that investigators explore</w:t>
      </w:r>
      <w:r w:rsidRPr="00204301">
        <w:t xml:space="preserve">, the </w:t>
      </w:r>
      <w:r w:rsidR="00494F0C" w:rsidRPr="00204301">
        <w:t>process that leads from research submission to approval</w:t>
      </w:r>
      <w:r w:rsidRPr="00204301">
        <w:t xml:space="preserve"> is remarkably invariant. Research coordinators screen submissions in an effort to ascertain the risks they present and to ensure the completeness of the files. (A board coordinator will determine, for example, whether important elements have been overlooked such as a clinical impact assessment from a manager or division head, a conflict of interest declaration, or an agreement to supply services </w:t>
      </w:r>
      <w:r w:rsidR="00787DF2">
        <w:t>such as those provided</w:t>
      </w:r>
      <w:r w:rsidRPr="00204301">
        <w:t xml:space="preserve"> by a medical laboratory or imaging department.) Specialised content reviewers offer more detailed evaluations of proposals in light of their specific expertise. Studies which are deemed greater than minimal risk (defined by the </w:t>
      </w:r>
      <w:r w:rsidRPr="00EB6783">
        <w:rPr>
          <w:i/>
        </w:rPr>
        <w:t>Tri-Council Policy</w:t>
      </w:r>
      <w:r w:rsidRPr="00204301">
        <w:t xml:space="preserve"> </w:t>
      </w:r>
      <w:r w:rsidRPr="00EB6783">
        <w:rPr>
          <w:i/>
        </w:rPr>
        <w:t>Statement</w:t>
      </w:r>
      <w:r w:rsidRPr="00204301">
        <w:t xml:space="preserve"> as “research</w:t>
      </w:r>
      <w:r w:rsidRPr="00204301">
        <w:rPr>
          <w:rFonts w:ascii="Times New Roman Bold"/>
        </w:rPr>
        <w:t xml:space="preserve"> </w:t>
      </w:r>
      <w:r w:rsidRPr="00204301">
        <w:t xml:space="preserve">in which the probability and magnitude of possible harms implied by participation in the research is no greater than those encountered by participants in </w:t>
      </w:r>
      <w:r w:rsidRPr="00204301">
        <w:lastRenderedPageBreak/>
        <w:t>those aspects of their everyday life that relate to the research”</w:t>
      </w:r>
      <w:r w:rsidRPr="00204301">
        <w:rPr>
          <w:vertAlign w:val="superscript"/>
        </w:rPr>
        <w:footnoteReference w:id="36"/>
      </w:r>
      <w:r w:rsidRPr="00204301">
        <w:t>) receive full-board reviews in face-to-face meetings which must conform to a number of procedural requirements pertaining to board composition, quorum, and the criteria for approving or rejecting proposals. Conditions for the renewal, amendment</w:t>
      </w:r>
      <w:r w:rsidR="009A783E">
        <w:t>,</w:t>
      </w:r>
      <w:r w:rsidRPr="00204301">
        <w:t xml:space="preserve"> and termination of board-approved studies are also set out in standard operating procedures and federal regulations. Some slight variation</w:t>
      </w:r>
      <w:r w:rsidR="009A783E">
        <w:t>s</w:t>
      </w:r>
      <w:r w:rsidRPr="00204301">
        <w:t xml:space="preserve"> exist between institutions, but owing to the development of formal training programmes for board administrators and members, the availability of venues for electronic exchange around common concerns (such as the Canadian Association of Research Ethics Boards and the American Institutional Review Board Forum), as well as opportunities for in-person networking at national and regional conferences, research review processes across Canada and the United States operate in much the same way. </w:t>
      </w:r>
    </w:p>
    <w:p w14:paraId="49575773" w14:textId="77D42630" w:rsidR="00C32E2A" w:rsidRPr="006A73A5" w:rsidRDefault="006A73A5" w:rsidP="00B72D0C">
      <w:pPr>
        <w:spacing w:line="480" w:lineRule="auto"/>
        <w:ind w:firstLine="720"/>
      </w:pPr>
      <w:r w:rsidRPr="00204301">
        <w:t xml:space="preserve">This lack of variability is relevant to understanding the sorts of preparations and deliberations that occur before approval is granted to any investigator proposing to initiate a clinical trial. Although </w:t>
      </w:r>
      <w:r w:rsidR="00204301" w:rsidRPr="00204301">
        <w:t>Dr</w:t>
      </w:r>
      <w:r w:rsidRPr="00204301">
        <w:t xml:space="preserve"> Olivieri’s controversial thalessemia study came to the public’s attention in the summer of 1998, the very year that the first iteration of the </w:t>
      </w:r>
      <w:r w:rsidRPr="00B4413C">
        <w:rPr>
          <w:i/>
        </w:rPr>
        <w:t>T</w:t>
      </w:r>
      <w:r w:rsidR="009A783E" w:rsidRPr="00B4413C">
        <w:rPr>
          <w:i/>
        </w:rPr>
        <w:t xml:space="preserve">ri-Council </w:t>
      </w:r>
      <w:r w:rsidRPr="00B4413C">
        <w:rPr>
          <w:i/>
        </w:rPr>
        <w:t>P</w:t>
      </w:r>
      <w:r w:rsidR="009A783E" w:rsidRPr="00B4413C">
        <w:rPr>
          <w:i/>
        </w:rPr>
        <w:t xml:space="preserve">olicy </w:t>
      </w:r>
      <w:r w:rsidRPr="00B4413C">
        <w:rPr>
          <w:i/>
        </w:rPr>
        <w:t>S</w:t>
      </w:r>
      <w:r w:rsidR="009A783E" w:rsidRPr="00B4413C">
        <w:rPr>
          <w:i/>
        </w:rPr>
        <w:t>tatement</w:t>
      </w:r>
      <w:r w:rsidRPr="00204301">
        <w:t xml:space="preserve"> was released, it is not the case that research review was conducted in a casual or idiosyncratic manner at that time. Because the trial involved the use of an </w:t>
      </w:r>
      <w:r w:rsidRPr="00204301">
        <w:lastRenderedPageBreak/>
        <w:t>investigational agent in a paediatric population it would have received a full-board review by a variety of SickKids</w:t>
      </w:r>
      <w:r w:rsidR="00E90D07">
        <w:t>’</w:t>
      </w:r>
      <w:r w:rsidRPr="00204301">
        <w:t xml:space="preserve"> experts and lay members. The REB’s scientific reviewers would have weighed the evidence pertaining to the agent’s efficacy and safety, a methodologist would have scrutinised the study’s design for validity and generalizability, and the board’s lawyers and community members would have had </w:t>
      </w:r>
      <w:r w:rsidR="009A783E">
        <w:t xml:space="preserve">the </w:t>
      </w:r>
      <w:r w:rsidRPr="00204301">
        <w:t xml:space="preserve">responsibility </w:t>
      </w:r>
      <w:r w:rsidR="009A783E">
        <w:t>of</w:t>
      </w:r>
      <w:r w:rsidRPr="00204301">
        <w:t xml:space="preserve"> consider</w:t>
      </w:r>
      <w:r w:rsidR="009A783E">
        <w:t>ing</w:t>
      </w:r>
      <w:r w:rsidRPr="00204301">
        <w:t xml:space="preserve"> the comprehensibility and reasonableness of the informed consent document. </w:t>
      </w:r>
      <w:r w:rsidR="009A783E">
        <w:t>In addition, t</w:t>
      </w:r>
      <w:r w:rsidRPr="00204301">
        <w:t xml:space="preserve">he board member “knowledgeable in ethics” (as the </w:t>
      </w:r>
      <w:r w:rsidRPr="00B4413C">
        <w:rPr>
          <w:i/>
        </w:rPr>
        <w:t>TCPS</w:t>
      </w:r>
      <w:r w:rsidRPr="00204301">
        <w:t xml:space="preserve"> now describes the role) would have been accountable for attending to any ethically s</w:t>
      </w:r>
      <w:r w:rsidR="005F327F">
        <w:t>alient</w:t>
      </w:r>
      <w:r w:rsidRPr="00204301">
        <w:t xml:space="preserve"> aspects of the proposal. In an effort to fulfil that obligation, a board’s designated ethicist typically leads or </w:t>
      </w:r>
      <w:r w:rsidR="005F327F">
        <w:t xml:space="preserve">engages </w:t>
      </w:r>
      <w:r w:rsidRPr="00204301">
        <w:t xml:space="preserve">in discussions concerning the study’s likely impact on participants, non-participants, family members or caregivers (as appropriate), </w:t>
      </w:r>
      <w:r w:rsidR="0037286F">
        <w:t xml:space="preserve">and on institutional resources. </w:t>
      </w:r>
      <w:r w:rsidRPr="00204301">
        <w:t>Specifically, she</w:t>
      </w:r>
      <w:r w:rsidR="005F327F">
        <w:t xml:space="preserve"> would be expected to</w:t>
      </w:r>
      <w:r w:rsidRPr="00204301">
        <w:t xml:space="preserve"> raise questions related to the coerciveness of the recruitment strategy</w:t>
      </w:r>
      <w:r w:rsidR="008A641F">
        <w:t>;</w:t>
      </w:r>
      <w:r w:rsidRPr="00204301">
        <w:t xml:space="preserve"> the</w:t>
      </w:r>
      <w:r w:rsidR="008A641F">
        <w:t xml:space="preserve"> merits </w:t>
      </w:r>
      <w:r w:rsidR="00FC336A">
        <w:t>or</w:t>
      </w:r>
      <w:r w:rsidR="008A641F">
        <w:t xml:space="preserve"> </w:t>
      </w:r>
      <w:r w:rsidR="008A641F" w:rsidRPr="008A641F">
        <w:t>d</w:t>
      </w:r>
      <w:r w:rsidR="008A641F">
        <w:t xml:space="preserve">rawbacks associated with </w:t>
      </w:r>
      <w:r w:rsidRPr="00204301">
        <w:t>incl</w:t>
      </w:r>
      <w:r w:rsidR="008A641F">
        <w:t>uding</w:t>
      </w:r>
      <w:r w:rsidRPr="00204301">
        <w:t xml:space="preserve"> or exclu</w:t>
      </w:r>
      <w:r w:rsidR="008A641F">
        <w:t>ding</w:t>
      </w:r>
      <w:r w:rsidRPr="00204301">
        <w:t xml:space="preserve"> specific populations</w:t>
      </w:r>
      <w:r w:rsidR="008A641F">
        <w:t>;</w:t>
      </w:r>
      <w:r w:rsidRPr="00204301">
        <w:t xml:space="preserve"> any special vulnerabilities of participants</w:t>
      </w:r>
      <w:r w:rsidR="008A641F">
        <w:t>;</w:t>
      </w:r>
      <w:r w:rsidRPr="00204301">
        <w:t xml:space="preserve"> as well as the </w:t>
      </w:r>
      <w:r w:rsidR="009A783E">
        <w:t xml:space="preserve">nature </w:t>
      </w:r>
      <w:r w:rsidRPr="00204301">
        <w:t xml:space="preserve">and </w:t>
      </w:r>
      <w:r w:rsidR="009A783E">
        <w:t xml:space="preserve">likelihood of </w:t>
      </w:r>
      <w:r w:rsidRPr="00204301">
        <w:t xml:space="preserve">potential harms </w:t>
      </w:r>
      <w:r w:rsidR="00A04C73">
        <w:t>(</w:t>
      </w:r>
      <w:r w:rsidR="008A641F">
        <w:t xml:space="preserve">understood to </w:t>
      </w:r>
      <w:r w:rsidR="00A04C73" w:rsidRPr="00204301">
        <w:t>includ</w:t>
      </w:r>
      <w:r w:rsidR="008A641F">
        <w:t xml:space="preserve">e </w:t>
      </w:r>
      <w:r w:rsidR="00A04C73" w:rsidRPr="00204301">
        <w:t>physical, emotional</w:t>
      </w:r>
      <w:r w:rsidR="009A783E">
        <w:t>,</w:t>
      </w:r>
      <w:r w:rsidR="00A04C73" w:rsidRPr="00204301">
        <w:t xml:space="preserve"> or social/reputational harms)</w:t>
      </w:r>
      <w:r w:rsidR="008A641F">
        <w:t xml:space="preserve"> and </w:t>
      </w:r>
      <w:r w:rsidRPr="00204301">
        <w:t xml:space="preserve">benefits associated with </w:t>
      </w:r>
      <w:r w:rsidR="009A783E">
        <w:t>participation</w:t>
      </w:r>
      <w:r w:rsidR="008A641F">
        <w:t>,</w:t>
      </w:r>
      <w:r w:rsidR="009A783E">
        <w:t xml:space="preserve"> </w:t>
      </w:r>
      <w:r w:rsidR="00FC336A">
        <w:t>or</w:t>
      </w:r>
      <w:r w:rsidRPr="00204301">
        <w:t xml:space="preserve"> alternatives to study participation. A</w:t>
      </w:r>
      <w:r w:rsidR="003C6CC8">
        <w:t xml:space="preserve"> research ethics board’s</w:t>
      </w:r>
      <w:r w:rsidRPr="00204301">
        <w:t xml:space="preserve"> </w:t>
      </w:r>
      <w:r w:rsidR="007127C6">
        <w:t xml:space="preserve">designated </w:t>
      </w:r>
      <w:r w:rsidRPr="00204301">
        <w:t xml:space="preserve">ethicist </w:t>
      </w:r>
      <w:r w:rsidR="005F327F">
        <w:t xml:space="preserve">also </w:t>
      </w:r>
      <w:r w:rsidRPr="00204301">
        <w:t xml:space="preserve">typically identifies privacy risks associated with the use of study specimens or data (including their collection, transfer, </w:t>
      </w:r>
      <w:r w:rsidR="007C18A7">
        <w:t>retention</w:t>
      </w:r>
      <w:r w:rsidRPr="00204301">
        <w:t xml:space="preserve"> and destruction) although this responsibility, in more recent years, has often been shared with institutional privacy officers possessing a specialised knowledge of </w:t>
      </w:r>
      <w:r w:rsidRPr="00204301">
        <w:lastRenderedPageBreak/>
        <w:t xml:space="preserve">relevant legislation and information technologies. It is also important to note that an approval granted by a research ethics board is never </w:t>
      </w:r>
      <w:r w:rsidR="00A04C73">
        <w:t xml:space="preserve">a </w:t>
      </w:r>
      <w:r w:rsidRPr="00204301">
        <w:t xml:space="preserve">sufficient </w:t>
      </w:r>
      <w:r w:rsidR="00D25A49">
        <w:t xml:space="preserve">basis </w:t>
      </w:r>
      <w:r w:rsidRPr="00204301">
        <w:t xml:space="preserve">for a study to proceed. Initiation must await </w:t>
      </w:r>
      <w:r w:rsidR="003C6CC8">
        <w:t xml:space="preserve">a more comprehensive </w:t>
      </w:r>
      <w:r w:rsidRPr="00204301">
        <w:t xml:space="preserve">institutional authorization which will </w:t>
      </w:r>
      <w:r w:rsidR="00A04C73">
        <w:t xml:space="preserve">depend upon </w:t>
      </w:r>
      <w:r w:rsidRPr="00204301">
        <w:t xml:space="preserve">other aspects of the project including the following: evidence pertaining to the experience, training, and certifications of the investigator(s) and the rest of the research team; resource implications that could affect the clinical care of participants or patients; and the details of any contractual agreements struck between the institution, the principal investigator, and the study sponsor. Large teaching hospitals like SickKids now have entire departments dedicated to scrutinizing research-related grants and contracts to ensure that the roles and responsibilities of each of the contracting parties are clear. They negotiate with trial sponsors over matters such as patent rights and exemptions, the amount of liability insurance to be carried by contracting parties, the procedures to be </w:t>
      </w:r>
      <w:r w:rsidR="007C18A7">
        <w:t>performed</w:t>
      </w:r>
      <w:r w:rsidRPr="00204301">
        <w:t xml:space="preserve"> to ensure that the privacy and confidentiality of research participants is respected, and any restrictions on the publication or other dissemination of research findings.</w:t>
      </w:r>
      <w:r w:rsidRPr="006A73A5">
        <w:rPr>
          <w:vertAlign w:val="superscript"/>
        </w:rPr>
        <w:footnoteReference w:id="37"/>
      </w:r>
      <w:r w:rsidRPr="00884EBC">
        <w:t xml:space="preserve"> One of the legacies of the so-called Olivieri </w:t>
      </w:r>
      <w:r w:rsidRPr="00884EBC">
        <w:lastRenderedPageBreak/>
        <w:t xml:space="preserve">affair is that most Canadian health care institutions now have a keener appreciation of the risks associated with weak or ambiguous contract arrangements. Although investigators frequently complain about the time it takes to finalise </w:t>
      </w:r>
      <w:r w:rsidR="00D23473">
        <w:t xml:space="preserve">legal </w:t>
      </w:r>
      <w:r w:rsidRPr="00884EBC">
        <w:t xml:space="preserve">agreements between their home institutions and study sponsors, her story is a compelling reminder of the importance of attending </w:t>
      </w:r>
      <w:r w:rsidR="005C45A4">
        <w:t xml:space="preserve">closely </w:t>
      </w:r>
      <w:r w:rsidRPr="00884EBC">
        <w:t xml:space="preserve">to this step during the clinical trial review process.      </w:t>
      </w:r>
    </w:p>
    <w:p w14:paraId="36C2AF91" w14:textId="77777777" w:rsidR="00C32E2A" w:rsidRPr="006A73A5" w:rsidRDefault="006A73A5" w:rsidP="00B72D0C">
      <w:pPr>
        <w:spacing w:line="480" w:lineRule="auto"/>
        <w:ind w:firstLine="720"/>
      </w:pPr>
      <w:r w:rsidRPr="00884EBC">
        <w:t xml:space="preserve">All of this detail is not offered to </w:t>
      </w:r>
      <w:r w:rsidR="00884EBC">
        <w:t xml:space="preserve">downplay </w:t>
      </w:r>
      <w:r w:rsidRPr="00884EBC">
        <w:t xml:space="preserve">the responsibilities of the ethicist most closely associated with this well-known trial, but it does help us to identify which aspects of the project might reasonably be thought to </w:t>
      </w:r>
      <w:r w:rsidR="00692567">
        <w:t xml:space="preserve">have </w:t>
      </w:r>
      <w:r w:rsidRPr="00884EBC">
        <w:t>fall</w:t>
      </w:r>
      <w:r w:rsidR="00692567">
        <w:t>en</w:t>
      </w:r>
      <w:r w:rsidRPr="00884EBC">
        <w:t xml:space="preserve"> within her purview and which might not. Presumably</w:t>
      </w:r>
      <w:r w:rsidR="00295864">
        <w:t>,</w:t>
      </w:r>
      <w:r w:rsidRPr="00884EBC">
        <w:t xml:space="preserve"> at the time of </w:t>
      </w:r>
      <w:r w:rsidR="00E3511A">
        <w:t xml:space="preserve">its </w:t>
      </w:r>
      <w:r w:rsidRPr="00884EBC">
        <w:t>initial approval, the principal inve</w:t>
      </w:r>
      <w:r w:rsidR="007127C6">
        <w:t>stigator, her funders, and her research ethics b</w:t>
      </w:r>
      <w:r w:rsidRPr="00884EBC">
        <w:t xml:space="preserve">oard, all had sound reasons for believing that the study presented an opportunity to improve the </w:t>
      </w:r>
      <w:r w:rsidR="00494F0C" w:rsidRPr="00884EBC">
        <w:t>wellbeing</w:t>
      </w:r>
      <w:r w:rsidRPr="00884EBC">
        <w:t xml:space="preserve"> of the young research participants who would test L1’s efficacy and tolerability. Moreover, such studies do not (and, even then, did not) escape scrutiny after they receive approval from an institution</w:t>
      </w:r>
      <w:r w:rsidR="00B761E5">
        <w:t>al REB. High risk and multi-site</w:t>
      </w:r>
      <w:r w:rsidRPr="00884EBC">
        <w:t xml:space="preserve"> drug trials normally have independent Data Safety Monitoring Boards (DSMBs) in place to watch for emerging trends that might reveal troubling patterns of adverse events. National healthcare regulators (such as Health Canada or the United States’ Food and Drug Administration), and REBs </w:t>
      </w:r>
      <w:r w:rsidRPr="00884EBC">
        <w:lastRenderedPageBreak/>
        <w:t>require that serious adverse events be reported to them promptly, and annual renewals of on</w:t>
      </w:r>
      <w:r w:rsidR="005C45A4">
        <w:t>-</w:t>
      </w:r>
      <w:r w:rsidRPr="00884EBC">
        <w:t xml:space="preserve">going projects are contingent upon receipt of information such as the rate at which participants are recruited, </w:t>
      </w:r>
      <w:r w:rsidR="001B27F8">
        <w:t>and</w:t>
      </w:r>
      <w:r w:rsidR="00B761E5">
        <w:t xml:space="preserve"> the number </w:t>
      </w:r>
      <w:r w:rsidRPr="00884EBC">
        <w:t>who have been hospitalised, harmed, or withdrawn from participation. Any proposed amendments to study procedures must also be sanctioned by the REB of record. If a study has received initial approval at a full-board meeting, then its eligibility for continuing approval (which is typically re-assessed on an annual basis) must be reviewed at a full-board meeting as well.</w:t>
      </w:r>
    </w:p>
    <w:p w14:paraId="65D630E1" w14:textId="77777777" w:rsidR="00C32E2A" w:rsidRPr="006A73A5" w:rsidRDefault="006A73A5" w:rsidP="00B72D0C">
      <w:pPr>
        <w:spacing w:line="480" w:lineRule="auto"/>
        <w:ind w:firstLine="720"/>
      </w:pPr>
      <w:r w:rsidRPr="00884EBC">
        <w:t>These mechanisms for ensur</w:t>
      </w:r>
      <w:r w:rsidR="00B761E5">
        <w:t>ing the safety of human participants</w:t>
      </w:r>
      <w:r w:rsidRPr="00884EBC">
        <w:t xml:space="preserve"> are far from fail-safe but they do provide predictable</w:t>
      </w:r>
      <w:r w:rsidR="00905F58">
        <w:t xml:space="preserve"> and</w:t>
      </w:r>
      <w:r w:rsidRPr="00884EBC">
        <w:t xml:space="preserve"> systematic opportunities for identifying and </w:t>
      </w:r>
      <w:r w:rsidR="001B27F8">
        <w:t>managing</w:t>
      </w:r>
      <w:r w:rsidRPr="00884EBC">
        <w:t xml:space="preserve"> emerging risks. An unexpected exacerbation of disease is always grounds for notifying a study’s research ethics board</w:t>
      </w:r>
      <w:r w:rsidR="001B27F8">
        <w:t>;</w:t>
      </w:r>
      <w:r w:rsidRPr="00884EBC">
        <w:t xml:space="preserve"> therefore </w:t>
      </w:r>
      <w:r w:rsidR="00884EBC" w:rsidRPr="00884EBC">
        <w:t>Dr</w:t>
      </w:r>
      <w:r w:rsidRPr="00884EBC">
        <w:t xml:space="preserve"> Olivieri was correct to report her concerns, and to seek the advice of her board’s chairperson, when she came to believe that the balance of burdens and benefits had shifted for participants enrolled in the deferiprone trial.</w:t>
      </w:r>
    </w:p>
    <w:p w14:paraId="651E1475" w14:textId="77777777" w:rsidR="00C32E2A" w:rsidRPr="006A73A5" w:rsidRDefault="006A73A5" w:rsidP="00B72D0C">
      <w:pPr>
        <w:spacing w:line="480" w:lineRule="auto"/>
        <w:ind w:firstLine="720"/>
      </w:pPr>
      <w:r w:rsidRPr="00884EBC">
        <w:t>Although some commentators, both at the time of the controversy and after, have portrayed the conflict between Olivieri and Apotex merely as a scientific disagreement over the interpretation of study-generated data, it is widely accepted that their dispute implicated two principles that are considered fundamental to the ethical conduct of human subjects’ research. As a clinician-researcher</w:t>
      </w:r>
      <w:r w:rsidR="001B27F8">
        <w:t>,</w:t>
      </w:r>
      <w:r w:rsidRPr="00884EBC">
        <w:t xml:space="preserve"> Olivieri had an obligation to protect participants by informing them of any </w:t>
      </w:r>
      <w:r w:rsidR="001B27F8" w:rsidRPr="00884EBC">
        <w:t>newly identified</w:t>
      </w:r>
      <w:r w:rsidRPr="00884EBC">
        <w:t xml:space="preserve"> risks associated with their continued enrolment. This duty </w:t>
      </w:r>
      <w:r w:rsidRPr="00884EBC">
        <w:lastRenderedPageBreak/>
        <w:t xml:space="preserve">entailed providing them with an opportunity to withdraw from further participation in the trial at any time. In addition, the sponsor’s insistence that all of Olivieri’s communications be vetted through </w:t>
      </w:r>
      <w:r w:rsidR="00E3511A">
        <w:t>its representatives</w:t>
      </w:r>
      <w:r w:rsidRPr="00884EBC">
        <w:t xml:space="preserve"> was a flagrant violation of </w:t>
      </w:r>
      <w:r w:rsidR="00E3511A">
        <w:t>its</w:t>
      </w:r>
      <w:r w:rsidRPr="00884EBC">
        <w:t xml:space="preserve"> duty to respect her right to exercise academic freedom. Current practice allows sponsors to </w:t>
      </w:r>
      <w:r w:rsidR="000E16F0">
        <w:t>postpone</w:t>
      </w:r>
      <w:r w:rsidRPr="00884EBC">
        <w:t xml:space="preserve"> publication for reasonable time periods (normally a matter of </w:t>
      </w:r>
      <w:r w:rsidR="00375F60">
        <w:t xml:space="preserve">a few </w:t>
      </w:r>
      <w:r w:rsidRPr="00884EBC">
        <w:t>months</w:t>
      </w:r>
      <w:r w:rsidR="001B27F8">
        <w:t xml:space="preserve"> after data collection has been completed</w:t>
      </w:r>
      <w:r w:rsidRPr="00884EBC">
        <w:t xml:space="preserve">) in order to provide </w:t>
      </w:r>
      <w:r w:rsidR="00836F9C">
        <w:t xml:space="preserve">them </w:t>
      </w:r>
      <w:r w:rsidRPr="00884EBC">
        <w:t>with opportunities to seek additional reviews of the data, or to make comparisons between sites in multi-centred trials</w:t>
      </w:r>
      <w:r w:rsidR="000E16F0">
        <w:t xml:space="preserve">; however, a </w:t>
      </w:r>
      <w:r w:rsidRPr="00884EBC">
        <w:t xml:space="preserve">complete prohibition on information-sharing, or a significant delay in dissemination, </w:t>
      </w:r>
      <w:r w:rsidR="00836F9C">
        <w:t>would</w:t>
      </w:r>
      <w:r w:rsidRPr="00884EBC">
        <w:t xml:space="preserve"> always </w:t>
      </w:r>
      <w:r w:rsidR="000E16F0">
        <w:t xml:space="preserve">be </w:t>
      </w:r>
      <w:r w:rsidR="00375F60">
        <w:t xml:space="preserve">judged </w:t>
      </w:r>
      <w:r w:rsidRPr="00884EBC">
        <w:t>an unacceptable violation of ethical norms. One of the contracts between Apotex and Olivieri stipulated a three</w:t>
      </w:r>
      <w:r w:rsidR="00A643B8">
        <w:t>-</w:t>
      </w:r>
      <w:r w:rsidRPr="00884EBC">
        <w:t xml:space="preserve">year </w:t>
      </w:r>
      <w:r w:rsidR="000E16F0">
        <w:t xml:space="preserve">wait </w:t>
      </w:r>
      <w:r w:rsidRPr="00884EBC">
        <w:t>before her findings could be shared.</w:t>
      </w:r>
      <w:r w:rsidRPr="006A73A5">
        <w:rPr>
          <w:vertAlign w:val="superscript"/>
        </w:rPr>
        <w:footnoteReference w:id="38"/>
      </w:r>
      <w:r w:rsidRPr="00884EBC">
        <w:t xml:space="preserve"> A provision like this not only has the potential to jeopardize the safety of current and future participants, but </w:t>
      </w:r>
      <w:r w:rsidR="00517F6D">
        <w:t xml:space="preserve">also </w:t>
      </w:r>
      <w:r w:rsidRPr="00884EBC">
        <w:t xml:space="preserve">threatens to undermine the public’s confidence in the research enterprise itself. </w:t>
      </w:r>
      <w:r w:rsidR="00E06A8B">
        <w:t xml:space="preserve">As </w:t>
      </w:r>
      <w:r w:rsidRPr="00884EBC">
        <w:t>Manit</w:t>
      </w:r>
      <w:r w:rsidR="00E06A8B">
        <w:t>oba ethicist Art Schaefer posited</w:t>
      </w:r>
      <w:r w:rsidRPr="00884EBC">
        <w:t xml:space="preserve"> “it was, from the outset, inconceivable that any court in Canada would have upheld such a contract.” In addition, he offered a particularly bald assessment of the case; it was</w:t>
      </w:r>
      <w:r w:rsidR="00A8331E">
        <w:t xml:space="preserve"> </w:t>
      </w:r>
      <w:r w:rsidRPr="00884EBC">
        <w:t xml:space="preserve">a contest between “corporate values vs. civic </w:t>
      </w:r>
      <w:r w:rsidRPr="00884EBC">
        <w:lastRenderedPageBreak/>
        <w:t>values, it’s about human well-being vs. profit, it’s about institutional corruption."</w:t>
      </w:r>
      <w:r w:rsidRPr="006A73A5">
        <w:rPr>
          <w:vertAlign w:val="superscript"/>
        </w:rPr>
        <w:footnoteReference w:id="39"/>
      </w:r>
    </w:p>
    <w:p w14:paraId="4E03BBD9" w14:textId="77777777" w:rsidR="00C32E2A" w:rsidRPr="006A73A5" w:rsidRDefault="006A73A5" w:rsidP="00B72D0C">
      <w:pPr>
        <w:spacing w:line="480" w:lineRule="auto"/>
        <w:ind w:firstLine="720"/>
      </w:pPr>
      <w:r w:rsidRPr="00884EBC">
        <w:t xml:space="preserve">The spectre of capital was certainly never far from discussions over the rift between Olivieri and Apotex. The company, which now </w:t>
      </w:r>
      <w:r w:rsidR="00410EC9">
        <w:t xml:space="preserve">boasts annual revenues of </w:t>
      </w:r>
      <w:r w:rsidR="00855560">
        <w:t xml:space="preserve">approximately </w:t>
      </w:r>
      <w:r w:rsidR="00410EC9">
        <w:t xml:space="preserve">two </w:t>
      </w:r>
      <w:r w:rsidRPr="00884EBC">
        <w:t>billion dollars was, and remains, Canada’s largest</w:t>
      </w:r>
      <w:r w:rsidR="00D60EBF">
        <w:t xml:space="preserve"> </w:t>
      </w:r>
      <w:r w:rsidR="00905F58">
        <w:t>m</w:t>
      </w:r>
      <w:r w:rsidRPr="00884EBC">
        <w:t>anufacturer of generic drugs.</w:t>
      </w:r>
      <w:r w:rsidRPr="006A73A5">
        <w:rPr>
          <w:vertAlign w:val="superscript"/>
        </w:rPr>
        <w:footnoteReference w:id="40"/>
      </w:r>
      <w:r w:rsidRPr="00884EBC">
        <w:t xml:space="preserve"> Both the chief executive officer and the president of Apotex were known to have close ties to the hospital and the University of Toronto, and the company was in a position to offer generous incentives to those willing to cultivate relationships with them. In the late </w:t>
      </w:r>
      <w:r w:rsidR="00227D9A">
        <w:t>1990s</w:t>
      </w:r>
      <w:r w:rsidRPr="00884EBC">
        <w:t>, the SickKids Hospital Foundation was negotiating with investors over opportunities to attach their names to professorships, endowed chairs, and even its entire research institute, and in 1998 it verified that Apotex was inviting proposals from the city’s academically-affiliated hospitals to compete for a ten million dollar donation. The university itself was purported to be discussing a fifty-five million dollar endowment with the company.</w:t>
      </w:r>
      <w:r w:rsidRPr="006A73A5">
        <w:rPr>
          <w:vertAlign w:val="superscript"/>
        </w:rPr>
        <w:footnoteReference w:id="41"/>
      </w:r>
    </w:p>
    <w:p w14:paraId="004A4A87" w14:textId="77777777" w:rsidR="00C32E2A" w:rsidRPr="006A73A5" w:rsidRDefault="006A73A5" w:rsidP="00B72D0C">
      <w:pPr>
        <w:spacing w:line="480" w:lineRule="auto"/>
        <w:ind w:firstLine="720"/>
        <w:jc w:val="both"/>
      </w:pPr>
      <w:r w:rsidRPr="00884EBC">
        <w:t xml:space="preserve">It was against this background that the chair of the SickKids REB issued an unequivocal directive in response to Olivieri’s disclosure. The </w:t>
      </w:r>
      <w:r w:rsidR="00051874">
        <w:t>B</w:t>
      </w:r>
      <w:r w:rsidRPr="00884EBC">
        <w:t>oard would not be drawn into disputes over the interpretation of the trial data</w:t>
      </w:r>
      <w:r w:rsidR="008D701C">
        <w:t>. A</w:t>
      </w:r>
      <w:r w:rsidRPr="00884EBC">
        <w:t xml:space="preserve">s the local principal </w:t>
      </w:r>
      <w:r w:rsidRPr="00884EBC">
        <w:lastRenderedPageBreak/>
        <w:t xml:space="preserve">investigator, and physician most responsible for the </w:t>
      </w:r>
      <w:r w:rsidR="00DC40F0" w:rsidRPr="00884EBC">
        <w:t>wellbeing</w:t>
      </w:r>
      <w:r w:rsidRPr="00884EBC">
        <w:t xml:space="preserve"> of participants, Olivieri was to revise the</w:t>
      </w:r>
      <w:r w:rsidR="00EB6783">
        <w:t xml:space="preserve"> study</w:t>
      </w:r>
      <w:r w:rsidR="00375F60">
        <w:t>’</w:t>
      </w:r>
      <w:r w:rsidR="00EB6783">
        <w:t>s</w:t>
      </w:r>
      <w:r w:rsidR="00375F60">
        <w:t xml:space="preserve"> </w:t>
      </w:r>
      <w:r w:rsidRPr="00884EBC">
        <w:t>informed consent</w:t>
      </w:r>
      <w:r w:rsidR="00375F60">
        <w:t xml:space="preserve"> document</w:t>
      </w:r>
      <w:r w:rsidR="001553FD">
        <w:t>s</w:t>
      </w:r>
      <w:r w:rsidRPr="00884EBC">
        <w:t xml:space="preserve"> </w:t>
      </w:r>
      <w:r w:rsidR="00EB6783">
        <w:t xml:space="preserve">and </w:t>
      </w:r>
      <w:r w:rsidR="00EB6783" w:rsidRPr="00884EBC">
        <w:t xml:space="preserve">to inform </w:t>
      </w:r>
      <w:r w:rsidR="00EB6783">
        <w:t xml:space="preserve">participants </w:t>
      </w:r>
      <w:r w:rsidR="00EB6783" w:rsidRPr="00884EBC">
        <w:t xml:space="preserve">of her concerns </w:t>
      </w:r>
      <w:r w:rsidRPr="00884EBC">
        <w:t xml:space="preserve">without delay. </w:t>
      </w:r>
      <w:r w:rsidR="00410EC9">
        <w:t>The</w:t>
      </w:r>
      <w:r w:rsidRPr="00884EBC">
        <w:t xml:space="preserve"> ethic</w:t>
      </w:r>
      <w:r w:rsidR="00410EC9">
        <w:t>al responsibility to disclose</w:t>
      </w:r>
      <w:r w:rsidRPr="00884EBC">
        <w:t xml:space="preserve"> </w:t>
      </w:r>
      <w:r w:rsidR="00410EC9">
        <w:t>the</w:t>
      </w:r>
      <w:r w:rsidR="00D60EBF">
        <w:t xml:space="preserve"> p</w:t>
      </w:r>
      <w:r w:rsidR="00410EC9">
        <w:t xml:space="preserve">ossible risks associated with </w:t>
      </w:r>
      <w:r w:rsidRPr="00884EBC">
        <w:t>this study w</w:t>
      </w:r>
      <w:r w:rsidR="003E3455">
        <w:t>as</w:t>
      </w:r>
      <w:r w:rsidRPr="00884EBC">
        <w:t xml:space="preserve"> not unclear or </w:t>
      </w:r>
      <w:r w:rsidR="00AC3873" w:rsidRPr="00884EBC">
        <w:t>contested</w:t>
      </w:r>
      <w:r w:rsidR="00AC3873">
        <w:t>;</w:t>
      </w:r>
      <w:r w:rsidR="003E3455">
        <w:t xml:space="preserve"> </w:t>
      </w:r>
      <w:r w:rsidRPr="00884EBC">
        <w:t>at least as far as the hospital’s body responsible for research oversight was concerned.</w:t>
      </w:r>
      <w:r w:rsidRPr="006A73A5">
        <w:rPr>
          <w:vertAlign w:val="superscript"/>
        </w:rPr>
        <w:footnoteReference w:id="42"/>
      </w:r>
    </w:p>
    <w:p w14:paraId="3D19D697" w14:textId="77777777" w:rsidR="00C32E2A" w:rsidRDefault="006A73A5" w:rsidP="00097BD1">
      <w:pPr>
        <w:spacing w:line="480" w:lineRule="auto"/>
        <w:ind w:firstLine="720"/>
        <w:jc w:val="both"/>
      </w:pPr>
      <w:r w:rsidRPr="00884EBC">
        <w:t xml:space="preserve">Informing study subjects of a fresh assessment of risk is a different matter, however, from a decision to terminate a study entirely. In many clinical trials, including this one, an investigational agent </w:t>
      </w:r>
      <w:r w:rsidR="00DC40F0" w:rsidRPr="00884EBC">
        <w:t>that</w:t>
      </w:r>
      <w:r w:rsidRPr="00884EBC">
        <w:t xml:space="preserve"> isn’t </w:t>
      </w:r>
      <w:r w:rsidR="00DC40F0" w:rsidRPr="00884EBC">
        <w:t>well tolerated</w:t>
      </w:r>
      <w:r w:rsidRPr="00884EBC">
        <w:t xml:space="preserve"> by some participants, or is indeed toxic to them, can be a boon to others. A move to halt a trial prematurely - which was Apotex’s response to the updated informed consent process - is ethically problematic not only because it abruptly </w:t>
      </w:r>
      <w:r w:rsidR="00C82419">
        <w:t xml:space="preserve">halts </w:t>
      </w:r>
      <w:r w:rsidRPr="00884EBC">
        <w:t xml:space="preserve">access to study drugs (a distressing development for those who </w:t>
      </w:r>
      <w:r w:rsidR="00AC3873">
        <w:t xml:space="preserve">may </w:t>
      </w:r>
      <w:r w:rsidRPr="00884EBC">
        <w:t xml:space="preserve">be benefitting from them), but also because it undermines the contributions of all who have agreed to assume the </w:t>
      </w:r>
      <w:r w:rsidRPr="00884EBC">
        <w:lastRenderedPageBreak/>
        <w:t xml:space="preserve">risks of participation. A study that ends before clear inferences about safety and efficacy can be drawn is one </w:t>
      </w:r>
      <w:r w:rsidR="0011559C">
        <w:t>that</w:t>
      </w:r>
      <w:r w:rsidRPr="00884EBC">
        <w:t xml:space="preserve"> generates risks without commensurate rewards. Early termination can be warranted but, as </w:t>
      </w:r>
      <w:r w:rsidR="0037286F">
        <w:t xml:space="preserve">Miriam Shuchman observes in her </w:t>
      </w:r>
      <w:r w:rsidRPr="00884EBC">
        <w:t xml:space="preserve">account of the Olivieri affair, worries over a sponsor’s commercial interests </w:t>
      </w:r>
      <w:r w:rsidR="00517F6D">
        <w:t>never</w:t>
      </w:r>
      <w:r w:rsidRPr="00884EBC">
        <w:t xml:space="preserve"> constitute a</w:t>
      </w:r>
      <w:r w:rsidR="005B7CE7">
        <w:t xml:space="preserve">n </w:t>
      </w:r>
      <w:r w:rsidR="00517F6D">
        <w:t>ethically</w:t>
      </w:r>
      <w:r w:rsidRPr="00884EBC">
        <w:t xml:space="preserve"> defensible justification</w:t>
      </w:r>
      <w:r w:rsidR="00227D9A">
        <w:t xml:space="preserve"> for doing so:</w:t>
      </w:r>
      <w:r w:rsidRPr="00884EBC">
        <w:t xml:space="preserve"> “Ethicists advise that the way to stop a trial is to follow ‘stopping rules’ established ahead of time by the sponsor and the scientists.”</w:t>
      </w:r>
      <w:r w:rsidRPr="006A73A5">
        <w:rPr>
          <w:vertAlign w:val="superscript"/>
        </w:rPr>
        <w:footnoteReference w:id="43"/>
      </w:r>
      <w:r w:rsidRPr="00884EBC">
        <w:t xml:space="preserve"> These stopping rules help </w:t>
      </w:r>
      <w:r w:rsidR="00EA112B">
        <w:t xml:space="preserve">outside </w:t>
      </w:r>
      <w:r w:rsidRPr="00884EBC">
        <w:t>experts, such as independent data safety monitoring boards</w:t>
      </w:r>
      <w:r w:rsidR="0011559C">
        <w:t xml:space="preserve"> that</w:t>
      </w:r>
      <w:r w:rsidRPr="00884EBC">
        <w:t xml:space="preserve"> include statisticians and clinical investigators, to interpret data </w:t>
      </w:r>
      <w:r w:rsidR="00EC0B69">
        <w:t>that suggest</w:t>
      </w:r>
      <w:r w:rsidR="00ED1695">
        <w:t xml:space="preserve"> </w:t>
      </w:r>
      <w:r w:rsidRPr="00884EBC">
        <w:t xml:space="preserve">that a trial has become too risky to continue. Their determinations can be prompted by evidence suggesting that a drug is (or </w:t>
      </w:r>
      <w:r w:rsidR="00227D9A">
        <w:t xml:space="preserve">threatens to </w:t>
      </w:r>
      <w:r w:rsidRPr="00884EBC">
        <w:t>become) toxic or ineffective, or is clearly superior or inferior to alternative treatment modalities, but ultimately they will be based on a judgement that the benefits associated with gathering additional data are out-weighed by the overall burdens endured by current study participants.</w:t>
      </w:r>
      <w:r w:rsidRPr="006A73A5">
        <w:rPr>
          <w:vertAlign w:val="superscript"/>
        </w:rPr>
        <w:footnoteReference w:id="44"/>
      </w:r>
      <w:r w:rsidRPr="0047207C">
        <w:t xml:space="preserve"> </w:t>
      </w:r>
    </w:p>
    <w:p w14:paraId="234A2584" w14:textId="77777777" w:rsidR="0096138F" w:rsidRPr="006A73A5" w:rsidRDefault="0096138F" w:rsidP="00097BD1">
      <w:pPr>
        <w:spacing w:line="480" w:lineRule="auto"/>
        <w:ind w:firstLine="720"/>
        <w:jc w:val="both"/>
      </w:pPr>
    </w:p>
    <w:p w14:paraId="6E8E05D4" w14:textId="77777777" w:rsidR="00C32E2A" w:rsidRPr="006A73A5" w:rsidRDefault="006A73A5">
      <w:pPr>
        <w:spacing w:line="480" w:lineRule="auto"/>
        <w:rPr>
          <w:i/>
          <w:iCs/>
        </w:rPr>
      </w:pPr>
      <w:r w:rsidRPr="0047207C">
        <w:rPr>
          <w:i/>
          <w:iCs/>
        </w:rPr>
        <w:t>Institutional interests and the obligations of ethicists</w:t>
      </w:r>
    </w:p>
    <w:p w14:paraId="59827DCA" w14:textId="77777777" w:rsidR="00C32E2A" w:rsidRPr="006A73A5" w:rsidRDefault="006A73A5" w:rsidP="00B72D0C">
      <w:pPr>
        <w:spacing w:line="480" w:lineRule="auto"/>
        <w:ind w:firstLine="720"/>
      </w:pPr>
      <w:r w:rsidRPr="0047207C">
        <w:t>The literature is replete with accounts of the tremendous financial stakes associated with the development of novel</w:t>
      </w:r>
      <w:r w:rsidR="006C1551">
        <w:t xml:space="preserve"> </w:t>
      </w:r>
      <w:r w:rsidR="00227D9A">
        <w:t>therapeutics</w:t>
      </w:r>
      <w:r w:rsidRPr="0047207C">
        <w:t>, especially so-called blockbuster drugs, and the distorting influence of money upon relationships (between sponsors, researchers, research institutes, study participants</w:t>
      </w:r>
      <w:r w:rsidR="0011559C">
        <w:t xml:space="preserve">, and </w:t>
      </w:r>
      <w:r w:rsidR="003E3455">
        <w:t xml:space="preserve">all of the various </w:t>
      </w:r>
      <w:r w:rsidR="0011559C">
        <w:t>combination</w:t>
      </w:r>
      <w:r w:rsidR="003E3455">
        <w:t>s</w:t>
      </w:r>
      <w:r w:rsidR="0011559C">
        <w:t xml:space="preserve"> thereof</w:t>
      </w:r>
      <w:r w:rsidRPr="0047207C">
        <w:t>) so it is perhaps not surprising that this case aroused suspicions about the motives of the principal actors.</w:t>
      </w:r>
      <w:r w:rsidRPr="006A73A5">
        <w:rPr>
          <w:vertAlign w:val="superscript"/>
        </w:rPr>
        <w:footnoteReference w:id="45"/>
      </w:r>
      <w:r w:rsidRPr="0047207C">
        <w:t xml:space="preserve"> Apotex had a </w:t>
      </w:r>
      <w:r w:rsidR="002D143B" w:rsidRPr="002D143B">
        <w:t>clear</w:t>
      </w:r>
      <w:r w:rsidRPr="0047207C">
        <w:t xml:space="preserve"> financial interest in seeing this drug come to market. Its investment was substantial and the </w:t>
      </w:r>
      <w:r w:rsidR="006C1551">
        <w:t>medication</w:t>
      </w:r>
      <w:r w:rsidRPr="0047207C">
        <w:t xml:space="preserve"> </w:t>
      </w:r>
      <w:r w:rsidR="00051874">
        <w:t xml:space="preserve">that </w:t>
      </w:r>
      <w:r w:rsidRPr="0047207C">
        <w:t xml:space="preserve">was the chief competitor to L1 brought its manufacturer a return of $400 million </w:t>
      </w:r>
      <w:r w:rsidR="002D143B">
        <w:t>(</w:t>
      </w:r>
      <w:r w:rsidRPr="0047207C">
        <w:t>US</w:t>
      </w:r>
      <w:r w:rsidR="002D143B">
        <w:t>)</w:t>
      </w:r>
      <w:r w:rsidRPr="0047207C">
        <w:t xml:space="preserve"> per year.</w:t>
      </w:r>
      <w:r w:rsidRPr="006A73A5">
        <w:rPr>
          <w:vertAlign w:val="superscript"/>
        </w:rPr>
        <w:footnoteReference w:id="46"/>
      </w:r>
      <w:r w:rsidRPr="0047207C">
        <w:t xml:space="preserve"> Similarly, the research arm of SickKids Hospital, like that of all academic medical centres, was dependant on the good will of drug manufacturers like Apotex not only for the support of individual clinical trials but ultimately for funds to sustain the employment of scientists, managers, lab assistants, coordinators and the large research infrastructure that </w:t>
      </w:r>
      <w:r w:rsidR="00BE6573">
        <w:t xml:space="preserve">facilitates </w:t>
      </w:r>
      <w:r w:rsidRPr="0047207C">
        <w:t>the approval, administration</w:t>
      </w:r>
      <w:r w:rsidR="00BE6573">
        <w:t>,</w:t>
      </w:r>
      <w:r w:rsidRPr="0047207C">
        <w:t xml:space="preserve"> and supervision of such studies. </w:t>
      </w:r>
      <w:r w:rsidR="00ED12FC">
        <w:t>In addition, d</w:t>
      </w:r>
      <w:r w:rsidRPr="0047207C">
        <w:t>rug compan</w:t>
      </w:r>
      <w:r w:rsidR="00026026">
        <w:t xml:space="preserve">y </w:t>
      </w:r>
      <w:r w:rsidR="00EC0B69">
        <w:t xml:space="preserve">executives and </w:t>
      </w:r>
      <w:r w:rsidR="00026026">
        <w:t>shareholders</w:t>
      </w:r>
      <w:r w:rsidRPr="0047207C">
        <w:t xml:space="preserve">, like other </w:t>
      </w:r>
      <w:r w:rsidR="00026026">
        <w:t xml:space="preserve">successful </w:t>
      </w:r>
      <w:r w:rsidRPr="0047207C">
        <w:t>business</w:t>
      </w:r>
      <w:r w:rsidR="00026026">
        <w:t>people</w:t>
      </w:r>
      <w:r w:rsidRPr="0047207C">
        <w:t xml:space="preserve">, are </w:t>
      </w:r>
      <w:r w:rsidR="00D75888">
        <w:t xml:space="preserve">avidly pursued </w:t>
      </w:r>
      <w:r w:rsidRPr="0047207C">
        <w:t xml:space="preserve">as benefactors who can provide hefty contributions to hospital foundations. Although these foundations are corporate entities </w:t>
      </w:r>
      <w:r w:rsidR="00DC40F0">
        <w:t>that</w:t>
      </w:r>
      <w:r w:rsidRPr="0047207C">
        <w:t xml:space="preserve"> are meant to </w:t>
      </w:r>
      <w:r w:rsidR="00051874">
        <w:t xml:space="preserve">operate at arm’s length </w:t>
      </w:r>
      <w:r w:rsidRPr="0047207C">
        <w:t xml:space="preserve">from the medical </w:t>
      </w:r>
      <w:r w:rsidRPr="0047207C">
        <w:lastRenderedPageBreak/>
        <w:t xml:space="preserve">centres or hospitals with which they are affiliated, the success of their fundraising efforts </w:t>
      </w:r>
      <w:r w:rsidR="00484678">
        <w:t>can have</w:t>
      </w:r>
      <w:r w:rsidRPr="0047207C">
        <w:t xml:space="preserve"> important implications for a hospital’s financial plans. They cannot contribute to operating budgets (they are not permitted by law to provide salary support for clinicians or for costs directly related to the provision of patient care) but they do solicit donations </w:t>
      </w:r>
      <w:r w:rsidR="00DC40F0">
        <w:t>that</w:t>
      </w:r>
      <w:r w:rsidRPr="0047207C">
        <w:t xml:space="preserve"> allow institutions like</w:t>
      </w:r>
      <w:r w:rsidR="00750628">
        <w:t xml:space="preserve"> </w:t>
      </w:r>
      <w:r w:rsidRPr="0047207C">
        <w:t xml:space="preserve">SickKids to undertake ambitious projects </w:t>
      </w:r>
      <w:r w:rsidR="00DC40F0">
        <w:t xml:space="preserve">that </w:t>
      </w:r>
      <w:r w:rsidRPr="0047207C">
        <w:t>their more limited government funding cannot cover.</w:t>
      </w:r>
      <w:r w:rsidRPr="006A73A5">
        <w:rPr>
          <w:vertAlign w:val="superscript"/>
        </w:rPr>
        <w:footnoteReference w:id="47"/>
      </w:r>
      <w:r w:rsidRPr="0047207C">
        <w:t xml:space="preserve"> </w:t>
      </w:r>
    </w:p>
    <w:p w14:paraId="7E209E3F" w14:textId="77777777" w:rsidR="00C32E2A" w:rsidRPr="006A73A5" w:rsidRDefault="006A73A5" w:rsidP="00B72D0C">
      <w:pPr>
        <w:spacing w:line="480" w:lineRule="auto"/>
        <w:ind w:firstLine="720"/>
      </w:pPr>
      <w:r w:rsidRPr="0047207C">
        <w:t xml:space="preserve">Of course, financial conflict of interest </w:t>
      </w:r>
      <w:r w:rsidR="00B761E5">
        <w:t>(F</w:t>
      </w:r>
      <w:r w:rsidR="00D25A49">
        <w:t xml:space="preserve">-COI) </w:t>
      </w:r>
      <w:r w:rsidRPr="0047207C">
        <w:t xml:space="preserve">is far from the only trust-related issue that is of concern in the research environment, and research-intensive hospitals are obliged to alert their investigators and research ethics board members to the potential for these challenges to arise in a variety of guises. Columbia University has a comprehensive account </w:t>
      </w:r>
      <w:r w:rsidR="00BE6573">
        <w:t xml:space="preserve">of conflict of interest </w:t>
      </w:r>
      <w:r w:rsidR="001B6F09">
        <w:t xml:space="preserve">(one which some might </w:t>
      </w:r>
      <w:r w:rsidR="009F26E9">
        <w:t>regard</w:t>
      </w:r>
      <w:r w:rsidR="001B6F09">
        <w:t xml:space="preserve"> as too inclusive)</w:t>
      </w:r>
      <w:r w:rsidR="00DF76AE">
        <w:rPr>
          <w:rStyle w:val="FootnoteReference"/>
        </w:rPr>
        <w:footnoteReference w:id="48"/>
      </w:r>
      <w:r w:rsidR="001B6F09">
        <w:t xml:space="preserve"> </w:t>
      </w:r>
      <w:r w:rsidRPr="0047207C">
        <w:t xml:space="preserve">embedded in a web tutorial devoted </w:t>
      </w:r>
      <w:r w:rsidRPr="0047207C">
        <w:lastRenderedPageBreak/>
        <w:t>to the responsible conduct of research</w:t>
      </w:r>
      <w:r w:rsidR="00B16C6E">
        <w:t xml:space="preserve">. Its content is typical of those </w:t>
      </w:r>
      <w:r w:rsidR="00BE6573">
        <w:t xml:space="preserve">proffered </w:t>
      </w:r>
      <w:r w:rsidR="00B16C6E">
        <w:t xml:space="preserve">by institutional research </w:t>
      </w:r>
      <w:r w:rsidR="009B054B">
        <w:t>review offices.</w:t>
      </w:r>
      <w:r w:rsidRPr="0047207C">
        <w:t xml:space="preserve">   </w:t>
      </w:r>
    </w:p>
    <w:p w14:paraId="4463DE5B" w14:textId="77777777" w:rsidR="00974466" w:rsidRDefault="006A73A5" w:rsidP="00C82419">
      <w:pPr>
        <w:ind w:left="720"/>
        <w:rPr>
          <w:rFonts w:eastAsia="Arial Unicode MS" w:hAnsi="Arial Unicode MS" w:cs="Arial Unicode MS"/>
          <w:color w:val="202020"/>
          <w:u w:color="202020"/>
        </w:rPr>
      </w:pPr>
      <w:r w:rsidRPr="0047207C">
        <w:rPr>
          <w:rFonts w:eastAsia="Arial Unicode MS" w:hAnsi="Arial Unicode MS" w:cs="Arial Unicode MS"/>
          <w:color w:val="202020"/>
          <w:u w:color="202020"/>
        </w:rPr>
        <w:t>A conflict of interest involves the abuse -- actual, apparent, or potential -- of the trust that people have in professionals. The simplest working definition states: A conflict of interest is a situation in which financial or other personal considerations have the potential to compromise or bias professional judgment and objectivity. An apparent conflict of interest is one in which a reasonable person would think that the professional</w:t>
      </w:r>
      <w:r w:rsidRPr="0047207C">
        <w:rPr>
          <w:rFonts w:ascii="Arial Unicode MS" w:eastAsia="Arial Unicode MS" w:cs="Arial Unicode MS"/>
          <w:color w:val="202020"/>
          <w:u w:color="202020"/>
        </w:rPr>
        <w:t>’</w:t>
      </w:r>
      <w:r w:rsidRPr="0047207C">
        <w:rPr>
          <w:rFonts w:eastAsia="Arial Unicode MS" w:hAnsi="Arial Unicode MS" w:cs="Arial Unicode MS"/>
          <w:color w:val="202020"/>
          <w:u w:color="202020"/>
        </w:rPr>
        <w:t xml:space="preserve">s judgment is likely to be compromised. A potential conflict of interest involves a situation that may develop into an actual conflict of interest. It is important to note that a conflict of interest exists whether or not decisions are affected by a personal interest; a conflict of interest implies only the potential for bias, not </w:t>
      </w:r>
      <w:r w:rsidR="0047207C" w:rsidRPr="0047207C">
        <w:rPr>
          <w:rFonts w:eastAsia="Arial Unicode MS" w:hAnsi="Arial Unicode MS" w:cs="Arial Unicode MS"/>
          <w:color w:val="202020"/>
          <w:u w:color="202020"/>
        </w:rPr>
        <w:t>likelihood</w:t>
      </w:r>
      <w:r w:rsidRPr="0047207C">
        <w:rPr>
          <w:rFonts w:eastAsia="Arial Unicode MS" w:hAnsi="Arial Unicode MS" w:cs="Arial Unicode MS"/>
          <w:color w:val="202020"/>
          <w:u w:color="202020"/>
        </w:rPr>
        <w:t>.</w:t>
      </w:r>
      <w:r w:rsidR="0047207C">
        <w:rPr>
          <w:rStyle w:val="FootnoteReference"/>
          <w:rFonts w:eastAsia="Arial Unicode MS" w:hAnsi="Arial Unicode MS" w:cs="Arial Unicode MS"/>
          <w:color w:val="202020"/>
          <w:u w:color="202020"/>
        </w:rPr>
        <w:footnoteReference w:id="49"/>
      </w:r>
    </w:p>
    <w:p w14:paraId="4656327C" w14:textId="77777777" w:rsidR="00E44DF1" w:rsidRDefault="00E44DF1" w:rsidP="00E44DF1">
      <w:pPr>
        <w:rPr>
          <w:rFonts w:eastAsia="Arial Unicode MS" w:hAnsi="Arial Unicode MS" w:cs="Arial Unicode MS"/>
          <w:color w:val="202020"/>
          <w:u w:color="202020"/>
        </w:rPr>
      </w:pPr>
    </w:p>
    <w:p w14:paraId="73DB8853" w14:textId="58E51345" w:rsidR="00E2353D" w:rsidRDefault="006A73A5" w:rsidP="00B72D0C">
      <w:pPr>
        <w:spacing w:line="480" w:lineRule="auto"/>
        <w:ind w:firstLine="720"/>
      </w:pPr>
      <w:r w:rsidRPr="00974466">
        <w:t xml:space="preserve">Although the language of conflict of interest may not have been </w:t>
      </w:r>
      <w:r w:rsidR="00761373">
        <w:t xml:space="preserve">explicitly </w:t>
      </w:r>
      <w:r w:rsidRPr="00974466">
        <w:t>invoked</w:t>
      </w:r>
      <w:r w:rsidR="0047207C">
        <w:t xml:space="preserve"> </w:t>
      </w:r>
      <w:r w:rsidRPr="00974466">
        <w:t xml:space="preserve">in association with the name of Mary Rowell, the context seems to demand that the question of her interests be addressed directly. </w:t>
      </w:r>
      <w:r w:rsidR="00E44DF1">
        <w:t>Rowell</w:t>
      </w:r>
      <w:r w:rsidR="00E44DF1" w:rsidRPr="00974466">
        <w:t xml:space="preserve"> was</w:t>
      </w:r>
      <w:r w:rsidRPr="00974466">
        <w:t xml:space="preserve"> the practicing healthcare ethicist most closely i</w:t>
      </w:r>
      <w:r w:rsidR="00761373">
        <w:t>dentified</w:t>
      </w:r>
      <w:r w:rsidRPr="00974466">
        <w:t xml:space="preserve"> with the case, and although Baylis </w:t>
      </w:r>
      <w:r w:rsidR="00750628">
        <w:t xml:space="preserve">subsequently </w:t>
      </w:r>
      <w:r w:rsidRPr="00974466">
        <w:t>clarified that her charge of ethical cowardice was not</w:t>
      </w:r>
      <w:r w:rsidR="00E44DF1">
        <w:t xml:space="preserve"> </w:t>
      </w:r>
      <w:r w:rsidR="00B761E5">
        <w:t>solely, or even primarily,</w:t>
      </w:r>
      <w:r w:rsidRPr="00974466">
        <w:t xml:space="preserve"> </w:t>
      </w:r>
      <w:r w:rsidR="00B761E5">
        <w:t xml:space="preserve">directed </w:t>
      </w:r>
      <w:r w:rsidR="00E44DF1">
        <w:t>at the SickKids ethicist</w:t>
      </w:r>
      <w:r w:rsidRPr="00974466">
        <w:t>, it m</w:t>
      </w:r>
      <w:r w:rsidR="00BD25A0">
        <w:t>ight</w:t>
      </w:r>
      <w:r w:rsidRPr="00974466">
        <w:t xml:space="preserve"> </w:t>
      </w:r>
      <w:r w:rsidR="002B5C9F">
        <w:t>prove</w:t>
      </w:r>
      <w:r w:rsidRPr="00974466">
        <w:t xml:space="preserve"> instructive to explore whether her action</w:t>
      </w:r>
      <w:r w:rsidR="00332734">
        <w:t xml:space="preserve">, </w:t>
      </w:r>
      <w:r w:rsidRPr="00974466">
        <w:t>or inaction</w:t>
      </w:r>
      <w:r w:rsidR="00332734">
        <w:t>,</w:t>
      </w:r>
      <w:r w:rsidRPr="00974466">
        <w:t xml:space="preserve"> </w:t>
      </w:r>
      <w:r w:rsidR="00E44DF1">
        <w:t>was blameworthy</w:t>
      </w:r>
      <w:r w:rsidR="00750628">
        <w:t xml:space="preserve"> in some way</w:t>
      </w:r>
      <w:r w:rsidRPr="00974466">
        <w:t xml:space="preserve">. The public record is not very rich in this regard </w:t>
      </w:r>
      <w:r w:rsidR="002D143B">
        <w:t>(</w:t>
      </w:r>
      <w:r w:rsidRPr="00974466">
        <w:t>despite two official hearings and</w:t>
      </w:r>
      <w:r w:rsidR="00E44DF1">
        <w:t xml:space="preserve"> a</w:t>
      </w:r>
      <w:r w:rsidRPr="00974466">
        <w:t xml:space="preserve"> four </w:t>
      </w:r>
      <w:r w:rsidR="00DC40F0" w:rsidRPr="00974466">
        <w:t>hundred-</w:t>
      </w:r>
      <w:r w:rsidR="00CC5A5C">
        <w:t xml:space="preserve">plus </w:t>
      </w:r>
      <w:r w:rsidR="00DC40F0" w:rsidRPr="00974466">
        <w:t>page</w:t>
      </w:r>
      <w:r w:rsidRPr="00974466">
        <w:t xml:space="preserve"> book on the subject</w:t>
      </w:r>
      <w:r w:rsidR="002D143B">
        <w:t xml:space="preserve">), </w:t>
      </w:r>
      <w:r w:rsidR="00DC40F0">
        <w:t>but</w:t>
      </w:r>
      <w:r w:rsidR="00E2353D">
        <w:t xml:space="preserve"> in a brief letter contained in a </w:t>
      </w:r>
      <w:r w:rsidR="00E2353D">
        <w:lastRenderedPageBreak/>
        <w:t xml:space="preserve">special issue of the </w:t>
      </w:r>
      <w:r w:rsidR="00E2353D" w:rsidRPr="00750888">
        <w:rPr>
          <w:i/>
        </w:rPr>
        <w:t xml:space="preserve">Journal of Medical </w:t>
      </w:r>
      <w:r w:rsidR="007B5730" w:rsidRPr="00750888">
        <w:rPr>
          <w:i/>
        </w:rPr>
        <w:t>Ethics</w:t>
      </w:r>
      <w:r w:rsidR="00E2353D">
        <w:t xml:space="preserve"> Rowell described some of </w:t>
      </w:r>
      <w:r w:rsidR="00F85907">
        <w:t xml:space="preserve">her </w:t>
      </w:r>
      <w:r w:rsidR="00750888">
        <w:t>response</w:t>
      </w:r>
      <w:r w:rsidR="00F85907">
        <w:t>s</w:t>
      </w:r>
      <w:r w:rsidR="00750888">
        <w:t xml:space="preserve"> to the so-called Olivieri debacle</w:t>
      </w:r>
      <w:r w:rsidR="00E2353D">
        <w:t>:</w:t>
      </w:r>
    </w:p>
    <w:p w14:paraId="4809CAB8" w14:textId="77777777" w:rsidR="00E96E9D" w:rsidRDefault="00E2353D" w:rsidP="002B5C9F">
      <w:pPr>
        <w:ind w:left="720"/>
      </w:pPr>
      <w:r>
        <w:t xml:space="preserve">I </w:t>
      </w:r>
      <w:r w:rsidR="00750888">
        <w:t>requested</w:t>
      </w:r>
      <w:r>
        <w:t xml:space="preserve"> that the Hospital</w:t>
      </w:r>
      <w:r w:rsidR="00750888">
        <w:t xml:space="preserve"> </w:t>
      </w:r>
      <w:r>
        <w:t>initiate</w:t>
      </w:r>
      <w:r w:rsidR="00750888">
        <w:t xml:space="preserve"> </w:t>
      </w:r>
      <w:r>
        <w:t>a</w:t>
      </w:r>
      <w:r w:rsidR="00750888">
        <w:t xml:space="preserve"> </w:t>
      </w:r>
      <w:r>
        <w:t>truly</w:t>
      </w:r>
      <w:r w:rsidR="00750888">
        <w:t xml:space="preserve"> </w:t>
      </w:r>
      <w:r>
        <w:t>independent review, a</w:t>
      </w:r>
      <w:r w:rsidR="00750888">
        <w:t xml:space="preserve"> </w:t>
      </w:r>
      <w:r>
        <w:t>suggestion</w:t>
      </w:r>
      <w:r w:rsidR="00750888">
        <w:t xml:space="preserve"> </w:t>
      </w:r>
      <w:r>
        <w:t>that was</w:t>
      </w:r>
      <w:r w:rsidR="00750888">
        <w:t xml:space="preserve"> </w:t>
      </w:r>
      <w:r>
        <w:t>not</w:t>
      </w:r>
      <w:r w:rsidR="00750888">
        <w:t xml:space="preserve"> </w:t>
      </w:r>
      <w:r>
        <w:t>accepted.</w:t>
      </w:r>
      <w:r w:rsidR="00750888">
        <w:t xml:space="preserve"> </w:t>
      </w:r>
      <w:r>
        <w:t>On several</w:t>
      </w:r>
      <w:r w:rsidR="00750888">
        <w:t xml:space="preserve"> </w:t>
      </w:r>
      <w:r>
        <w:t xml:space="preserve">occasions </w:t>
      </w:r>
      <w:r w:rsidR="00750888">
        <w:t xml:space="preserve">I </w:t>
      </w:r>
      <w:r>
        <w:t>spoke</w:t>
      </w:r>
      <w:r w:rsidR="00750888">
        <w:t xml:space="preserve"> </w:t>
      </w:r>
      <w:r>
        <w:t>with</w:t>
      </w:r>
      <w:r w:rsidR="00750888">
        <w:t xml:space="preserve"> </w:t>
      </w:r>
      <w:r>
        <w:t>news</w:t>
      </w:r>
      <w:r w:rsidR="00750888">
        <w:t xml:space="preserve"> </w:t>
      </w:r>
      <w:r>
        <w:t>reporters</w:t>
      </w:r>
      <w:r w:rsidR="00750888">
        <w:t xml:space="preserve"> </w:t>
      </w:r>
      <w:r>
        <w:t>who sought</w:t>
      </w:r>
      <w:r w:rsidR="00750888">
        <w:t xml:space="preserve"> </w:t>
      </w:r>
      <w:r>
        <w:t>my opinion. In</w:t>
      </w:r>
      <w:r w:rsidR="00750888">
        <w:t xml:space="preserve"> </w:t>
      </w:r>
      <w:r>
        <w:t>those</w:t>
      </w:r>
      <w:r w:rsidR="00750888">
        <w:t xml:space="preserve"> </w:t>
      </w:r>
      <w:r>
        <w:t>interviews</w:t>
      </w:r>
      <w:r w:rsidR="00750888">
        <w:t xml:space="preserve"> I</w:t>
      </w:r>
      <w:r>
        <w:t xml:space="preserve"> consistently</w:t>
      </w:r>
      <w:r w:rsidR="00750888">
        <w:t xml:space="preserve"> </w:t>
      </w:r>
      <w:r>
        <w:t>and</w:t>
      </w:r>
      <w:r w:rsidR="00750888">
        <w:t xml:space="preserve"> </w:t>
      </w:r>
      <w:r>
        <w:t>without</w:t>
      </w:r>
      <w:r w:rsidR="00750888">
        <w:t xml:space="preserve"> </w:t>
      </w:r>
      <w:r>
        <w:t>reservation,</w:t>
      </w:r>
      <w:r w:rsidR="00750888">
        <w:t xml:space="preserve"> </w:t>
      </w:r>
      <w:r>
        <w:t>supported Dr</w:t>
      </w:r>
      <w:r w:rsidR="00750888">
        <w:t xml:space="preserve"> </w:t>
      </w:r>
      <w:r>
        <w:t>Olivieri's</w:t>
      </w:r>
      <w:r w:rsidR="00750888">
        <w:t xml:space="preserve"> </w:t>
      </w:r>
      <w:r>
        <w:t>position and</w:t>
      </w:r>
      <w:r w:rsidR="00750888">
        <w:t xml:space="preserve"> </w:t>
      </w:r>
      <w:r>
        <w:t>I</w:t>
      </w:r>
      <w:r w:rsidR="00750888">
        <w:t xml:space="preserve"> </w:t>
      </w:r>
      <w:r>
        <w:t>was</w:t>
      </w:r>
      <w:r w:rsidR="00750888">
        <w:t xml:space="preserve"> </w:t>
      </w:r>
      <w:r>
        <w:t>critical</w:t>
      </w:r>
      <w:r w:rsidR="00750888">
        <w:t xml:space="preserve"> </w:t>
      </w:r>
      <w:r>
        <w:t>of</w:t>
      </w:r>
      <w:r w:rsidR="00750888">
        <w:t xml:space="preserve"> </w:t>
      </w:r>
      <w:r>
        <w:t>the</w:t>
      </w:r>
      <w:r w:rsidR="00750888">
        <w:t xml:space="preserve"> </w:t>
      </w:r>
      <w:r>
        <w:t>hospital</w:t>
      </w:r>
      <w:r w:rsidR="00750888">
        <w:t xml:space="preserve"> </w:t>
      </w:r>
      <w:r>
        <w:t>for</w:t>
      </w:r>
      <w:r w:rsidR="00750888">
        <w:t xml:space="preserve"> </w:t>
      </w:r>
      <w:r>
        <w:t>its</w:t>
      </w:r>
      <w:r w:rsidR="00750888">
        <w:t xml:space="preserve"> </w:t>
      </w:r>
      <w:r>
        <w:t>lack</w:t>
      </w:r>
      <w:r w:rsidR="00750888">
        <w:t xml:space="preserve"> </w:t>
      </w:r>
      <w:r>
        <w:t>of support</w:t>
      </w:r>
      <w:r w:rsidR="00750888">
        <w:t xml:space="preserve"> </w:t>
      </w:r>
      <w:r>
        <w:t>for</w:t>
      </w:r>
      <w:r w:rsidR="00750888">
        <w:t xml:space="preserve"> </w:t>
      </w:r>
      <w:r>
        <w:t>Olivieri</w:t>
      </w:r>
      <w:r w:rsidR="00750888">
        <w:t xml:space="preserve"> </w:t>
      </w:r>
      <w:r>
        <w:t>and</w:t>
      </w:r>
      <w:r w:rsidR="00750888">
        <w:t xml:space="preserve"> </w:t>
      </w:r>
      <w:r>
        <w:t>her</w:t>
      </w:r>
      <w:r w:rsidR="00750888">
        <w:t xml:space="preserve"> </w:t>
      </w:r>
      <w:r>
        <w:t>colleagues, and</w:t>
      </w:r>
      <w:r w:rsidR="00750888">
        <w:t xml:space="preserve"> </w:t>
      </w:r>
      <w:r>
        <w:t>for</w:t>
      </w:r>
      <w:r w:rsidR="00750888">
        <w:t xml:space="preserve"> </w:t>
      </w:r>
      <w:r>
        <w:t>what</w:t>
      </w:r>
      <w:r w:rsidR="00750888">
        <w:t xml:space="preserve"> </w:t>
      </w:r>
      <w:r>
        <w:t>I saw</w:t>
      </w:r>
      <w:r w:rsidR="00750888">
        <w:t xml:space="preserve"> </w:t>
      </w:r>
      <w:r>
        <w:t>as</w:t>
      </w:r>
      <w:r w:rsidR="00750888">
        <w:t xml:space="preserve"> </w:t>
      </w:r>
      <w:r>
        <w:t>the</w:t>
      </w:r>
      <w:r w:rsidR="00750888">
        <w:t xml:space="preserve"> </w:t>
      </w:r>
      <w:r>
        <w:t>hospital's</w:t>
      </w:r>
      <w:r w:rsidR="00750888">
        <w:t xml:space="preserve"> </w:t>
      </w:r>
      <w:r>
        <w:t>misreading</w:t>
      </w:r>
      <w:r w:rsidR="00750888">
        <w:t xml:space="preserve"> </w:t>
      </w:r>
      <w:r>
        <w:t>of the</w:t>
      </w:r>
      <w:r w:rsidR="00750888">
        <w:t xml:space="preserve"> </w:t>
      </w:r>
      <w:r>
        <w:t>issues</w:t>
      </w:r>
      <w:r w:rsidR="00750888">
        <w:t xml:space="preserve"> </w:t>
      </w:r>
      <w:r>
        <w:t xml:space="preserve">at </w:t>
      </w:r>
      <w:r w:rsidR="00DC40F0">
        <w:t>hand in</w:t>
      </w:r>
      <w:r>
        <w:t xml:space="preserve"> the</w:t>
      </w:r>
      <w:r w:rsidR="00750888">
        <w:t xml:space="preserve"> </w:t>
      </w:r>
      <w:r>
        <w:t>case.</w:t>
      </w:r>
      <w:r w:rsidR="00750888">
        <w:t xml:space="preserve"> </w:t>
      </w:r>
      <w:r>
        <w:t xml:space="preserve">I </w:t>
      </w:r>
      <w:r w:rsidR="007B5730">
        <w:t>have always</w:t>
      </w:r>
      <w:r w:rsidR="00750888">
        <w:t xml:space="preserve"> </w:t>
      </w:r>
      <w:r>
        <w:t>publicly</w:t>
      </w:r>
      <w:r w:rsidR="00750888">
        <w:t xml:space="preserve"> </w:t>
      </w:r>
      <w:r>
        <w:t>supported</w:t>
      </w:r>
      <w:r w:rsidR="00750888">
        <w:t xml:space="preserve"> </w:t>
      </w:r>
      <w:r>
        <w:t>the</w:t>
      </w:r>
      <w:r w:rsidR="00750888">
        <w:t xml:space="preserve"> </w:t>
      </w:r>
      <w:r>
        <w:t>view</w:t>
      </w:r>
      <w:r w:rsidR="00750888">
        <w:t xml:space="preserve"> </w:t>
      </w:r>
      <w:r>
        <w:t>that</w:t>
      </w:r>
      <w:r w:rsidR="00750888">
        <w:t xml:space="preserve"> </w:t>
      </w:r>
      <w:r>
        <w:t>"given</w:t>
      </w:r>
      <w:r w:rsidR="00750888">
        <w:t xml:space="preserve"> </w:t>
      </w:r>
      <w:r>
        <w:t>her</w:t>
      </w:r>
      <w:r w:rsidR="00750888">
        <w:t xml:space="preserve"> </w:t>
      </w:r>
      <w:r>
        <w:t>interpretation</w:t>
      </w:r>
      <w:r w:rsidR="00750888">
        <w:t xml:space="preserve"> </w:t>
      </w:r>
      <w:r>
        <w:t>of the</w:t>
      </w:r>
      <w:r w:rsidR="00750888">
        <w:t xml:space="preserve"> </w:t>
      </w:r>
      <w:r>
        <w:t>data</w:t>
      </w:r>
      <w:r w:rsidR="00750888">
        <w:t xml:space="preserve"> </w:t>
      </w:r>
      <w:r>
        <w:t>at</w:t>
      </w:r>
      <w:r w:rsidR="00750888">
        <w:t xml:space="preserve"> </w:t>
      </w:r>
      <w:r>
        <w:t>the</w:t>
      </w:r>
      <w:r w:rsidR="00750888">
        <w:t xml:space="preserve"> </w:t>
      </w:r>
      <w:r>
        <w:t>time</w:t>
      </w:r>
      <w:r w:rsidR="00750888">
        <w:t xml:space="preserve"> </w:t>
      </w:r>
      <w:r>
        <w:t>Olivieri</w:t>
      </w:r>
      <w:r w:rsidR="00750888">
        <w:t xml:space="preserve"> </w:t>
      </w:r>
      <w:r>
        <w:t>had</w:t>
      </w:r>
      <w:r w:rsidR="00750888">
        <w:t xml:space="preserve"> </w:t>
      </w:r>
      <w:r>
        <w:t>no choice</w:t>
      </w:r>
      <w:r w:rsidR="00750888">
        <w:t xml:space="preserve"> </w:t>
      </w:r>
      <w:r>
        <w:t>but to</w:t>
      </w:r>
      <w:r w:rsidR="00750888">
        <w:t xml:space="preserve"> </w:t>
      </w:r>
      <w:r>
        <w:t>do what</w:t>
      </w:r>
      <w:r w:rsidR="00750888">
        <w:t xml:space="preserve"> </w:t>
      </w:r>
      <w:r>
        <w:t>she</w:t>
      </w:r>
      <w:r w:rsidR="00750888">
        <w:t xml:space="preserve"> </w:t>
      </w:r>
      <w:r>
        <w:t>did"</w:t>
      </w:r>
      <w:r w:rsidR="00A40294">
        <w:t xml:space="preserve"> </w:t>
      </w:r>
      <w:r>
        <w:t>(for</w:t>
      </w:r>
      <w:r w:rsidR="00750888">
        <w:t xml:space="preserve"> </w:t>
      </w:r>
      <w:r>
        <w:t>the</w:t>
      </w:r>
      <w:r w:rsidR="00750888">
        <w:t xml:space="preserve"> </w:t>
      </w:r>
      <w:r>
        <w:t>wellbeing and</w:t>
      </w:r>
      <w:r w:rsidR="00750888">
        <w:t xml:space="preserve"> </w:t>
      </w:r>
      <w:r>
        <w:t>safety</w:t>
      </w:r>
      <w:r w:rsidR="00750888">
        <w:t xml:space="preserve"> </w:t>
      </w:r>
      <w:r>
        <w:t>of children</w:t>
      </w:r>
      <w:r w:rsidR="00750888">
        <w:t xml:space="preserve"> </w:t>
      </w:r>
      <w:r w:rsidR="007B5730">
        <w:t>in research</w:t>
      </w:r>
      <w:r>
        <w:t xml:space="preserve">) </w:t>
      </w:r>
      <w:r w:rsidR="007B5730">
        <w:t xml:space="preserve"> </w:t>
      </w:r>
      <w:r>
        <w:t>(personal transcript of</w:t>
      </w:r>
      <w:r w:rsidR="00750888">
        <w:t xml:space="preserve"> </w:t>
      </w:r>
      <w:r>
        <w:t>Dr M Shuchman in an</w:t>
      </w:r>
      <w:r w:rsidR="00750888">
        <w:t xml:space="preserve"> </w:t>
      </w:r>
      <w:r>
        <w:t>interview</w:t>
      </w:r>
      <w:r w:rsidR="00750888">
        <w:t xml:space="preserve"> </w:t>
      </w:r>
      <w:r>
        <w:t>on "Quirks</w:t>
      </w:r>
      <w:r w:rsidR="00750888">
        <w:t xml:space="preserve"> </w:t>
      </w:r>
      <w:r>
        <w:t>and</w:t>
      </w:r>
      <w:r w:rsidR="00750888">
        <w:t xml:space="preserve"> </w:t>
      </w:r>
      <w:r>
        <w:t>Quarks",</w:t>
      </w:r>
      <w:r w:rsidR="00750888">
        <w:t xml:space="preserve"> </w:t>
      </w:r>
      <w:r>
        <w:t>CBC). I</w:t>
      </w:r>
      <w:r w:rsidR="00750888">
        <w:t xml:space="preserve"> </w:t>
      </w:r>
      <w:r>
        <w:t>contributed in this</w:t>
      </w:r>
      <w:r w:rsidR="00750888">
        <w:t xml:space="preserve"> </w:t>
      </w:r>
      <w:r>
        <w:t>vein</w:t>
      </w:r>
      <w:r w:rsidR="00750888">
        <w:t xml:space="preserve"> </w:t>
      </w:r>
      <w:r>
        <w:t>to</w:t>
      </w:r>
      <w:r w:rsidR="00750888">
        <w:t xml:space="preserve"> </w:t>
      </w:r>
      <w:r>
        <w:t>both</w:t>
      </w:r>
      <w:r w:rsidR="00750888">
        <w:t xml:space="preserve"> </w:t>
      </w:r>
      <w:r>
        <w:t>the Naimark</w:t>
      </w:r>
      <w:r w:rsidR="00750888">
        <w:t xml:space="preserve"> </w:t>
      </w:r>
      <w:r>
        <w:t>report and the report</w:t>
      </w:r>
      <w:r w:rsidR="00750888">
        <w:t xml:space="preserve"> com</w:t>
      </w:r>
      <w:r>
        <w:t>pleted</w:t>
      </w:r>
      <w:r w:rsidR="00750888">
        <w:t xml:space="preserve"> </w:t>
      </w:r>
      <w:r>
        <w:t>by the</w:t>
      </w:r>
      <w:r w:rsidR="00750888">
        <w:t xml:space="preserve"> </w:t>
      </w:r>
      <w:r>
        <w:t>Canadian</w:t>
      </w:r>
      <w:r w:rsidR="00750888">
        <w:t xml:space="preserve"> Association of University Teachers; the latter being a review that I believe to provide a public report of </w:t>
      </w:r>
      <w:r w:rsidR="0048098E">
        <w:t xml:space="preserve">integrity. In numerous cases I was not quoted despite my willingness to be so; a point of concern and disappointment to me. </w:t>
      </w:r>
    </w:p>
    <w:p w14:paraId="3AB2C458" w14:textId="77777777" w:rsidR="00905082" w:rsidRDefault="0048098E" w:rsidP="002B5C9F">
      <w:pPr>
        <w:ind w:left="720"/>
      </w:pPr>
      <w:r>
        <w:t xml:space="preserve">In addition to the wider public support offered I spoke for Olivieri, and in a manner critical of </w:t>
      </w:r>
      <w:r w:rsidR="00E96E9D">
        <w:t>the handling</w:t>
      </w:r>
      <w:r>
        <w:t xml:space="preserve"> of the case by the hospital, at two meetings of the Canadian Bioethics Society, in numerous public presentations, and at hospital and university rounds and lectures. Perhaps Baylis is correct that I should have done more. What more I might have done, at that time, is unclear to me.</w:t>
      </w:r>
      <w:r w:rsidR="008C6068" w:rsidRPr="008C6068">
        <w:t xml:space="preserve"> </w:t>
      </w:r>
      <w:r w:rsidR="008C6068">
        <w:t xml:space="preserve">Importantly too, my affection and respect for the Hospital for Sick Children remains strong. </w:t>
      </w:r>
      <w:r w:rsidR="002942A0">
        <w:t>Every institution has its failings and its internal problems. My view is that in the Olivieri case and its sequelae the hospital publicly demonstrated such failings. What can be hoped for is that situations such as this teach us well how to proceed in the future</w:t>
      </w:r>
      <w:r w:rsidR="00531491">
        <w:t>.</w:t>
      </w:r>
      <w:r w:rsidR="00A40294">
        <w:rPr>
          <w:rStyle w:val="FootnoteReference"/>
        </w:rPr>
        <w:footnoteReference w:id="50"/>
      </w:r>
    </w:p>
    <w:p w14:paraId="77233317" w14:textId="77777777" w:rsidR="00531491" w:rsidRDefault="007B5730" w:rsidP="00905082">
      <w:r>
        <w:t xml:space="preserve"> </w:t>
      </w:r>
    </w:p>
    <w:p w14:paraId="1C6BF25E" w14:textId="77777777" w:rsidR="0048098E" w:rsidRDefault="009B054B" w:rsidP="00B72D0C">
      <w:pPr>
        <w:pStyle w:val="FootnoteText"/>
        <w:spacing w:line="480" w:lineRule="auto"/>
        <w:ind w:firstLine="720"/>
      </w:pPr>
      <w:r>
        <w:t>One might</w:t>
      </w:r>
      <w:r w:rsidR="00531491">
        <w:t xml:space="preserve"> conclude that Rowell was una</w:t>
      </w:r>
      <w:r w:rsidR="006F0B55">
        <w:t>ble to mount an effective defens</w:t>
      </w:r>
      <w:r w:rsidR="00531491">
        <w:t xml:space="preserve">e against the influence of this wealthy sponsor, but it is by no means obvious that </w:t>
      </w:r>
      <w:r w:rsidR="00F9429F">
        <w:t xml:space="preserve">her financial reliance on her employer rendered her </w:t>
      </w:r>
      <w:r w:rsidR="00531491">
        <w:t>unwilling</w:t>
      </w:r>
      <w:r w:rsidR="00F9429F">
        <w:t>,</w:t>
      </w:r>
      <w:r w:rsidR="00531491">
        <w:t xml:space="preserve"> or too </w:t>
      </w:r>
      <w:r w:rsidR="005573DA">
        <w:t>conflicted</w:t>
      </w:r>
      <w:r w:rsidR="008C58CD">
        <w:t>,</w:t>
      </w:r>
      <w:r w:rsidR="005573DA">
        <w:t xml:space="preserve"> or</w:t>
      </w:r>
      <w:r w:rsidR="008C58CD">
        <w:t xml:space="preserve"> too </w:t>
      </w:r>
      <w:r w:rsidR="00B56FBE">
        <w:t xml:space="preserve">ethically </w:t>
      </w:r>
      <w:r w:rsidR="00531491">
        <w:t>compromised</w:t>
      </w:r>
      <w:r w:rsidR="007136C0">
        <w:t>,</w:t>
      </w:r>
      <w:r w:rsidR="00531491">
        <w:t xml:space="preserve"> to do so. Her letter </w:t>
      </w:r>
      <w:r w:rsidR="00F9429F">
        <w:t xml:space="preserve">catalogues </w:t>
      </w:r>
      <w:r w:rsidR="00531491">
        <w:t xml:space="preserve">the </w:t>
      </w:r>
      <w:r w:rsidR="00332734">
        <w:t xml:space="preserve">internal efforts and </w:t>
      </w:r>
      <w:r w:rsidR="00531491">
        <w:t xml:space="preserve">public declarations that she made in support of </w:t>
      </w:r>
      <w:r w:rsidR="00301EF2">
        <w:t>Olivieri and her</w:t>
      </w:r>
      <w:r w:rsidR="00531491">
        <w:t xml:space="preserve"> research team, </w:t>
      </w:r>
      <w:r w:rsidR="00531491">
        <w:lastRenderedPageBreak/>
        <w:t xml:space="preserve">even in the face of some compelling reasons to remain more </w:t>
      </w:r>
      <w:r w:rsidR="003F36C4">
        <w:t>circumspect</w:t>
      </w:r>
      <w:r w:rsidR="00531491">
        <w:t>. As a</w:t>
      </w:r>
      <w:r w:rsidR="002B5C9F">
        <w:t xml:space="preserve"> hospital employee</w:t>
      </w:r>
      <w:r w:rsidR="00531491">
        <w:t xml:space="preserve"> </w:t>
      </w:r>
      <w:r w:rsidR="002B5C9F">
        <w:t>and REB member,</w:t>
      </w:r>
      <w:r w:rsidR="002B5C9F" w:rsidRPr="002B5C9F">
        <w:t xml:space="preserve"> </w:t>
      </w:r>
      <w:r w:rsidR="00531491">
        <w:t xml:space="preserve">she might plausibly have sought refuge in an obligation to keep the deliberations of the Board, and any advice </w:t>
      </w:r>
      <w:r w:rsidR="007136C0">
        <w:t xml:space="preserve">that </w:t>
      </w:r>
      <w:r w:rsidR="00F9429F">
        <w:t xml:space="preserve">she may have offered </w:t>
      </w:r>
      <w:r w:rsidR="00531491">
        <w:t xml:space="preserve">to her </w:t>
      </w:r>
      <w:r w:rsidR="00F9429F">
        <w:t xml:space="preserve">leadership </w:t>
      </w:r>
      <w:r w:rsidR="00531491">
        <w:t xml:space="preserve">team, confidential. There may be no uncontroversial way to describe what a particular ethics consultant’s </w:t>
      </w:r>
      <w:r w:rsidR="00905082">
        <w:t>accountabilit</w:t>
      </w:r>
      <w:r w:rsidR="009F26E9">
        <w:t>ies</w:t>
      </w:r>
      <w:r w:rsidR="00905082">
        <w:t xml:space="preserve"> might have entailed</w:t>
      </w:r>
      <w:r w:rsidR="00B761E5">
        <w:t xml:space="preserve"> in such a</w:t>
      </w:r>
      <w:r w:rsidR="00561F83">
        <w:t xml:space="preserve"> case</w:t>
      </w:r>
      <w:r w:rsidR="00905082">
        <w:t>, especially when the public record permits only partial insights into the opportunities that her role might have afforded, but advi</w:t>
      </w:r>
      <w:r w:rsidR="002D143B">
        <w:t>sing</w:t>
      </w:r>
      <w:r w:rsidR="00905082">
        <w:t xml:space="preserve"> those who were responsible for decision-making, and taking steps to educate the institution and, ult</w:t>
      </w:r>
      <w:r w:rsidR="00B56FBE">
        <w:t>imately</w:t>
      </w:r>
      <w:r w:rsidR="00905082">
        <w:t xml:space="preserve"> the external community</w:t>
      </w:r>
      <w:r w:rsidR="00B56FBE">
        <w:t>,</w:t>
      </w:r>
      <w:r w:rsidR="00905082">
        <w:t xml:space="preserve"> on the ethical dimensions of the case, are certainly actions that are consistent with the core responsibilities articulated in the American Society of Bioethics and Humanities’ </w:t>
      </w:r>
      <w:r w:rsidR="00905082" w:rsidRPr="00927661">
        <w:rPr>
          <w:i/>
        </w:rPr>
        <w:t>Code of Ethics and Professional Responsibilities</w:t>
      </w:r>
      <w:r w:rsidR="00905082">
        <w:t>.</w:t>
      </w:r>
      <w:r w:rsidR="00927661">
        <w:rPr>
          <w:rStyle w:val="FootnoteReference"/>
        </w:rPr>
        <w:footnoteReference w:id="51"/>
      </w:r>
      <w:r w:rsidR="00F9429F">
        <w:t xml:space="preserve"> </w:t>
      </w:r>
      <w:r w:rsidR="00561F83">
        <w:t xml:space="preserve">The seven code </w:t>
      </w:r>
      <w:r w:rsidR="00091715">
        <w:t>elements which, at least in that</w:t>
      </w:r>
      <w:r w:rsidR="00561F83">
        <w:t xml:space="preserve"> document, enumerate the practicing ethicist’s responsibilities are: Be competent; Preserve </w:t>
      </w:r>
      <w:r w:rsidR="005F5D03">
        <w:t>i</w:t>
      </w:r>
      <w:r w:rsidR="00561F83">
        <w:t>ntegrity; Manage conflicts of interest and obligation; Respect privacy and maintain confidentiality; Contribute to the F</w:t>
      </w:r>
      <w:r w:rsidR="005573DA">
        <w:t>i</w:t>
      </w:r>
      <w:r w:rsidR="00561F83">
        <w:t>eld; Communicate responsibly; and Promote just healthcare wi</w:t>
      </w:r>
      <w:r w:rsidR="003F36C4">
        <w:t>thin HCEC. The</w:t>
      </w:r>
      <w:r w:rsidR="00561F83">
        <w:t xml:space="preserve"> authors of the code </w:t>
      </w:r>
      <w:r w:rsidR="001B6EC2">
        <w:t xml:space="preserve">have </w:t>
      </w:r>
      <w:r w:rsidR="00561F83">
        <w:t>acknowledge</w:t>
      </w:r>
      <w:r w:rsidR="001B6EC2">
        <w:t>d</w:t>
      </w:r>
      <w:r w:rsidR="00561F83">
        <w:t xml:space="preserve"> that these duties are expressed in a manner that is particularly relevant for clinical ethics consultants but they also maintain that clinical consultation is not their exclusive domain. I endorse this view, and would further assert that hybrid cases (of the sort mentioned earlier in </w:t>
      </w:r>
      <w:r w:rsidR="00561F83">
        <w:lastRenderedPageBreak/>
        <w:t xml:space="preserve">the context of Bean’s taxonomy) are </w:t>
      </w:r>
      <w:r w:rsidR="0069763F">
        <w:t xml:space="preserve">far </w:t>
      </w:r>
      <w:r w:rsidR="00561F83">
        <w:t xml:space="preserve">more prevalent than one might recognize based on common case descriptions. </w:t>
      </w:r>
      <w:r w:rsidR="00735603">
        <w:t>Furthermore, i</w:t>
      </w:r>
      <w:r w:rsidR="00561F83">
        <w:t xml:space="preserve">t is </w:t>
      </w:r>
      <w:r w:rsidR="00735603">
        <w:t>almost certain</w:t>
      </w:r>
      <w:r w:rsidR="00561F83">
        <w:t xml:space="preserve"> that Rowell considered clinical and organizational issues as she navigated the </w:t>
      </w:r>
      <w:r w:rsidR="00735603">
        <w:t>ethically t</w:t>
      </w:r>
      <w:r w:rsidR="00E05569">
        <w:t>urbulent</w:t>
      </w:r>
      <w:r w:rsidR="005573DA">
        <w:t xml:space="preserve"> </w:t>
      </w:r>
      <w:r w:rsidR="00735603">
        <w:t xml:space="preserve">waters of the </w:t>
      </w:r>
      <w:r w:rsidR="00561F83">
        <w:t>Oliv</w:t>
      </w:r>
      <w:r w:rsidR="00103BB4">
        <w:t>i</w:t>
      </w:r>
      <w:r w:rsidR="00561F83">
        <w:t xml:space="preserve">eri affair. </w:t>
      </w:r>
    </w:p>
    <w:p w14:paraId="743DC11C" w14:textId="77777777" w:rsidR="00EF407E" w:rsidRDefault="000F52FA" w:rsidP="00B72D0C">
      <w:pPr>
        <w:spacing w:line="480" w:lineRule="auto"/>
        <w:ind w:firstLine="720"/>
      </w:pPr>
      <w:r>
        <w:t>Not all Code elements were directly applicable to this case (such as those that encourage making original contributions to scholarship or providing</w:t>
      </w:r>
      <w:r w:rsidR="00EF6740">
        <w:t xml:space="preserve"> </w:t>
      </w:r>
      <w:r>
        <w:t>mentorship to junior colleagues) and it may reasonably argued that invoking it is anachronistic, as the</w:t>
      </w:r>
      <w:r w:rsidR="00332734">
        <w:t xml:space="preserve"> </w:t>
      </w:r>
      <w:r>
        <w:t xml:space="preserve">document was not </w:t>
      </w:r>
      <w:r w:rsidR="00AF1DE4">
        <w:t xml:space="preserve">yet </w:t>
      </w:r>
      <w:r>
        <w:t xml:space="preserve">written in 1998, but the Code </w:t>
      </w:r>
      <w:r w:rsidR="00F208D5">
        <w:t xml:space="preserve">(like most professional codes of ethics) </w:t>
      </w:r>
      <w:r>
        <w:t>was n</w:t>
      </w:r>
      <w:r w:rsidR="002D143B">
        <w:t>ever</w:t>
      </w:r>
      <w:r>
        <w:t xml:space="preserve"> meant to introduce new duties to the field. Instead, it was written to clearly articulate, and to pu</w:t>
      </w:r>
      <w:r w:rsidR="00124F43">
        <w:t>blically affirm, the dutie</w:t>
      </w:r>
      <w:r w:rsidR="003A2015">
        <w:t xml:space="preserve">s that </w:t>
      </w:r>
      <w:r>
        <w:t>most practi</w:t>
      </w:r>
      <w:r w:rsidR="003A2015">
        <w:t>cing North American ethicists ha</w:t>
      </w:r>
      <w:r>
        <w:t xml:space="preserve">ve long believed they already </w:t>
      </w:r>
      <w:r w:rsidR="00124F43">
        <w:t>possess</w:t>
      </w:r>
      <w:r>
        <w:t xml:space="preserve">. </w:t>
      </w:r>
      <w:r w:rsidR="00AF1DE4">
        <w:t>It should be noted</w:t>
      </w:r>
      <w:r w:rsidR="00202B5D">
        <w:t>, furthermore</w:t>
      </w:r>
      <w:r w:rsidR="005573DA">
        <w:t>,</w:t>
      </w:r>
      <w:r w:rsidR="00AF1DE4">
        <w:t xml:space="preserve"> that </w:t>
      </w:r>
      <w:r w:rsidR="00561F83">
        <w:t xml:space="preserve">Rowell’s efforts to influence her institution’s decision-makers </w:t>
      </w:r>
      <w:r w:rsidR="00B9457C">
        <w:t xml:space="preserve">went </w:t>
      </w:r>
      <w:r w:rsidR="00DE6A77">
        <w:t xml:space="preserve">well </w:t>
      </w:r>
      <w:r w:rsidR="00B9457C">
        <w:t>beyond the ordinary activities of a research ethics board member</w:t>
      </w:r>
      <w:r w:rsidR="006877C5">
        <w:t xml:space="preserve"> (</w:t>
      </w:r>
      <w:r w:rsidR="00DE6A77">
        <w:t xml:space="preserve">even one designated as the member knowledgeable in ethics). She didn’t </w:t>
      </w:r>
      <w:r w:rsidR="0009203E">
        <w:t>merely</w:t>
      </w:r>
      <w:r w:rsidR="00163C75">
        <w:t xml:space="preserve"> </w:t>
      </w:r>
      <w:r w:rsidR="00735603">
        <w:t xml:space="preserve">assess the ethical merits of a freestanding research protocol, </w:t>
      </w:r>
      <w:r w:rsidR="00DE6A77">
        <w:t>participate in deliberations within the confi</w:t>
      </w:r>
      <w:r w:rsidR="00AB2852">
        <w:t>nes of a REB meeting, or limit</w:t>
      </w:r>
      <w:r w:rsidR="00DE6A77">
        <w:t xml:space="preserve"> her dissent </w:t>
      </w:r>
      <w:r w:rsidR="00AB2852">
        <w:t xml:space="preserve">to </w:t>
      </w:r>
      <w:r w:rsidR="00DE6A77">
        <w:t xml:space="preserve">a vote to revoke </w:t>
      </w:r>
      <w:r w:rsidR="00E16CF4">
        <w:t xml:space="preserve">an </w:t>
      </w:r>
      <w:r w:rsidR="00DE6A77">
        <w:t xml:space="preserve">on-going </w:t>
      </w:r>
      <w:r w:rsidR="000A66BB">
        <w:t xml:space="preserve">trial’s </w:t>
      </w:r>
      <w:r w:rsidR="00DE6A77">
        <w:t>approv</w:t>
      </w:r>
      <w:r w:rsidR="00163C75">
        <w:t>al. It appears that h</w:t>
      </w:r>
      <w:r w:rsidR="00DE6A77">
        <w:t xml:space="preserve">er </w:t>
      </w:r>
      <w:r w:rsidR="00163C75">
        <w:t xml:space="preserve">efforts to persuade her </w:t>
      </w:r>
      <w:r w:rsidR="00163C75" w:rsidRPr="00DE1E6E">
        <w:t>employer</w:t>
      </w:r>
      <w:r w:rsidR="00163C75">
        <w:t xml:space="preserve">, and </w:t>
      </w:r>
      <w:r w:rsidR="001B6EC2">
        <w:t xml:space="preserve">to alert the </w:t>
      </w:r>
      <w:r w:rsidR="00163C75">
        <w:t>wider community</w:t>
      </w:r>
      <w:r w:rsidR="00735603">
        <w:t>,</w:t>
      </w:r>
      <w:r w:rsidR="00163C75">
        <w:t xml:space="preserve"> were persistent and </w:t>
      </w:r>
      <w:r w:rsidR="00AB2852">
        <w:t>waged on multiple</w:t>
      </w:r>
      <w:r w:rsidR="00163C75">
        <w:t xml:space="preserve"> fronts. Because</w:t>
      </w:r>
      <w:r w:rsidR="00DE1E6E">
        <w:t xml:space="preserve"> a practicing healthcare </w:t>
      </w:r>
      <w:r w:rsidR="00163C75">
        <w:t xml:space="preserve">ethicist has </w:t>
      </w:r>
      <w:r w:rsidR="00E50886">
        <w:t>legal as well as</w:t>
      </w:r>
      <w:r w:rsidR="00163C75">
        <w:t xml:space="preserve"> ethical obligation</w:t>
      </w:r>
      <w:r w:rsidR="00E50886">
        <w:t>s</w:t>
      </w:r>
      <w:r w:rsidR="00163C75">
        <w:t xml:space="preserve"> </w:t>
      </w:r>
      <w:r w:rsidR="00E50886">
        <w:t xml:space="preserve">to keep confidential </w:t>
      </w:r>
      <w:r w:rsidR="00163C75">
        <w:t xml:space="preserve">much of the information to which she is privy, it may be inferred that Rowell believed that she had </w:t>
      </w:r>
      <w:r w:rsidR="005573DA">
        <w:t>to balance tho</w:t>
      </w:r>
      <w:r w:rsidR="005E73A6">
        <w:t xml:space="preserve">se </w:t>
      </w:r>
      <w:r w:rsidR="00735603">
        <w:t xml:space="preserve">obligations </w:t>
      </w:r>
      <w:r w:rsidR="005E73A6">
        <w:t xml:space="preserve">against </w:t>
      </w:r>
      <w:r w:rsidR="00163C75">
        <w:t xml:space="preserve">other more compelling duties </w:t>
      </w:r>
      <w:r w:rsidR="005E73A6">
        <w:t xml:space="preserve">that she had </w:t>
      </w:r>
      <w:r w:rsidR="00163C75">
        <w:lastRenderedPageBreak/>
        <w:t xml:space="preserve">to </w:t>
      </w:r>
      <w:r w:rsidR="000A66BB">
        <w:t xml:space="preserve">fulfil. In her efforts to </w:t>
      </w:r>
      <w:r w:rsidR="00163C75">
        <w:t>protect the welfare</w:t>
      </w:r>
      <w:r w:rsidR="000C1057">
        <w:t xml:space="preserve"> of study participants</w:t>
      </w:r>
      <w:r w:rsidR="005E73A6">
        <w:t>,</w:t>
      </w:r>
      <w:r w:rsidR="000C1057">
        <w:t xml:space="preserve"> and the reputation</w:t>
      </w:r>
      <w:r w:rsidR="00163C75">
        <w:t xml:space="preserve"> of the </w:t>
      </w:r>
      <w:r w:rsidR="000C1057">
        <w:t>principal</w:t>
      </w:r>
      <w:r w:rsidR="000A66BB">
        <w:t xml:space="preserve"> </w:t>
      </w:r>
      <w:r w:rsidR="00163C75">
        <w:t>investigator</w:t>
      </w:r>
      <w:r w:rsidR="000A66BB">
        <w:t>, Rowell appears to have resolved any conflict</w:t>
      </w:r>
      <w:r w:rsidR="00AF1DE4">
        <w:t>s</w:t>
      </w:r>
      <w:r w:rsidR="000A66BB">
        <w:t xml:space="preserve"> of interest</w:t>
      </w:r>
      <w:r w:rsidR="00D55927">
        <w:t>,</w:t>
      </w:r>
      <w:r w:rsidR="000A66BB">
        <w:t xml:space="preserve"> or </w:t>
      </w:r>
      <w:r w:rsidR="000C1057">
        <w:t>conflict</w:t>
      </w:r>
      <w:r w:rsidR="00AF1DE4">
        <w:t>s</w:t>
      </w:r>
      <w:r w:rsidR="000C1057">
        <w:t xml:space="preserve"> </w:t>
      </w:r>
      <w:r w:rsidR="00AF1DE4">
        <w:t>of obligation</w:t>
      </w:r>
      <w:r w:rsidR="00D55927">
        <w:t xml:space="preserve"> (for the moment I will set aside the question of which descriptor is more apt), </w:t>
      </w:r>
      <w:r w:rsidR="000C1057">
        <w:t>in a manner that</w:t>
      </w:r>
      <w:r w:rsidR="000A66BB">
        <w:t xml:space="preserve"> </w:t>
      </w:r>
      <w:r w:rsidR="00F208D5">
        <w:t>gave priority</w:t>
      </w:r>
      <w:r w:rsidR="001B6EC2">
        <w:t xml:space="preserve"> </w:t>
      </w:r>
      <w:r w:rsidR="005573DA">
        <w:t xml:space="preserve">to </w:t>
      </w:r>
      <w:r w:rsidR="001B6EC2">
        <w:t>the safet</w:t>
      </w:r>
      <w:r w:rsidR="0009203E">
        <w:t xml:space="preserve">y and informational needs of </w:t>
      </w:r>
      <w:r w:rsidR="001B6EC2">
        <w:t>participants</w:t>
      </w:r>
      <w:r w:rsidR="00001E9C">
        <w:t>. I</w:t>
      </w:r>
      <w:r w:rsidR="00AF1DE4">
        <w:t>n doing so</w:t>
      </w:r>
      <w:r w:rsidR="00001E9C">
        <w:t>, and</w:t>
      </w:r>
      <w:r w:rsidR="00AF1DE4">
        <w:t xml:space="preserve"> </w:t>
      </w:r>
      <w:r w:rsidR="00001E9C">
        <w:t xml:space="preserve">by speaking publically and responsibly, </w:t>
      </w:r>
      <w:r w:rsidR="00AF1DE4">
        <w:t>she</w:t>
      </w:r>
      <w:r w:rsidR="001B6EC2">
        <w:t xml:space="preserve"> made a clear effort to preserve her personal and</w:t>
      </w:r>
      <w:r w:rsidR="000C1057">
        <w:t xml:space="preserve"> professional integrity</w:t>
      </w:r>
      <w:r w:rsidR="00301EF2">
        <w:t>.</w:t>
      </w:r>
      <w:r w:rsidR="00202B5D">
        <w:t xml:space="preserve"> </w:t>
      </w:r>
      <w:r w:rsidR="000C1057">
        <w:t xml:space="preserve">Whether her actions </w:t>
      </w:r>
      <w:r w:rsidR="00CA5F5B">
        <w:t xml:space="preserve">are better </w:t>
      </w:r>
      <w:r w:rsidR="000C1057">
        <w:t>descr</w:t>
      </w:r>
      <w:r w:rsidR="0009203E">
        <w:t>ibed as heroic</w:t>
      </w:r>
      <w:r w:rsidR="00CF02E3">
        <w:t>,</w:t>
      </w:r>
      <w:r w:rsidR="000C1057">
        <w:t xml:space="preserve"> or</w:t>
      </w:r>
      <w:r w:rsidR="0009203E">
        <w:t xml:space="preserve"> simply</w:t>
      </w:r>
      <w:r w:rsidR="000C1057">
        <w:t xml:space="preserve"> </w:t>
      </w:r>
      <w:r w:rsidR="001B6EC2">
        <w:t xml:space="preserve">as </w:t>
      </w:r>
      <w:r w:rsidR="000C1057">
        <w:t>competent</w:t>
      </w:r>
      <w:r w:rsidR="00301EF2">
        <w:t>,</w:t>
      </w:r>
      <w:r w:rsidR="000C1057">
        <w:t xml:space="preserve"> in light of her professional role</w:t>
      </w:r>
      <w:r w:rsidR="00EF407E">
        <w:t xml:space="preserve"> </w:t>
      </w:r>
      <w:r w:rsidR="00AF1DE4">
        <w:t>as a hospital ethicist</w:t>
      </w:r>
      <w:r w:rsidR="00CF02E3">
        <w:t>,</w:t>
      </w:r>
      <w:r w:rsidR="00AF1DE4">
        <w:t xml:space="preserve"> </w:t>
      </w:r>
      <w:r w:rsidR="00EF407E">
        <w:t>is</w:t>
      </w:r>
      <w:r w:rsidR="000C1057">
        <w:t xml:space="preserve"> an interesting question, but </w:t>
      </w:r>
      <w:r w:rsidR="001B6EC2">
        <w:t xml:space="preserve">it </w:t>
      </w:r>
      <w:r w:rsidR="004F0BB7">
        <w:t xml:space="preserve">is </w:t>
      </w:r>
      <w:r w:rsidR="000C1057">
        <w:t xml:space="preserve">one whose answer may not </w:t>
      </w:r>
      <w:r w:rsidR="00EF407E">
        <w:t xml:space="preserve">settle the concern that motivated this digression into the Olivieri affair in the first place. The case </w:t>
      </w:r>
      <w:r w:rsidR="00CF02E3">
        <w:t>ought to attract our attention</w:t>
      </w:r>
      <w:r w:rsidR="005E73A6">
        <w:t xml:space="preserve"> </w:t>
      </w:r>
      <w:r w:rsidR="00EF407E">
        <w:t xml:space="preserve">because it illustrates the pressures that </w:t>
      </w:r>
      <w:r w:rsidR="005E73A6">
        <w:t xml:space="preserve">large </w:t>
      </w:r>
      <w:r w:rsidR="008E3897">
        <w:t xml:space="preserve">material interests </w:t>
      </w:r>
      <w:r w:rsidR="00EF407E">
        <w:t xml:space="preserve">can exert even in a publically funded healthcare system, </w:t>
      </w:r>
      <w:r w:rsidR="001B6EC2">
        <w:t xml:space="preserve">and </w:t>
      </w:r>
      <w:r w:rsidR="00003B56">
        <w:t>because it exposes</w:t>
      </w:r>
      <w:r w:rsidR="005E73A6">
        <w:t xml:space="preserve"> some</w:t>
      </w:r>
      <w:r w:rsidR="00EF407E">
        <w:t>thing significant about the ambivalence</w:t>
      </w:r>
      <w:r w:rsidR="00CD3B6C">
        <w:t>,</w:t>
      </w:r>
      <w:r w:rsidR="00EF407E">
        <w:t xml:space="preserve"> or </w:t>
      </w:r>
      <w:r w:rsidR="005F5D03">
        <w:t>lack of clarity</w:t>
      </w:r>
      <w:r w:rsidR="00CD3B6C">
        <w:t xml:space="preserve">, that continues to </w:t>
      </w:r>
      <w:r w:rsidR="008E3897">
        <w:t>plague</w:t>
      </w:r>
      <w:r w:rsidR="00CD3B6C">
        <w:t xml:space="preserve"> </w:t>
      </w:r>
      <w:r w:rsidR="00EF407E">
        <w:t xml:space="preserve">our </w:t>
      </w:r>
      <w:r w:rsidR="005E73A6">
        <w:t xml:space="preserve">community’s </w:t>
      </w:r>
      <w:r w:rsidR="001B6EC2">
        <w:t>conceptions</w:t>
      </w:r>
      <w:r w:rsidR="00EF407E">
        <w:t xml:space="preserve"> </w:t>
      </w:r>
      <w:r w:rsidR="001B6EC2">
        <w:t xml:space="preserve">of </w:t>
      </w:r>
      <w:r w:rsidR="0009203E">
        <w:t xml:space="preserve">the </w:t>
      </w:r>
      <w:r w:rsidR="00202B5D">
        <w:t xml:space="preserve">practicing healthcare </w:t>
      </w:r>
      <w:r w:rsidR="0009203E">
        <w:t>ethic</w:t>
      </w:r>
      <w:r w:rsidR="00202B5D">
        <w:t>i</w:t>
      </w:r>
      <w:r w:rsidR="0009203E">
        <w:t>s</w:t>
      </w:r>
      <w:r w:rsidR="00202B5D">
        <w:t>t’s</w:t>
      </w:r>
      <w:r w:rsidR="0009203E">
        <w:t xml:space="preserve"> </w:t>
      </w:r>
      <w:r w:rsidR="00EF407E">
        <w:t>role.</w:t>
      </w:r>
    </w:p>
    <w:p w14:paraId="00263B86" w14:textId="77777777" w:rsidR="0096138F" w:rsidRDefault="0096138F" w:rsidP="00B72D0C">
      <w:pPr>
        <w:spacing w:line="480" w:lineRule="auto"/>
        <w:ind w:firstLine="720"/>
      </w:pPr>
    </w:p>
    <w:p w14:paraId="55C629F8" w14:textId="77777777" w:rsidR="00CF02E3" w:rsidRPr="00003B56" w:rsidRDefault="00CF02E3" w:rsidP="00265432">
      <w:pPr>
        <w:spacing w:line="480" w:lineRule="auto"/>
        <w:rPr>
          <w:i/>
        </w:rPr>
      </w:pPr>
      <w:r w:rsidRPr="00003B56">
        <w:rPr>
          <w:i/>
        </w:rPr>
        <w:t>C</w:t>
      </w:r>
      <w:r w:rsidR="00CF4CEE">
        <w:rPr>
          <w:i/>
        </w:rPr>
        <w:t xml:space="preserve">onflict of </w:t>
      </w:r>
      <w:r w:rsidRPr="00003B56">
        <w:rPr>
          <w:i/>
        </w:rPr>
        <w:t>I</w:t>
      </w:r>
      <w:r w:rsidR="00CF4CEE">
        <w:rPr>
          <w:i/>
        </w:rPr>
        <w:t>nterest</w:t>
      </w:r>
      <w:r w:rsidRPr="00003B56">
        <w:rPr>
          <w:i/>
        </w:rPr>
        <w:t xml:space="preserve"> </w:t>
      </w:r>
      <w:r w:rsidR="00CF4CEE">
        <w:rPr>
          <w:i/>
        </w:rPr>
        <w:t xml:space="preserve">(COI) </w:t>
      </w:r>
      <w:r w:rsidRPr="00003B56">
        <w:rPr>
          <w:i/>
        </w:rPr>
        <w:t xml:space="preserve">for </w:t>
      </w:r>
      <w:r w:rsidR="00DF3959">
        <w:rPr>
          <w:i/>
        </w:rPr>
        <w:t xml:space="preserve">ethics </w:t>
      </w:r>
      <w:r w:rsidRPr="00003B56">
        <w:rPr>
          <w:i/>
        </w:rPr>
        <w:t>consultants: a primer</w:t>
      </w:r>
    </w:p>
    <w:p w14:paraId="2E44E1F8" w14:textId="77777777" w:rsidR="00AF6A54" w:rsidRDefault="00CD3B6C" w:rsidP="00B72D0C">
      <w:pPr>
        <w:spacing w:line="480" w:lineRule="auto"/>
        <w:ind w:firstLine="720"/>
      </w:pPr>
      <w:r>
        <w:t xml:space="preserve">Greater </w:t>
      </w:r>
      <w:r w:rsidR="006D2259">
        <w:t>insight</w:t>
      </w:r>
      <w:r w:rsidR="00D5346A">
        <w:t>s</w:t>
      </w:r>
      <w:r w:rsidR="006D2259">
        <w:t xml:space="preserve"> </w:t>
      </w:r>
      <w:r w:rsidR="00D5346A">
        <w:t>might be glean</w:t>
      </w:r>
      <w:r w:rsidR="006D2259">
        <w:t>ed</w:t>
      </w:r>
      <w:r>
        <w:t xml:space="preserve"> if </w:t>
      </w:r>
      <w:r w:rsidR="005E73A6">
        <w:t xml:space="preserve">we </w:t>
      </w:r>
      <w:r w:rsidR="00103BB4">
        <w:t xml:space="preserve">retrace our steps </w:t>
      </w:r>
      <w:r w:rsidR="008E3897">
        <w:t xml:space="preserve">just a little and </w:t>
      </w:r>
      <w:r w:rsidR="00CF02E3">
        <w:t xml:space="preserve">make a more systematic effort </w:t>
      </w:r>
      <w:r w:rsidR="008E3897">
        <w:t>unpack</w:t>
      </w:r>
      <w:r w:rsidR="005E73A6">
        <w:t xml:space="preserve"> the </w:t>
      </w:r>
      <w:r w:rsidR="00CA1BD3">
        <w:t>concept</w:t>
      </w:r>
      <w:r w:rsidR="005E73A6">
        <w:t xml:space="preserve"> of conflict of interest. The definition used by Columbia University </w:t>
      </w:r>
      <w:r w:rsidR="0069763F">
        <w:t xml:space="preserve">to educate its researchers </w:t>
      </w:r>
      <w:r w:rsidR="005E73A6">
        <w:t xml:space="preserve">contains elements </w:t>
      </w:r>
      <w:r w:rsidR="002B4489">
        <w:t xml:space="preserve">that will be </w:t>
      </w:r>
      <w:r w:rsidR="005E73A6">
        <w:t xml:space="preserve">familiar to </w:t>
      </w:r>
      <w:r w:rsidR="00003B56">
        <w:t>any</w:t>
      </w:r>
      <w:r w:rsidR="002B4489">
        <w:t xml:space="preserve"> who have</w:t>
      </w:r>
      <w:r w:rsidR="005E73A6">
        <w:t xml:space="preserve"> surveyed the </w:t>
      </w:r>
      <w:r w:rsidR="002B4489">
        <w:t xml:space="preserve">considerable </w:t>
      </w:r>
      <w:r w:rsidR="005E73A6">
        <w:t>l</w:t>
      </w:r>
      <w:r w:rsidR="002B4489">
        <w:t>iterature</w:t>
      </w:r>
      <w:r w:rsidR="005E73A6">
        <w:t xml:space="preserve"> on the ethics of the professions</w:t>
      </w:r>
      <w:r w:rsidR="00CF02E3">
        <w:t>,</w:t>
      </w:r>
      <w:r w:rsidR="00CF41AD">
        <w:t xml:space="preserve"> but its effort to encompass latent, </w:t>
      </w:r>
      <w:r w:rsidR="00CF41AD">
        <w:lastRenderedPageBreak/>
        <w:t>potential, actual</w:t>
      </w:r>
      <w:r w:rsidR="002B37F7">
        <w:t>,</w:t>
      </w:r>
      <w:r w:rsidR="00CF41AD">
        <w:t xml:space="preserve"> and apparent COI may be </w:t>
      </w:r>
      <w:r w:rsidR="0069763F">
        <w:t xml:space="preserve">too broad </w:t>
      </w:r>
      <w:r w:rsidR="00CF41AD">
        <w:t xml:space="preserve">and distracting </w:t>
      </w:r>
      <w:r w:rsidR="0069763F">
        <w:t>for pres</w:t>
      </w:r>
      <w:r w:rsidR="00CF41AD">
        <w:t>ent purposes</w:t>
      </w:r>
      <w:r w:rsidR="005E73A6">
        <w:t>.</w:t>
      </w:r>
      <w:r w:rsidR="00CF41AD">
        <w:t xml:space="preserve"> Instead it may be more </w:t>
      </w:r>
      <w:r w:rsidR="00E0500F">
        <w:t>illuminating to look to</w:t>
      </w:r>
      <w:r w:rsidR="00377D26">
        <w:t xml:space="preserve"> the</w:t>
      </w:r>
      <w:r w:rsidR="00003B56">
        <w:t xml:space="preserve"> </w:t>
      </w:r>
      <w:r w:rsidR="00DA19F7">
        <w:t>literature</w:t>
      </w:r>
      <w:r w:rsidR="006D2259">
        <w:t xml:space="preserve"> </w:t>
      </w:r>
      <w:r w:rsidR="005F5D03">
        <w:t xml:space="preserve">on the ethics of the professions that is </w:t>
      </w:r>
      <w:r w:rsidR="00377D26">
        <w:t>associated with</w:t>
      </w:r>
      <w:r w:rsidR="00E0500F">
        <w:t xml:space="preserve"> Michael Davis and his critics. They have</w:t>
      </w:r>
      <w:r w:rsidR="006D2259">
        <w:t xml:space="preserve"> devoted great attention to efforts to define</w:t>
      </w:r>
      <w:r w:rsidR="00C63C74">
        <w:t xml:space="preserve"> </w:t>
      </w:r>
      <w:r w:rsidR="00CA5F5B">
        <w:t xml:space="preserve">COI </w:t>
      </w:r>
      <w:r w:rsidR="00C63C74">
        <w:t xml:space="preserve">with precision. </w:t>
      </w:r>
      <w:r w:rsidR="00AF6A54">
        <w:t>The concept admits of</w:t>
      </w:r>
      <w:r w:rsidR="00755CF7">
        <w:t xml:space="preserve"> a number of variation</w:t>
      </w:r>
      <w:r w:rsidR="00E63BE0">
        <w:t>s</w:t>
      </w:r>
      <w:r w:rsidR="00D55927">
        <w:t xml:space="preserve">, and </w:t>
      </w:r>
      <w:r w:rsidR="00693365">
        <w:t xml:space="preserve">debate continues to refine what </w:t>
      </w:r>
      <w:r w:rsidR="002B37F7">
        <w:t xml:space="preserve">remains </w:t>
      </w:r>
      <w:r w:rsidR="00693365">
        <w:t>a contested concept,</w:t>
      </w:r>
      <w:r w:rsidR="00E63BE0">
        <w:t xml:space="preserve"> but commentators in th</w:t>
      </w:r>
      <w:r w:rsidR="005F5D03">
        <w:t>is field</w:t>
      </w:r>
      <w:r w:rsidR="00E63BE0">
        <w:t xml:space="preserve"> </w:t>
      </w:r>
      <w:r w:rsidR="00AF6A54">
        <w:t>tend to</w:t>
      </w:r>
      <w:r w:rsidR="00693365">
        <w:t xml:space="preserve"> </w:t>
      </w:r>
      <w:r w:rsidR="00AF6A54">
        <w:t xml:space="preserve">speak of a particular type of relationship; that is, one in which one party is reliant upon </w:t>
      </w:r>
      <w:r w:rsidR="00693365">
        <w:t>an</w:t>
      </w:r>
      <w:r w:rsidR="00AF6A54">
        <w:t>other</w:t>
      </w:r>
      <w:r w:rsidR="00B140D7">
        <w:t xml:space="preserve"> </w:t>
      </w:r>
      <w:r w:rsidR="0084627E">
        <w:t xml:space="preserve">to </w:t>
      </w:r>
      <w:r w:rsidR="00003B56">
        <w:t xml:space="preserve">act or to </w:t>
      </w:r>
      <w:r w:rsidR="00882293">
        <w:t xml:space="preserve">exercise </w:t>
      </w:r>
      <w:r w:rsidR="005F6818">
        <w:t>judgement on her</w:t>
      </w:r>
      <w:r w:rsidR="00E63BE0">
        <w:t xml:space="preserve"> behalf</w:t>
      </w:r>
      <w:r w:rsidR="0084627E">
        <w:t>. A conflict of interest</w:t>
      </w:r>
      <w:r w:rsidR="00377D26">
        <w:t xml:space="preserve">, according to </w:t>
      </w:r>
      <w:r w:rsidR="00C50815">
        <w:t>Davis</w:t>
      </w:r>
      <w:r w:rsidR="00BB7B51">
        <w:t xml:space="preserve">, author </w:t>
      </w:r>
      <w:r w:rsidR="008E3897">
        <w:t xml:space="preserve">of </w:t>
      </w:r>
      <w:r w:rsidR="00BB7B51">
        <w:t xml:space="preserve">the </w:t>
      </w:r>
      <w:r w:rsidR="008E3897">
        <w:t>much-cited</w:t>
      </w:r>
      <w:r w:rsidR="00BB7B51">
        <w:t xml:space="preserve"> text </w:t>
      </w:r>
      <w:r w:rsidR="00BB7B51" w:rsidRPr="00003B56">
        <w:rPr>
          <w:i/>
        </w:rPr>
        <w:t>Conflict of Interest in the Professions</w:t>
      </w:r>
      <w:r w:rsidR="00C50815">
        <w:t>, “is a situation in which some person P (whether an individual or corporate body) stands in a certain relation to one or more decisions. On the standard view,</w:t>
      </w:r>
      <w:r w:rsidR="00906D52">
        <w:t xml:space="preserve"> </w:t>
      </w:r>
      <w:r w:rsidR="00C50815">
        <w:t>P has a conflict of interest if, and only if,</w:t>
      </w:r>
      <w:r w:rsidR="00906D52">
        <w:t xml:space="preserve"> </w:t>
      </w:r>
      <w:r w:rsidR="00C50815">
        <w:t>1) P is in a relationship with another requiring P to exercise judgment in the other's behalf,</w:t>
      </w:r>
      <w:r w:rsidR="00906D52">
        <w:t xml:space="preserve"> </w:t>
      </w:r>
      <w:r w:rsidR="00C50815">
        <w:t>and</w:t>
      </w:r>
      <w:r w:rsidR="00906D52">
        <w:t xml:space="preserve"> </w:t>
      </w:r>
      <w:r w:rsidR="00C50815">
        <w:t>2) P has a (special) interest tending to interfere with the proper exercise of judgment in</w:t>
      </w:r>
      <w:r w:rsidR="00906D52">
        <w:t xml:space="preserve"> </w:t>
      </w:r>
      <w:r w:rsidR="00C50815">
        <w:t>that relationship.</w:t>
      </w:r>
      <w:r w:rsidR="00906D52">
        <w:t>” Davis further notes that “[t]</w:t>
      </w:r>
      <w:r w:rsidR="00C50815">
        <w:t>he kind of exercise of judgment required for a conflict of interest must involve P's having</w:t>
      </w:r>
      <w:r w:rsidR="00906D52">
        <w:t xml:space="preserve"> </w:t>
      </w:r>
      <w:r w:rsidR="00C50815">
        <w:t>considerable latitude and discretion in acting on behalf of the other party.</w:t>
      </w:r>
      <w:r w:rsidR="00906D52">
        <w:t>” Finally, he maintains, “[t</w:t>
      </w:r>
      <w:r w:rsidR="00265432">
        <w:t>]</w:t>
      </w:r>
      <w:r w:rsidR="00C50815">
        <w:t>he kind of "interest" that satisfies condition 2</w:t>
      </w:r>
      <w:r w:rsidR="00906D52">
        <w:t>)</w:t>
      </w:r>
      <w:r w:rsidR="00C50815">
        <w:t xml:space="preserve"> is any influence, loyalty, concern, emotion, or other</w:t>
      </w:r>
      <w:r w:rsidR="00906D52">
        <w:t xml:space="preserve"> </w:t>
      </w:r>
      <w:r w:rsidR="00C50815">
        <w:t xml:space="preserve">feature of a situation tending to make P's judgment (in that </w:t>
      </w:r>
      <w:r w:rsidR="00C50815">
        <w:lastRenderedPageBreak/>
        <w:t>situation) less reliable than it</w:t>
      </w:r>
      <w:r w:rsidR="00906D52">
        <w:t xml:space="preserve"> </w:t>
      </w:r>
      <w:r w:rsidR="00C50815">
        <w:t>would normally be, short of P becoming incompetent.</w:t>
      </w:r>
      <w:r w:rsidR="00265432">
        <w:t>”</w:t>
      </w:r>
      <w:r w:rsidR="00265432">
        <w:rPr>
          <w:rStyle w:val="FootnoteReference"/>
        </w:rPr>
        <w:footnoteReference w:id="52"/>
      </w:r>
      <w:r w:rsidR="00265432">
        <w:t xml:space="preserve"> </w:t>
      </w:r>
    </w:p>
    <w:p w14:paraId="239DA4E9" w14:textId="77777777" w:rsidR="000552FF" w:rsidRDefault="00C866DC" w:rsidP="00B72D0C">
      <w:pPr>
        <w:spacing w:line="480" w:lineRule="auto"/>
        <w:ind w:firstLine="720"/>
      </w:pPr>
      <w:r>
        <w:t>If this “standard view” of COI is applied to th</w:t>
      </w:r>
      <w:r w:rsidR="00AE5749">
        <w:t>e Olivieri affair we can see that</w:t>
      </w:r>
      <w:r>
        <w:t xml:space="preserve"> Rowell</w:t>
      </w:r>
      <w:r w:rsidR="00E379D8">
        <w:t xml:space="preserve"> might </w:t>
      </w:r>
      <w:r w:rsidR="00FE746D" w:rsidRPr="00FE746D">
        <w:t>convincingly</w:t>
      </w:r>
      <w:r w:rsidR="00A71F1D">
        <w:t xml:space="preserve"> be described as someone</w:t>
      </w:r>
      <w:r w:rsidR="00AE5749">
        <w:t xml:space="preserve"> embroiled in just that sort of situation. As the institution’s ethicist </w:t>
      </w:r>
      <w:r w:rsidR="008F7B47">
        <w:t xml:space="preserve">her duty </w:t>
      </w:r>
      <w:r w:rsidR="008C58CD">
        <w:t>was to exercise</w:t>
      </w:r>
      <w:r w:rsidR="00377D26">
        <w:t xml:space="preserve"> judg</w:t>
      </w:r>
      <w:r w:rsidR="00A33C74">
        <w:t>e</w:t>
      </w:r>
      <w:r w:rsidR="008F7B47">
        <w:t>ment with respect to</w:t>
      </w:r>
      <w:r w:rsidR="00AE5749">
        <w:t xml:space="preserve"> the responsible conduct of research</w:t>
      </w:r>
      <w:r w:rsidR="00FC3618">
        <w:t>,</w:t>
      </w:r>
      <w:r w:rsidR="008F7B47">
        <w:t xml:space="preserve"> and </w:t>
      </w:r>
      <w:r w:rsidR="00A33C74">
        <w:t xml:space="preserve">more </w:t>
      </w:r>
      <w:r w:rsidR="00FC3618">
        <w:t xml:space="preserve">specifically </w:t>
      </w:r>
      <w:r w:rsidR="00377D26">
        <w:t xml:space="preserve">to </w:t>
      </w:r>
      <w:r w:rsidR="00FC3618">
        <w:t xml:space="preserve">assess the </w:t>
      </w:r>
      <w:r w:rsidR="00377D26">
        <w:t xml:space="preserve">merits </w:t>
      </w:r>
      <w:r w:rsidR="00FC3618">
        <w:t xml:space="preserve">of disclosing the unfavourable side effects associated with the on-going use of </w:t>
      </w:r>
      <w:r w:rsidR="00377D26">
        <w:t xml:space="preserve">an </w:t>
      </w:r>
      <w:r w:rsidR="00FC3618">
        <w:t>experimental agent. There were no uncontroversial</w:t>
      </w:r>
      <w:r w:rsidR="00273358">
        <w:t xml:space="preserve"> thresholds for reporting </w:t>
      </w:r>
      <w:r w:rsidR="008E5148">
        <w:t xml:space="preserve">adverse events </w:t>
      </w:r>
      <w:r w:rsidR="00273358">
        <w:t>to which she could appeal, or pre-determined stopping rules</w:t>
      </w:r>
      <w:r w:rsidR="00377D26">
        <w:t xml:space="preserve"> that rendered discretion moot</w:t>
      </w:r>
      <w:r w:rsidR="00273358">
        <w:t xml:space="preserve">. Rowell’s responsibility was to exercise her </w:t>
      </w:r>
      <w:r w:rsidR="00377D26">
        <w:t>judg</w:t>
      </w:r>
      <w:r w:rsidR="005F6818">
        <w:t>e</w:t>
      </w:r>
      <w:r w:rsidR="00377D26">
        <w:t xml:space="preserve">ment </w:t>
      </w:r>
      <w:r w:rsidR="00273358">
        <w:t>in an unanticipated</w:t>
      </w:r>
      <w:r w:rsidR="002C073B">
        <w:t xml:space="preserve"> circumstance on behalf of those to whom she owed that duty. It seems uncontroversial to say that the parties to whom she owed that duty were the research participants</w:t>
      </w:r>
      <w:r w:rsidR="006877C5">
        <w:t xml:space="preserve"> (</w:t>
      </w:r>
      <w:r w:rsidR="004B4DDD">
        <w:t xml:space="preserve">that is, </w:t>
      </w:r>
      <w:r w:rsidR="00377D26">
        <w:t xml:space="preserve">the adolescent </w:t>
      </w:r>
      <w:r w:rsidR="005F6818">
        <w:t>thalassemia</w:t>
      </w:r>
      <w:r w:rsidR="0036647C">
        <w:t xml:space="preserve"> sufferers, who were reliant upon her and other actors in the research enterprise</w:t>
      </w:r>
      <w:r w:rsidR="004E5E88">
        <w:t>), as well as the primary investigator</w:t>
      </w:r>
      <w:r w:rsidR="006877C5">
        <w:t>,</w:t>
      </w:r>
      <w:r w:rsidR="004E5E88">
        <w:t xml:space="preserve"> institutional officials, and even future patients</w:t>
      </w:r>
      <w:r w:rsidR="008E5148">
        <w:t>. The duty itself consisted in a responsibility</w:t>
      </w:r>
      <w:r w:rsidR="0036647C">
        <w:t xml:space="preserve"> to ensure that the </w:t>
      </w:r>
      <w:r w:rsidR="00D07F4E">
        <w:t xml:space="preserve">study-related </w:t>
      </w:r>
      <w:r w:rsidR="0036647C">
        <w:t xml:space="preserve">risks to which </w:t>
      </w:r>
      <w:r w:rsidR="004E5E88">
        <w:t>participants</w:t>
      </w:r>
      <w:r w:rsidR="00641F23">
        <w:t xml:space="preserve"> </w:t>
      </w:r>
      <w:r w:rsidR="0036647C">
        <w:t>were exposed were not undue or undeclared.</w:t>
      </w:r>
      <w:r w:rsidR="00273358">
        <w:t xml:space="preserve"> </w:t>
      </w:r>
      <w:r w:rsidR="00595FCE">
        <w:t xml:space="preserve">It </w:t>
      </w:r>
      <w:r w:rsidR="00103BB4">
        <w:t xml:space="preserve">also </w:t>
      </w:r>
      <w:r w:rsidR="00595FCE">
        <w:t>should be noted that the fact that th</w:t>
      </w:r>
      <w:r w:rsidR="00641F23">
        <w:t>e responsibility was shared did</w:t>
      </w:r>
      <w:r w:rsidR="00595FCE">
        <w:t xml:space="preserve"> not dilute or diminish the ethicist’s accountabilit</w:t>
      </w:r>
      <w:r w:rsidR="00AC45AC">
        <w:t xml:space="preserve">y. </w:t>
      </w:r>
      <w:r w:rsidR="004B4DDD">
        <w:t>Responsibility understood in this sense is not the zero sum game that might be implied if one were seeking to</w:t>
      </w:r>
      <w:r w:rsidR="00103BB4">
        <w:t xml:space="preserve"> </w:t>
      </w:r>
      <w:r w:rsidR="00103BB4">
        <w:lastRenderedPageBreak/>
        <w:t xml:space="preserve">assess damages in a tortious </w:t>
      </w:r>
      <w:r w:rsidR="007E6122">
        <w:t xml:space="preserve">legal </w:t>
      </w:r>
      <w:r w:rsidR="00103BB4">
        <w:t>action</w:t>
      </w:r>
      <w:r w:rsidR="004B4DDD">
        <w:t>.</w:t>
      </w:r>
      <w:r w:rsidR="00103BB4">
        <w:t xml:space="preserve"> </w:t>
      </w:r>
      <w:r w:rsidR="00CF4CEE">
        <w:t xml:space="preserve">Of greater relevance is </w:t>
      </w:r>
      <w:r w:rsidR="00103BB4">
        <w:t>th</w:t>
      </w:r>
      <w:r w:rsidR="008A6DC1">
        <w:t>e conventional usage that</w:t>
      </w:r>
      <w:r w:rsidR="00103BB4">
        <w:t xml:space="preserve"> makes reference to the </w:t>
      </w:r>
      <w:r w:rsidR="00ED0E7E">
        <w:t xml:space="preserve">professional </w:t>
      </w:r>
      <w:r w:rsidR="00A71F1D">
        <w:t xml:space="preserve">moral </w:t>
      </w:r>
      <w:r w:rsidR="00ED0E7E">
        <w:t>duties</w:t>
      </w:r>
      <w:r w:rsidR="00103BB4">
        <w:t xml:space="preserve"> that one party has with respect to another.</w:t>
      </w:r>
      <w:r w:rsidR="004B4DDD">
        <w:t xml:space="preserve"> </w:t>
      </w:r>
      <w:r w:rsidR="00AC45AC">
        <w:t xml:space="preserve">Indeed, </w:t>
      </w:r>
      <w:r w:rsidR="008A6DC1">
        <w:t xml:space="preserve">it is worth noting that </w:t>
      </w:r>
      <w:r w:rsidR="00C569A0">
        <w:t>other parties</w:t>
      </w:r>
      <w:r w:rsidR="00AC45AC">
        <w:t xml:space="preserve"> </w:t>
      </w:r>
      <w:r w:rsidR="00DD7A63">
        <w:t xml:space="preserve">almost certainly </w:t>
      </w:r>
      <w:r w:rsidR="00C569A0">
        <w:t xml:space="preserve">had </w:t>
      </w:r>
      <w:r w:rsidR="004E5E88">
        <w:t xml:space="preserve">additional </w:t>
      </w:r>
      <w:r w:rsidR="00595FCE">
        <w:t xml:space="preserve">obligations </w:t>
      </w:r>
      <w:r w:rsidR="00ED0E7E">
        <w:t>that were in tension with the</w:t>
      </w:r>
      <w:r w:rsidR="008C58CD">
        <w:t xml:space="preserve"> </w:t>
      </w:r>
      <w:r w:rsidR="00AC45AC">
        <w:t>responsibility</w:t>
      </w:r>
      <w:r w:rsidR="00202094">
        <w:t xml:space="preserve"> to act on the participants</w:t>
      </w:r>
      <w:r w:rsidR="00ED0E7E">
        <w:t>’ behalf</w:t>
      </w:r>
      <w:r w:rsidR="00AC45AC">
        <w:t xml:space="preserve"> </w:t>
      </w:r>
      <w:r w:rsidR="00595FCE">
        <w:t xml:space="preserve">(for example, the </w:t>
      </w:r>
      <w:r w:rsidR="004E5E88">
        <w:t xml:space="preserve">principal </w:t>
      </w:r>
      <w:r w:rsidR="00595FCE">
        <w:t xml:space="preserve">investigator </w:t>
      </w:r>
      <w:r w:rsidR="00DD7A63">
        <w:t xml:space="preserve">was responsible for </w:t>
      </w:r>
      <w:r w:rsidR="00595FCE">
        <w:t>pr</w:t>
      </w:r>
      <w:r w:rsidR="00A71F1D">
        <w:t>eserving</w:t>
      </w:r>
      <w:r w:rsidR="00595FCE">
        <w:t xml:space="preserve"> the integrity</w:t>
      </w:r>
      <w:r w:rsidR="00DD7A63">
        <w:t xml:space="preserve"> of the scientific process</w:t>
      </w:r>
      <w:r w:rsidR="009D2451">
        <w:t>,</w:t>
      </w:r>
      <w:r w:rsidR="008A6DC1">
        <w:t xml:space="preserve"> whereas</w:t>
      </w:r>
      <w:r w:rsidR="00ED0E7E">
        <w:t xml:space="preserve"> the hospital</w:t>
      </w:r>
      <w:r w:rsidR="00AC45AC">
        <w:t xml:space="preserve">’s </w:t>
      </w:r>
      <w:r w:rsidR="00DD7A63">
        <w:t xml:space="preserve">legal </w:t>
      </w:r>
      <w:r w:rsidR="00AC45AC">
        <w:t xml:space="preserve">counsel </w:t>
      </w:r>
      <w:r w:rsidR="00DD7A63">
        <w:t>was responsible for</w:t>
      </w:r>
      <w:r w:rsidR="00AC45AC">
        <w:t xml:space="preserve"> </w:t>
      </w:r>
      <w:r w:rsidR="00ED0E7E">
        <w:t xml:space="preserve">steering the institution clear of </w:t>
      </w:r>
      <w:r w:rsidR="00DD7A63">
        <w:t xml:space="preserve">any </w:t>
      </w:r>
      <w:r w:rsidR="00AC45AC">
        <w:t>breach of contract)</w:t>
      </w:r>
      <w:r w:rsidR="00A33C74">
        <w:t>. E</w:t>
      </w:r>
      <w:r w:rsidR="00AC45AC">
        <w:t>ac</w:t>
      </w:r>
      <w:r w:rsidR="00A33C74">
        <w:t xml:space="preserve">h </w:t>
      </w:r>
      <w:r w:rsidR="00510A7B">
        <w:t xml:space="preserve">of these </w:t>
      </w:r>
      <w:r w:rsidR="00ED0E7E">
        <w:t>part</w:t>
      </w:r>
      <w:r w:rsidR="00510A7B">
        <w:t>ies</w:t>
      </w:r>
      <w:r w:rsidR="00A33C74">
        <w:t xml:space="preserve"> </w:t>
      </w:r>
      <w:r w:rsidR="00AC45AC">
        <w:t xml:space="preserve">faced the difficult task of </w:t>
      </w:r>
      <w:r w:rsidR="00D07F4E">
        <w:t>clarifying</w:t>
      </w:r>
      <w:r w:rsidR="001E15A4">
        <w:t xml:space="preserve"> </w:t>
      </w:r>
      <w:r w:rsidR="00AC45AC">
        <w:t xml:space="preserve">and prioritising </w:t>
      </w:r>
      <w:r w:rsidR="00A33C74">
        <w:t xml:space="preserve">each </w:t>
      </w:r>
      <w:r w:rsidR="001500B4">
        <w:t xml:space="preserve">of </w:t>
      </w:r>
      <w:r w:rsidR="00AC45AC">
        <w:t>their own role-related responsibilities.</w:t>
      </w:r>
      <w:r w:rsidR="0010229F">
        <w:rPr>
          <w:rStyle w:val="FootnoteReference"/>
        </w:rPr>
        <w:footnoteReference w:id="53"/>
      </w:r>
      <w:r w:rsidR="00AC45AC">
        <w:t xml:space="preserve"> </w:t>
      </w:r>
      <w:r w:rsidR="00595FCE">
        <w:t xml:space="preserve">  </w:t>
      </w:r>
    </w:p>
    <w:p w14:paraId="71CC52DC" w14:textId="77777777" w:rsidR="00837B73" w:rsidRDefault="000552FF" w:rsidP="00B72D0C">
      <w:pPr>
        <w:spacing w:line="480" w:lineRule="auto"/>
        <w:ind w:firstLine="720"/>
      </w:pPr>
      <w:r>
        <w:t xml:space="preserve">Without </w:t>
      </w:r>
      <w:r w:rsidR="00AD2076">
        <w:t xml:space="preserve">more </w:t>
      </w:r>
      <w:r>
        <w:t xml:space="preserve">detailed information on the nature and intensity of </w:t>
      </w:r>
      <w:r w:rsidR="001500B4">
        <w:t xml:space="preserve">the </w:t>
      </w:r>
      <w:r>
        <w:t xml:space="preserve">pressures that Rowell faced it is impossible to fully </w:t>
      </w:r>
      <w:r w:rsidR="00D07F4E">
        <w:t xml:space="preserve">catalogue all of </w:t>
      </w:r>
      <w:r>
        <w:t xml:space="preserve">the “(special) interest[s]” which </w:t>
      </w:r>
      <w:r w:rsidR="00510A7B">
        <w:t>had the potential to</w:t>
      </w:r>
      <w:r>
        <w:t xml:space="preserve"> </w:t>
      </w:r>
      <w:r w:rsidR="002C319E">
        <w:t xml:space="preserve">inhibit “the </w:t>
      </w:r>
      <w:r>
        <w:t xml:space="preserve">proper exercise of </w:t>
      </w:r>
      <w:r w:rsidR="001500B4">
        <w:t xml:space="preserve">[her] </w:t>
      </w:r>
      <w:r>
        <w:t>judgment in that relationship</w:t>
      </w:r>
      <w:r w:rsidR="002C319E">
        <w:t>.”</w:t>
      </w:r>
      <w:r>
        <w:t xml:space="preserve"> </w:t>
      </w:r>
      <w:r w:rsidR="002C319E">
        <w:t>She may</w:t>
      </w:r>
      <w:r w:rsidR="008C6068">
        <w:t xml:space="preserve"> have feared material losses </w:t>
      </w:r>
      <w:r w:rsidR="002C319E">
        <w:t>if she felt that a recom</w:t>
      </w:r>
      <w:r w:rsidR="00867506">
        <w:t xml:space="preserve">mendation that disadvantaged her </w:t>
      </w:r>
      <w:r w:rsidR="002C319E">
        <w:t xml:space="preserve">employer might result in </w:t>
      </w:r>
      <w:r w:rsidR="00B42941">
        <w:t xml:space="preserve">her </w:t>
      </w:r>
      <w:r w:rsidR="004631F9">
        <w:t xml:space="preserve">dismissal </w:t>
      </w:r>
      <w:r w:rsidR="002C319E">
        <w:t>or</w:t>
      </w:r>
      <w:r w:rsidR="001500B4">
        <w:t xml:space="preserve"> </w:t>
      </w:r>
      <w:r w:rsidR="008721EF">
        <w:t xml:space="preserve">the elimination of any </w:t>
      </w:r>
      <w:r w:rsidR="00064AC7">
        <w:t>performance-related salary increases</w:t>
      </w:r>
      <w:r w:rsidR="00CB716D">
        <w:t xml:space="preserve"> which she o</w:t>
      </w:r>
      <w:r w:rsidR="00301EF2">
        <w:t>therwise might have expected</w:t>
      </w:r>
      <w:r w:rsidR="002C319E">
        <w:t xml:space="preserve">, and it’s </w:t>
      </w:r>
      <w:r w:rsidR="00867506">
        <w:t xml:space="preserve">evident from her response </w:t>
      </w:r>
      <w:r w:rsidR="004631F9">
        <w:t xml:space="preserve">to </w:t>
      </w:r>
      <w:r w:rsidR="00E05569">
        <w:t>Baylis’s charges</w:t>
      </w:r>
      <w:r w:rsidR="008C6068">
        <w:t xml:space="preserve"> </w:t>
      </w:r>
      <w:r w:rsidR="00E05569">
        <w:t xml:space="preserve">that she felt the emotional tug of loyalty to </w:t>
      </w:r>
      <w:r w:rsidR="00301EF2">
        <w:t>T</w:t>
      </w:r>
      <w:r w:rsidR="00B7789E">
        <w:t xml:space="preserve">he Hospital for Sick </w:t>
      </w:r>
      <w:r w:rsidR="00B7789E">
        <w:lastRenderedPageBreak/>
        <w:t xml:space="preserve">Children. </w:t>
      </w:r>
      <w:r w:rsidR="000E4E3B">
        <w:t xml:space="preserve">If Davis’s definition of conflict of interest is a reasonable one, it </w:t>
      </w:r>
      <w:r w:rsidR="001E15A4">
        <w:t xml:space="preserve">is </w:t>
      </w:r>
      <w:r w:rsidR="000E4E3B">
        <w:t xml:space="preserve">appropriate to </w:t>
      </w:r>
      <w:r w:rsidR="008721EF">
        <w:t xml:space="preserve">acknowledge </w:t>
      </w:r>
      <w:r w:rsidR="000E4E3B">
        <w:t>that ethicists in the employ of healthcare institutions are always, or</w:t>
      </w:r>
      <w:r w:rsidR="00473EB8">
        <w:t xml:space="preserve"> often</w:t>
      </w:r>
      <w:r w:rsidR="004631F9">
        <w:t xml:space="preserve">, embroiled in </w:t>
      </w:r>
      <w:r w:rsidR="000E4E3B">
        <w:t>conflict-ridden situ</w:t>
      </w:r>
      <w:r w:rsidR="004631F9">
        <w:t>ations</w:t>
      </w:r>
      <w:r w:rsidR="00473EB8">
        <w:t xml:space="preserve"> of this so</w:t>
      </w:r>
      <w:r w:rsidR="00833F36">
        <w:t>rt</w:t>
      </w:r>
      <w:r w:rsidR="000E4E3B">
        <w:t xml:space="preserve">. </w:t>
      </w:r>
      <w:r w:rsidR="003F2EB3">
        <w:t>The stakes</w:t>
      </w:r>
      <w:r w:rsidR="00727755">
        <w:t xml:space="preserve"> may not always </w:t>
      </w:r>
      <w:r w:rsidR="00510A7B">
        <w:t xml:space="preserve">seem </w:t>
      </w:r>
      <w:r w:rsidR="00301EF2">
        <w:t xml:space="preserve">quite </w:t>
      </w:r>
      <w:r w:rsidR="00510A7B">
        <w:t>as</w:t>
      </w:r>
      <w:r w:rsidR="00727755">
        <w:t xml:space="preserve"> high</w:t>
      </w:r>
      <w:r w:rsidR="003F2EB3">
        <w:t xml:space="preserve"> </w:t>
      </w:r>
      <w:r w:rsidR="00E41144">
        <w:t>because f</w:t>
      </w:r>
      <w:r w:rsidR="001E15A4">
        <w:t>ew cases at</w:t>
      </w:r>
      <w:r w:rsidR="00E41144">
        <w:t xml:space="preserve">tract </w:t>
      </w:r>
      <w:r w:rsidR="00337061">
        <w:t xml:space="preserve">external </w:t>
      </w:r>
      <w:r w:rsidR="00E41144">
        <w:t>attention</w:t>
      </w:r>
      <w:r w:rsidR="001E15A4">
        <w:t xml:space="preserve"> and, more importantly, </w:t>
      </w:r>
      <w:r w:rsidR="003F2EB3">
        <w:t xml:space="preserve">because the </w:t>
      </w:r>
      <w:r w:rsidR="008721EF">
        <w:t xml:space="preserve">likelihood and </w:t>
      </w:r>
      <w:r w:rsidR="003F2EB3">
        <w:t>degree of harm associated with impaired judg</w:t>
      </w:r>
      <w:r w:rsidR="00E235C7">
        <w:t>e</w:t>
      </w:r>
      <w:r w:rsidR="003F2EB3">
        <w:t xml:space="preserve">ment will </w:t>
      </w:r>
      <w:r w:rsidR="000E7A4F">
        <w:t xml:space="preserve">vary </w:t>
      </w:r>
      <w:r w:rsidR="00727755">
        <w:t xml:space="preserve">greatly </w:t>
      </w:r>
      <w:r w:rsidR="003F2EB3">
        <w:t>from one case to another</w:t>
      </w:r>
      <w:r w:rsidR="001E15A4">
        <w:t xml:space="preserve">. However, </w:t>
      </w:r>
      <w:r w:rsidR="003F2EB3">
        <w:t>if we understand conflict of interest</w:t>
      </w:r>
      <w:r w:rsidR="00E651B6">
        <w:t>, pace Davis,</w:t>
      </w:r>
      <w:r w:rsidR="003F2EB3">
        <w:t xml:space="preserve"> </w:t>
      </w:r>
      <w:r w:rsidR="00E651B6">
        <w:t xml:space="preserve">as a </w:t>
      </w:r>
      <w:r w:rsidR="00E651B6" w:rsidRPr="007B20B1">
        <w:rPr>
          <w:i/>
        </w:rPr>
        <w:t xml:space="preserve">tendency </w:t>
      </w:r>
      <w:r w:rsidR="003F2EB3">
        <w:t xml:space="preserve">for special interests to </w:t>
      </w:r>
      <w:r w:rsidR="00F37450">
        <w:t xml:space="preserve">threaten the independence of </w:t>
      </w:r>
      <w:r w:rsidR="000E7A4F">
        <w:t>judg</w:t>
      </w:r>
      <w:r w:rsidR="00E235C7">
        <w:t>ement then</w:t>
      </w:r>
      <w:r w:rsidR="000E7A4F">
        <w:t xml:space="preserve"> we must</w:t>
      </w:r>
      <w:r w:rsidR="00E651B6">
        <w:t xml:space="preserve"> concede the point that practicing healthcare ethicists are </w:t>
      </w:r>
      <w:r w:rsidR="00C569A0">
        <w:t xml:space="preserve">as </w:t>
      </w:r>
      <w:r w:rsidR="004F21E8">
        <w:t xml:space="preserve">likely to be </w:t>
      </w:r>
      <w:r w:rsidR="00B42941">
        <w:t xml:space="preserve">subject </w:t>
      </w:r>
      <w:r w:rsidR="000E4985">
        <w:t>to these temptations as</w:t>
      </w:r>
      <w:r w:rsidR="00E651B6">
        <w:t xml:space="preserve"> other</w:t>
      </w:r>
      <w:r w:rsidR="000E7A4F">
        <w:t xml:space="preserve">s who exercise </w:t>
      </w:r>
      <w:r w:rsidR="00510A7B">
        <w:t>significant</w:t>
      </w:r>
      <w:r w:rsidR="00E41144">
        <w:t xml:space="preserve"> </w:t>
      </w:r>
      <w:r w:rsidR="000E7A4F">
        <w:t xml:space="preserve">discretion as part of their work. The conditions of their employment, </w:t>
      </w:r>
      <w:r w:rsidR="004631F9">
        <w:t>a</w:t>
      </w:r>
      <w:r w:rsidR="000C2AA8">
        <w:t>n embedd</w:t>
      </w:r>
      <w:r w:rsidR="004631F9">
        <w:t xml:space="preserve">edness that makes relationships </w:t>
      </w:r>
      <w:r w:rsidR="007B20B1">
        <w:t xml:space="preserve">with colleagues and superiors </w:t>
      </w:r>
      <w:r w:rsidR="00AD2076">
        <w:t xml:space="preserve">as </w:t>
      </w:r>
      <w:r w:rsidR="0090302B">
        <w:t>indispensable</w:t>
      </w:r>
      <w:r w:rsidR="00AD2076">
        <w:t xml:space="preserve"> as it is</w:t>
      </w:r>
      <w:r w:rsidR="00516661">
        <w:t xml:space="preserve"> complex, as well as </w:t>
      </w:r>
      <w:r w:rsidR="000E7A4F">
        <w:t xml:space="preserve">their financial dependency on their </w:t>
      </w:r>
      <w:r w:rsidR="0055413D">
        <w:t>employers</w:t>
      </w:r>
      <w:r w:rsidR="004631F9">
        <w:t>,</w:t>
      </w:r>
      <w:r w:rsidR="0055413D">
        <w:t xml:space="preserve"> </w:t>
      </w:r>
      <w:r w:rsidR="00E41144">
        <w:t>mean</w:t>
      </w:r>
      <w:r w:rsidR="000E4985">
        <w:t>s</w:t>
      </w:r>
      <w:r w:rsidR="00516661">
        <w:t xml:space="preserve"> that an awareness of COI is a precondition for competent </w:t>
      </w:r>
      <w:r w:rsidR="00727755">
        <w:t>judgement. The</w:t>
      </w:r>
      <w:r w:rsidR="00516661">
        <w:t xml:space="preserve"> entanglements </w:t>
      </w:r>
      <w:r w:rsidR="00727755">
        <w:t xml:space="preserve">of practicing healthcare ethicists </w:t>
      </w:r>
      <w:r w:rsidR="00AD0625">
        <w:t xml:space="preserve">will </w:t>
      </w:r>
      <w:r w:rsidR="0055413D">
        <w:t>make some</w:t>
      </w:r>
      <w:r w:rsidR="000E7A4F">
        <w:t xml:space="preserve"> </w:t>
      </w:r>
      <w:r w:rsidR="005833A2">
        <w:t xml:space="preserve">conflict </w:t>
      </w:r>
      <w:r w:rsidR="000E7A4F">
        <w:t>mitigation strategies difficult</w:t>
      </w:r>
      <w:r w:rsidR="006A55A5">
        <w:t xml:space="preserve"> or unavailable</w:t>
      </w:r>
      <w:r w:rsidR="00727755">
        <w:t>,</w:t>
      </w:r>
      <w:r w:rsidR="000E4985">
        <w:t xml:space="preserve"> but</w:t>
      </w:r>
      <w:r w:rsidR="00E42FCE">
        <w:t xml:space="preserve"> it is not obvious that the role is </w:t>
      </w:r>
      <w:r w:rsidR="00833F36">
        <w:t>therefore</w:t>
      </w:r>
      <w:r w:rsidR="00E42FCE">
        <w:t xml:space="preserve"> always hopelessly compromised</w:t>
      </w:r>
      <w:r w:rsidR="00337061">
        <w:t xml:space="preserve"> or that it</w:t>
      </w:r>
      <w:r w:rsidR="005E75C8">
        <w:t xml:space="preserve"> should be abandoned altogether</w:t>
      </w:r>
      <w:r w:rsidR="00E42FCE">
        <w:t xml:space="preserve">. </w:t>
      </w:r>
      <w:r w:rsidR="00516661">
        <w:t xml:space="preserve">The alternatives, I’d wager, </w:t>
      </w:r>
      <w:r w:rsidR="00AD0625">
        <w:t xml:space="preserve">would be </w:t>
      </w:r>
      <w:r w:rsidR="00516661">
        <w:t xml:space="preserve">equally bad or </w:t>
      </w:r>
      <w:r w:rsidR="00AD0625">
        <w:t xml:space="preserve">far </w:t>
      </w:r>
      <w:r w:rsidR="00516661">
        <w:t>worse.</w:t>
      </w:r>
      <w:r w:rsidR="002439C7">
        <w:rPr>
          <w:rStyle w:val="FootnoteReference"/>
        </w:rPr>
        <w:footnoteReference w:id="54"/>
      </w:r>
    </w:p>
    <w:p w14:paraId="4693C86B" w14:textId="77777777" w:rsidR="00C97B27" w:rsidRPr="00D60EBF" w:rsidRDefault="003934B7" w:rsidP="00D60EBF">
      <w:r w:rsidRPr="003934B7">
        <w:rPr>
          <w:u w:val="single"/>
        </w:rPr>
        <w:lastRenderedPageBreak/>
        <w:t xml:space="preserve">Chapter 2: </w:t>
      </w:r>
      <w:r w:rsidR="00C97B27" w:rsidRPr="003934B7">
        <w:rPr>
          <w:u w:val="single"/>
        </w:rPr>
        <w:t>Conflicted consultants: Surveying the Canadian context</w:t>
      </w:r>
    </w:p>
    <w:p w14:paraId="2E7C8C83" w14:textId="77777777" w:rsidR="00C6237D" w:rsidRDefault="00C6237D" w:rsidP="00B72D0C">
      <w:pPr>
        <w:spacing w:line="480" w:lineRule="auto"/>
        <w:ind w:firstLine="720"/>
      </w:pPr>
    </w:p>
    <w:p w14:paraId="7B2736AF" w14:textId="77777777" w:rsidR="007C5116" w:rsidRDefault="00D2087C" w:rsidP="00B72D0C">
      <w:pPr>
        <w:spacing w:line="480" w:lineRule="auto"/>
        <w:ind w:firstLine="720"/>
      </w:pPr>
      <w:r>
        <w:t>Given th</w:t>
      </w:r>
      <w:r w:rsidR="003934B7">
        <w:t xml:space="preserve">e </w:t>
      </w:r>
      <w:r w:rsidR="00405516">
        <w:t xml:space="preserve">high </w:t>
      </w:r>
      <w:r w:rsidR="003934B7">
        <w:t xml:space="preserve">profile of the Olivieri affair, </w:t>
      </w:r>
      <w:r w:rsidR="00317378">
        <w:t>one may</w:t>
      </w:r>
      <w:r>
        <w:t xml:space="preserve"> be surpris</w:t>
      </w:r>
      <w:r w:rsidR="00317378">
        <w:t>ed</w:t>
      </w:r>
      <w:r>
        <w:t xml:space="preserve"> to learn </w:t>
      </w:r>
      <w:r w:rsidR="005E52D6">
        <w:t>that</w:t>
      </w:r>
      <w:r w:rsidR="00C63C74">
        <w:t xml:space="preserve"> </w:t>
      </w:r>
      <w:r w:rsidR="007B20B1">
        <w:t xml:space="preserve">the mainstream bioethics literature </w:t>
      </w:r>
      <w:r w:rsidR="003934B7">
        <w:t>has</w:t>
      </w:r>
      <w:r w:rsidR="00317378">
        <w:t xml:space="preserve"> not </w:t>
      </w:r>
      <w:r w:rsidR="003934B7">
        <w:t xml:space="preserve">been </w:t>
      </w:r>
      <w:r w:rsidR="00317378">
        <w:t xml:space="preserve">greatly </w:t>
      </w:r>
      <w:r w:rsidR="00C63C74">
        <w:t xml:space="preserve">occupied with </w:t>
      </w:r>
      <w:r w:rsidR="00317378">
        <w:t xml:space="preserve">the topic of </w:t>
      </w:r>
      <w:r w:rsidR="006A55A5">
        <w:t>conflict of interest</w:t>
      </w:r>
      <w:r w:rsidR="00C63C74">
        <w:t xml:space="preserve"> - except as it is applied to non-ethicists.</w:t>
      </w:r>
      <w:r w:rsidR="00E56C05">
        <w:t xml:space="preserve"> </w:t>
      </w:r>
      <w:r w:rsidR="003934B7">
        <w:t xml:space="preserve">This is as true in United States as it is in Canada, although that country has faced its own controversial cases. </w:t>
      </w:r>
      <w:r w:rsidR="00317378">
        <w:t>As Giles Scofield, a persistent critic of the professionalization movement within bioethics, has stated: “[t]</w:t>
      </w:r>
      <w:r w:rsidR="00317378" w:rsidRPr="0006726D">
        <w:t xml:space="preserve">urn to the field of medical ethics consultation, and what one discovers is not that discussions about boundary issues are absent, but that medical ethicists publicly discuss the problems that boundary issues pose to </w:t>
      </w:r>
      <w:r w:rsidR="00317378" w:rsidRPr="005537CE">
        <w:rPr>
          <w:i/>
        </w:rPr>
        <w:t>other</w:t>
      </w:r>
      <w:r w:rsidR="00317378" w:rsidRPr="0006726D">
        <w:t xml:space="preserve"> professionals, and try as best they can to bury those issues insofar as they concern them, what they do, or how they do it</w:t>
      </w:r>
      <w:r w:rsidR="00317378">
        <w:t>” (</w:t>
      </w:r>
      <w:r w:rsidR="00317378" w:rsidRPr="0006726D">
        <w:t xml:space="preserve">emphasis in </w:t>
      </w:r>
      <w:r w:rsidR="00317378" w:rsidRPr="0006726D">
        <w:lastRenderedPageBreak/>
        <w:t>original).</w:t>
      </w:r>
      <w:r w:rsidR="00E56C05">
        <w:rPr>
          <w:rStyle w:val="FootnoteReference"/>
        </w:rPr>
        <w:footnoteReference w:id="55"/>
      </w:r>
      <w:r w:rsidR="00317378">
        <w:t xml:space="preserve"> One need not embrace Scofield’s s</w:t>
      </w:r>
      <w:r w:rsidR="00E56C05">
        <w:t>c</w:t>
      </w:r>
      <w:r w:rsidR="00317378">
        <w:t xml:space="preserve">epticism to conclude that this is an area that merits further exploration. </w:t>
      </w:r>
      <w:r w:rsidR="00337061">
        <w:t>A few</w:t>
      </w:r>
      <w:r w:rsidR="00C63C74">
        <w:t xml:space="preserve"> years ago, </w:t>
      </w:r>
      <w:r w:rsidR="00D5346A">
        <w:t xml:space="preserve">however, </w:t>
      </w:r>
      <w:r w:rsidR="007D1D8C">
        <w:t xml:space="preserve">practicing healthcare ethicists </w:t>
      </w:r>
      <w:r w:rsidR="00C63C74">
        <w:t xml:space="preserve">Andrea Frolic and Paula Chidwick made a </w:t>
      </w:r>
      <w:r w:rsidR="007B20B1">
        <w:t>useful</w:t>
      </w:r>
      <w:r w:rsidR="00C63C74">
        <w:t xml:space="preserve"> contribution to the field by soliciting stories from their Canadian colleagues about their </w:t>
      </w:r>
      <w:r w:rsidR="007B4CD7">
        <w:t xml:space="preserve">direct </w:t>
      </w:r>
      <w:r w:rsidR="00C63C74">
        <w:t xml:space="preserve">experiences with COI. Although their sample </w:t>
      </w:r>
      <w:r w:rsidR="008367D9">
        <w:t>size was modest</w:t>
      </w:r>
      <w:r w:rsidR="008721EF">
        <w:t xml:space="preserve"> - </w:t>
      </w:r>
      <w:r w:rsidR="004D7E47">
        <w:t>despite assurances of confidentiality,</w:t>
      </w:r>
      <w:r w:rsidR="00D5346A">
        <w:t xml:space="preserve"> </w:t>
      </w:r>
      <w:r w:rsidR="00C63C74">
        <w:t xml:space="preserve">only thirteen ethicists </w:t>
      </w:r>
      <w:r w:rsidR="00337061">
        <w:t xml:space="preserve">ultimately </w:t>
      </w:r>
      <w:r w:rsidR="00C63C74">
        <w:t>agreed to have their stories sha</w:t>
      </w:r>
      <w:r w:rsidR="008721EF">
        <w:t>red -</w:t>
      </w:r>
      <w:r w:rsidR="00C63C74">
        <w:t xml:space="preserve"> their efforts yielded two papers containing detailed narratives </w:t>
      </w:r>
      <w:r w:rsidR="0021033D">
        <w:t>that illustrated</w:t>
      </w:r>
      <w:r w:rsidR="00DA19F7">
        <w:t xml:space="preserve"> the variety of respondents’ experiences with </w:t>
      </w:r>
      <w:r w:rsidR="00AD0625">
        <w:t xml:space="preserve">direct and indirect pressures </w:t>
      </w:r>
      <w:r w:rsidR="00DA19F7">
        <w:t xml:space="preserve">that </w:t>
      </w:r>
      <w:r w:rsidR="007B4CD7">
        <w:t xml:space="preserve">they believed had </w:t>
      </w:r>
      <w:r w:rsidR="00DA19F7">
        <w:t>threatened the independence</w:t>
      </w:r>
      <w:r w:rsidR="004D7E47">
        <w:t xml:space="preserve"> of their judg</w:t>
      </w:r>
      <w:r w:rsidR="009E3F29">
        <w:t>e</w:t>
      </w:r>
      <w:r w:rsidR="00DA19F7">
        <w:t>ment</w:t>
      </w:r>
      <w:r w:rsidR="009E3F29">
        <w:t>s</w:t>
      </w:r>
      <w:r w:rsidR="00DA19F7">
        <w:t>.</w:t>
      </w:r>
      <w:r w:rsidR="006A55A5">
        <w:rPr>
          <w:rStyle w:val="FootnoteReference"/>
        </w:rPr>
        <w:footnoteReference w:id="56"/>
      </w:r>
      <w:r w:rsidR="00DA19F7">
        <w:t xml:space="preserve"> In </w:t>
      </w:r>
      <w:r w:rsidR="007B4CD7">
        <w:t>an effort</w:t>
      </w:r>
      <w:r w:rsidR="00DA19F7">
        <w:t xml:space="preserve"> to leave the meaning of </w:t>
      </w:r>
      <w:r w:rsidR="003B7CA0">
        <w:t xml:space="preserve">conflict of interest </w:t>
      </w:r>
      <w:r w:rsidR="00DA19F7">
        <w:t xml:space="preserve">open to interpretation, Frolic and Chidwick declined to provide their respondents with a definition of the concept. </w:t>
      </w:r>
      <w:r w:rsidR="005C717E">
        <w:t xml:space="preserve">As a </w:t>
      </w:r>
      <w:r w:rsidR="00186008">
        <w:t>result</w:t>
      </w:r>
      <w:r w:rsidR="005C717E">
        <w:t>,</w:t>
      </w:r>
      <w:r w:rsidR="00186008">
        <w:t xml:space="preserve"> </w:t>
      </w:r>
      <w:r w:rsidR="00716C82">
        <w:t xml:space="preserve">the </w:t>
      </w:r>
      <w:r w:rsidR="008721EF">
        <w:t xml:space="preserve">ethicists </w:t>
      </w:r>
      <w:r w:rsidR="005C717E">
        <w:t xml:space="preserve">relayed a </w:t>
      </w:r>
      <w:r w:rsidR="009C6115">
        <w:t xml:space="preserve">variety </w:t>
      </w:r>
      <w:r w:rsidR="005C717E">
        <w:t xml:space="preserve">of </w:t>
      </w:r>
      <w:r w:rsidR="009C6115">
        <w:t xml:space="preserve">incidents </w:t>
      </w:r>
      <w:r w:rsidR="001A6C98">
        <w:t xml:space="preserve">that reflected their </w:t>
      </w:r>
      <w:r w:rsidR="009C6115">
        <w:t xml:space="preserve">disparate </w:t>
      </w:r>
      <w:r w:rsidR="00337061">
        <w:t>understandings and experiences</w:t>
      </w:r>
      <w:r w:rsidR="001A6C98">
        <w:t xml:space="preserve">. COI was identified in </w:t>
      </w:r>
      <w:r w:rsidR="006C4ABD">
        <w:t xml:space="preserve">all of </w:t>
      </w:r>
      <w:r w:rsidR="005C717E">
        <w:t xml:space="preserve">the </w:t>
      </w:r>
      <w:r w:rsidR="008367D9">
        <w:t xml:space="preserve">diverse </w:t>
      </w:r>
      <w:r w:rsidR="005C717E">
        <w:t>domains within which they practiced</w:t>
      </w:r>
      <w:r w:rsidR="007B4CD7">
        <w:t>,</w:t>
      </w:r>
      <w:r w:rsidR="00A13DFC">
        <w:t xml:space="preserve"> including </w:t>
      </w:r>
      <w:r w:rsidR="005C717E">
        <w:t xml:space="preserve">clinical </w:t>
      </w:r>
      <w:r w:rsidR="00A13DFC">
        <w:t>consulta</w:t>
      </w:r>
      <w:r w:rsidR="0021033D">
        <w:t>tion,</w:t>
      </w:r>
      <w:r w:rsidR="00A13DFC">
        <w:t xml:space="preserve"> </w:t>
      </w:r>
      <w:r w:rsidR="007D1D8C">
        <w:t>organizational ethics consultatio</w:t>
      </w:r>
      <w:r w:rsidR="0021033D">
        <w:t>n,</w:t>
      </w:r>
      <w:r w:rsidR="007D1D8C">
        <w:t xml:space="preserve"> and </w:t>
      </w:r>
      <w:r w:rsidR="00A13DFC">
        <w:t xml:space="preserve">research ethics </w:t>
      </w:r>
      <w:r w:rsidR="006C7EB1">
        <w:t>consultation and review</w:t>
      </w:r>
      <w:r w:rsidR="00A13DFC">
        <w:t xml:space="preserve">. </w:t>
      </w:r>
      <w:r w:rsidR="009E3F29">
        <w:t xml:space="preserve">To preserve </w:t>
      </w:r>
      <w:r w:rsidR="00584CE7">
        <w:t xml:space="preserve">the anonymity of </w:t>
      </w:r>
      <w:r w:rsidR="00CA1BD3">
        <w:t xml:space="preserve">their </w:t>
      </w:r>
      <w:r w:rsidR="006C7EB1">
        <w:t>participants the responses were rolled up into f</w:t>
      </w:r>
      <w:r w:rsidR="00A13DFC">
        <w:t xml:space="preserve">ive composite cases </w:t>
      </w:r>
      <w:r w:rsidR="006C7EB1">
        <w:t xml:space="preserve">that represented recurrent themes which the </w:t>
      </w:r>
      <w:r w:rsidR="006C7EB1">
        <w:lastRenderedPageBreak/>
        <w:t>authors described as: “</w:t>
      </w:r>
      <w:r w:rsidR="00A13DFC">
        <w:t>research</w:t>
      </w:r>
      <w:r w:rsidR="006C7EB1">
        <w:t xml:space="preserve"> f</w:t>
      </w:r>
      <w:r w:rsidR="00A13DFC">
        <w:t>unding conflicting with research ethics; d</w:t>
      </w:r>
      <w:r w:rsidR="009E3F29">
        <w:t>isclosing ethical issues when ‘</w:t>
      </w:r>
      <w:r w:rsidR="00A13DFC">
        <w:t>due</w:t>
      </w:r>
      <w:r w:rsidR="006C7EB1">
        <w:t xml:space="preserve"> </w:t>
      </w:r>
      <w:r w:rsidR="00A13DFC">
        <w:t>process’ is absent; conflicts between organizational values and the personal values</w:t>
      </w:r>
      <w:r w:rsidR="006C7EB1">
        <w:t xml:space="preserve"> </w:t>
      </w:r>
      <w:r w:rsidR="00A13DFC">
        <w:t>of the clinical bioethicist; promoting</w:t>
      </w:r>
      <w:r w:rsidR="00E3272C">
        <w:t xml:space="preserve"> </w:t>
      </w:r>
      <w:r w:rsidR="00A13DFC">
        <w:t>justice within organizations; and balancing</w:t>
      </w:r>
      <w:r w:rsidR="006C7EB1">
        <w:t xml:space="preserve"> </w:t>
      </w:r>
      <w:r w:rsidR="00A13DFC">
        <w:t>competing loyalties and obligations within an organization.</w:t>
      </w:r>
      <w:r w:rsidR="006C7EB1">
        <w:t>”</w:t>
      </w:r>
      <w:r w:rsidR="002E5F3A">
        <w:rPr>
          <w:rStyle w:val="FootnoteReference"/>
        </w:rPr>
        <w:footnoteReference w:id="57"/>
      </w:r>
      <w:r w:rsidR="00186008">
        <w:t xml:space="preserve"> </w:t>
      </w:r>
    </w:p>
    <w:p w14:paraId="2A69C126" w14:textId="77777777" w:rsidR="00225252" w:rsidRDefault="00A97967" w:rsidP="00B72D0C">
      <w:pPr>
        <w:spacing w:line="480" w:lineRule="auto"/>
        <w:ind w:firstLine="720"/>
      </w:pPr>
      <w:r>
        <w:t>Two findings stand out</w:t>
      </w:r>
      <w:r w:rsidR="00301EF2">
        <w:t xml:space="preserve"> when one reviews their findings</w:t>
      </w:r>
      <w:r>
        <w:t xml:space="preserve">. </w:t>
      </w:r>
      <w:r w:rsidR="00B83ED9">
        <w:t>First, t</w:t>
      </w:r>
      <w:r w:rsidR="007C5116">
        <w:t xml:space="preserve">he </w:t>
      </w:r>
      <w:r w:rsidR="001A6C98">
        <w:t xml:space="preserve">way that conflict of interest was understood </w:t>
      </w:r>
      <w:r w:rsidR="00B52301">
        <w:t>by participating</w:t>
      </w:r>
      <w:r w:rsidR="00737A0E">
        <w:t xml:space="preserve"> ethicists </w:t>
      </w:r>
      <w:r w:rsidR="001A6C98">
        <w:t xml:space="preserve">sometimes departed significantly from </w:t>
      </w:r>
      <w:r w:rsidR="009C6115">
        <w:t xml:space="preserve">mainstream conceptions of the concept, including the one offered by </w:t>
      </w:r>
      <w:r w:rsidR="001A6C98">
        <w:t>Davis</w:t>
      </w:r>
      <w:r w:rsidR="009C6115">
        <w:t xml:space="preserve"> above</w:t>
      </w:r>
      <w:r w:rsidR="00B83ED9">
        <w:t>.</w:t>
      </w:r>
      <w:r w:rsidR="007C5116">
        <w:t xml:space="preserve"> </w:t>
      </w:r>
      <w:r w:rsidR="00B83ED9">
        <w:t>Second,</w:t>
      </w:r>
      <w:r w:rsidR="007C5116">
        <w:t xml:space="preserve"> the </w:t>
      </w:r>
      <w:r w:rsidR="001576F1">
        <w:t xml:space="preserve">distress </w:t>
      </w:r>
      <w:r w:rsidR="00737A0E">
        <w:t>the</w:t>
      </w:r>
      <w:r w:rsidR="001D4EEC">
        <w:t xml:space="preserve"> ethicists</w:t>
      </w:r>
      <w:r w:rsidR="00737A0E">
        <w:t xml:space="preserve"> experienced </w:t>
      </w:r>
      <w:r w:rsidR="001576F1">
        <w:t>was</w:t>
      </w:r>
      <w:r>
        <w:t xml:space="preserve"> </w:t>
      </w:r>
      <w:r w:rsidR="00737A0E">
        <w:t xml:space="preserve">often </w:t>
      </w:r>
      <w:r>
        <w:t xml:space="preserve">great enough to prompt </w:t>
      </w:r>
      <w:r w:rsidR="00B52301">
        <w:t xml:space="preserve">lasting </w:t>
      </w:r>
      <w:r>
        <w:t xml:space="preserve">changes in </w:t>
      </w:r>
      <w:r w:rsidR="00B52301">
        <w:t xml:space="preserve">their </w:t>
      </w:r>
      <w:r>
        <w:t>attitude</w:t>
      </w:r>
      <w:r w:rsidR="00B52301">
        <w:t>s</w:t>
      </w:r>
      <w:r>
        <w:t xml:space="preserve"> </w:t>
      </w:r>
      <w:r w:rsidR="00564B60">
        <w:t>towards the</w:t>
      </w:r>
      <w:r w:rsidR="006F485C">
        <w:t>ir</w:t>
      </w:r>
      <w:r w:rsidR="00564B60">
        <w:t xml:space="preserve"> wo</w:t>
      </w:r>
      <w:r w:rsidR="00ED0E7E">
        <w:t>rk</w:t>
      </w:r>
      <w:r w:rsidR="00B52301">
        <w:t xml:space="preserve">. </w:t>
      </w:r>
      <w:r w:rsidR="007D1D8C">
        <w:t>Indeed, o</w:t>
      </w:r>
      <w:r>
        <w:t>ver half of the respondents indicated that they had changed employers or left the field entirely owing to their exp</w:t>
      </w:r>
      <w:r w:rsidR="00C92894">
        <w:t>e</w:t>
      </w:r>
      <w:r w:rsidR="00737A0E">
        <w:t>riences of COI</w:t>
      </w:r>
      <w:r>
        <w:t xml:space="preserve">. </w:t>
      </w:r>
      <w:r w:rsidR="00B52301">
        <w:t>Both of these discoveries</w:t>
      </w:r>
      <w:r w:rsidR="001576F1">
        <w:t xml:space="preserve"> </w:t>
      </w:r>
      <w:r w:rsidR="00737A0E">
        <w:t>may be unsurprising</w:t>
      </w:r>
      <w:r w:rsidR="001576F1">
        <w:t xml:space="preserve"> given the variety and complexity of cases </w:t>
      </w:r>
      <w:r w:rsidR="00E123A5">
        <w:t xml:space="preserve">routinely </w:t>
      </w:r>
      <w:r w:rsidR="001576F1">
        <w:t>faced by healthcare ethicists</w:t>
      </w:r>
      <w:r w:rsidR="007D1D8C">
        <w:t xml:space="preserve"> </w:t>
      </w:r>
      <w:r w:rsidR="001576F1">
        <w:t>and the relatively isolated nature of the work</w:t>
      </w:r>
      <w:r>
        <w:t xml:space="preserve">. While </w:t>
      </w:r>
      <w:r w:rsidR="00075268">
        <w:t xml:space="preserve">an individual </w:t>
      </w:r>
      <w:r w:rsidR="001D4EEC">
        <w:t>PHE</w:t>
      </w:r>
      <w:r w:rsidR="001576F1">
        <w:t xml:space="preserve"> may interact with </w:t>
      </w:r>
      <w:r w:rsidR="006F485C">
        <w:t xml:space="preserve">many </w:t>
      </w:r>
      <w:r w:rsidR="001576F1">
        <w:t xml:space="preserve">colleagues across multiple programs and </w:t>
      </w:r>
      <w:r w:rsidR="00E123A5">
        <w:t xml:space="preserve">at </w:t>
      </w:r>
      <w:r w:rsidR="00B14E0E">
        <w:t>all levels of an organisation</w:t>
      </w:r>
      <w:r>
        <w:t>,</w:t>
      </w:r>
      <w:r w:rsidR="00B14E0E">
        <w:t xml:space="preserve"> the fact remains that </w:t>
      </w:r>
      <w:r w:rsidR="00E123A5">
        <w:t xml:space="preserve">in any healthcare setting </w:t>
      </w:r>
      <w:r w:rsidR="00075268">
        <w:t>she is</w:t>
      </w:r>
      <w:r w:rsidR="00E123A5">
        <w:t xml:space="preserve"> nearly always the only</w:t>
      </w:r>
      <w:r w:rsidR="007D1D8C">
        <w:t xml:space="preserve"> person</w:t>
      </w:r>
      <w:r w:rsidR="00E123A5">
        <w:t xml:space="preserve">, </w:t>
      </w:r>
      <w:r w:rsidR="00B14E0E">
        <w:t xml:space="preserve">or </w:t>
      </w:r>
      <w:r w:rsidR="00301EF2">
        <w:t xml:space="preserve">is </w:t>
      </w:r>
      <w:r w:rsidR="00B14E0E">
        <w:t xml:space="preserve">one of </w:t>
      </w:r>
      <w:r w:rsidR="00E123A5">
        <w:t xml:space="preserve">a </w:t>
      </w:r>
      <w:r w:rsidR="00C92894">
        <w:t xml:space="preserve">very </w:t>
      </w:r>
      <w:r w:rsidR="00E123A5">
        <w:t xml:space="preserve">few </w:t>
      </w:r>
      <w:r w:rsidR="00B14E0E">
        <w:t>people</w:t>
      </w:r>
      <w:r w:rsidR="007D1D8C">
        <w:t xml:space="preserve">, </w:t>
      </w:r>
      <w:r w:rsidR="00B14E0E">
        <w:t>do</w:t>
      </w:r>
      <w:r w:rsidR="007D1D8C">
        <w:t>ing</w:t>
      </w:r>
      <w:r w:rsidR="00075268">
        <w:t xml:space="preserve"> the sort of work that she</w:t>
      </w:r>
      <w:r w:rsidR="00B14E0E">
        <w:t xml:space="preserve"> do</w:t>
      </w:r>
      <w:r w:rsidR="00075268">
        <w:t>es</w:t>
      </w:r>
      <w:r w:rsidR="00B14E0E">
        <w:t>.</w:t>
      </w:r>
      <w:r w:rsidR="005F48ED">
        <w:rPr>
          <w:rStyle w:val="FootnoteReference"/>
        </w:rPr>
        <w:footnoteReference w:id="58"/>
      </w:r>
      <w:r w:rsidR="00B14E0E">
        <w:t xml:space="preserve"> There is no critical mass of </w:t>
      </w:r>
      <w:r w:rsidR="001D4EEC">
        <w:t xml:space="preserve">practicing healthcare </w:t>
      </w:r>
      <w:r w:rsidR="00B14E0E">
        <w:t xml:space="preserve">ethicists </w:t>
      </w:r>
      <w:r w:rsidR="00E123A5">
        <w:lastRenderedPageBreak/>
        <w:t>(</w:t>
      </w:r>
      <w:r w:rsidR="00B14E0E">
        <w:t>as there is</w:t>
      </w:r>
      <w:r w:rsidR="006F485C">
        <w:t>, for example,</w:t>
      </w:r>
      <w:r w:rsidR="007D1D8C">
        <w:t xml:space="preserve"> of</w:t>
      </w:r>
      <w:r w:rsidR="00B14E0E">
        <w:t xml:space="preserve"> </w:t>
      </w:r>
      <w:r w:rsidR="001D4EEC">
        <w:t xml:space="preserve">registered </w:t>
      </w:r>
      <w:r w:rsidR="00E123A5">
        <w:t xml:space="preserve">nurses, </w:t>
      </w:r>
      <w:r w:rsidR="00C92894">
        <w:t>s</w:t>
      </w:r>
      <w:r w:rsidR="00244461">
        <w:t>ocial workers</w:t>
      </w:r>
      <w:r w:rsidR="00301EF2">
        <w:t>, or physicians</w:t>
      </w:r>
      <w:r w:rsidR="00E123A5">
        <w:t>)</w:t>
      </w:r>
      <w:r w:rsidR="00B14E0E">
        <w:t xml:space="preserve"> </w:t>
      </w:r>
      <w:r w:rsidR="00DF1E32">
        <w:t xml:space="preserve">that </w:t>
      </w:r>
      <w:r w:rsidR="008C3DAF">
        <w:t xml:space="preserve">a practitioner </w:t>
      </w:r>
      <w:r w:rsidR="00B14E0E">
        <w:t xml:space="preserve">can </w:t>
      </w:r>
      <w:r w:rsidR="00C92894">
        <w:t xml:space="preserve">depend </w:t>
      </w:r>
      <w:r w:rsidR="006D65E7">
        <w:t>up</w:t>
      </w:r>
      <w:r w:rsidR="00DF1E32">
        <w:t>on for validation and</w:t>
      </w:r>
      <w:r w:rsidR="006F485C">
        <w:t xml:space="preserve"> advice</w:t>
      </w:r>
      <w:r w:rsidR="006D65E7">
        <w:t xml:space="preserve">; and no professional college exists to </w:t>
      </w:r>
      <w:r w:rsidR="001D4EEC">
        <w:t>hear</w:t>
      </w:r>
      <w:r w:rsidR="006D65E7">
        <w:t xml:space="preserve"> disputes or to </w:t>
      </w:r>
      <w:r w:rsidR="006F485C">
        <w:t xml:space="preserve">establish </w:t>
      </w:r>
      <w:r w:rsidR="006D65E7">
        <w:t>practice standards</w:t>
      </w:r>
      <w:r w:rsidR="00C92894">
        <w:t xml:space="preserve">. A significant </w:t>
      </w:r>
      <w:r w:rsidR="00DF1E32">
        <w:t>occupation</w:t>
      </w:r>
      <w:r w:rsidR="00225252">
        <w:t>al</w:t>
      </w:r>
      <w:r w:rsidR="00DF1E32">
        <w:t xml:space="preserve"> hazard,</w:t>
      </w:r>
      <w:r w:rsidR="00737A0E">
        <w:t xml:space="preserve"> therefore, appears to be</w:t>
      </w:r>
      <w:r w:rsidR="00DF1E32">
        <w:t xml:space="preserve"> a natural inclination toward what</w:t>
      </w:r>
      <w:r w:rsidR="006C4ABD">
        <w:t xml:space="preserve"> </w:t>
      </w:r>
      <w:r w:rsidR="00B83ED9">
        <w:t xml:space="preserve">some </w:t>
      </w:r>
      <w:r w:rsidR="006C4ABD">
        <w:t xml:space="preserve">REB </w:t>
      </w:r>
      <w:r w:rsidR="00DF1E32">
        <w:t xml:space="preserve">critics </w:t>
      </w:r>
      <w:r w:rsidR="00F600D2">
        <w:t xml:space="preserve">have </w:t>
      </w:r>
      <w:r w:rsidR="00DF1E32">
        <w:t>call</w:t>
      </w:r>
      <w:r w:rsidR="00F600D2">
        <w:t>ed</w:t>
      </w:r>
      <w:r w:rsidR="00DF1E32">
        <w:t xml:space="preserve"> ‘mission creep.’ The ethicist</w:t>
      </w:r>
      <w:r w:rsidR="00307C5B">
        <w:t>,</w:t>
      </w:r>
      <w:r w:rsidR="00DF1E32">
        <w:t xml:space="preserve"> and others</w:t>
      </w:r>
      <w:r w:rsidR="00307C5B">
        <w:t>,</w:t>
      </w:r>
      <w:r w:rsidR="00DF1E32">
        <w:t xml:space="preserve"> may come to view her role as unlimited in scope</w:t>
      </w:r>
      <w:r w:rsidR="00894D27">
        <w:t>;</w:t>
      </w:r>
      <w:r w:rsidR="00DF1E32">
        <w:t xml:space="preserve"> </w:t>
      </w:r>
      <w:r w:rsidR="00894D27">
        <w:t>w</w:t>
      </w:r>
      <w:r w:rsidR="00DF1E32">
        <w:t xml:space="preserve">henever a concern arises </w:t>
      </w:r>
      <w:r w:rsidR="00307C5B">
        <w:t xml:space="preserve">that can be described as having </w:t>
      </w:r>
      <w:r w:rsidR="00DF1E32">
        <w:t>a values-based dimension</w:t>
      </w:r>
      <w:r w:rsidR="00307C5B">
        <w:t>,</w:t>
      </w:r>
      <w:r w:rsidR="00EC14A1">
        <w:t xml:space="preserve"> the ethicist - spurred on b</w:t>
      </w:r>
      <w:r w:rsidR="00DF1E32">
        <w:t xml:space="preserve">y </w:t>
      </w:r>
      <w:r w:rsidR="00EC14A1">
        <w:t xml:space="preserve">her own sense of rightness or by the distress of </w:t>
      </w:r>
      <w:r w:rsidR="00DF1E32">
        <w:t>others</w:t>
      </w:r>
      <w:r w:rsidR="00EC14A1">
        <w:t xml:space="preserve"> - </w:t>
      </w:r>
      <w:r w:rsidR="00DF1E32">
        <w:t xml:space="preserve">may </w:t>
      </w:r>
      <w:r w:rsidR="00225252">
        <w:t>be drawn into the</w:t>
      </w:r>
      <w:r w:rsidR="009263A7">
        <w:t xml:space="preserve"> melee</w:t>
      </w:r>
      <w:r w:rsidR="00EC14A1">
        <w:t>. This</w:t>
      </w:r>
      <w:r w:rsidR="00225252">
        <w:t xml:space="preserve"> </w:t>
      </w:r>
      <w:r w:rsidR="00DF3959">
        <w:t>may account for the fact that despite long-standing efforts to disavow monikers like the ‘ethics police’ or the ‘conscience of t</w:t>
      </w:r>
      <w:r w:rsidR="00107332">
        <w:t>he corporation’ these</w:t>
      </w:r>
      <w:r w:rsidR="00DF3959">
        <w:t xml:space="preserve"> usages persist</w:t>
      </w:r>
      <w:r w:rsidR="00244461">
        <w:t xml:space="preserve"> and boundary dilemmas</w:t>
      </w:r>
      <w:r w:rsidR="00506658">
        <w:t xml:space="preserve"> flourish</w:t>
      </w:r>
      <w:r w:rsidR="00244461">
        <w:t>.</w:t>
      </w:r>
      <w:r w:rsidR="00DF3959">
        <w:t xml:space="preserve"> </w:t>
      </w:r>
    </w:p>
    <w:p w14:paraId="3623A619" w14:textId="77777777" w:rsidR="00234680" w:rsidRDefault="00225252" w:rsidP="00B72D0C">
      <w:pPr>
        <w:spacing w:line="480" w:lineRule="auto"/>
        <w:ind w:firstLine="720"/>
      </w:pPr>
      <w:r>
        <w:t xml:space="preserve">Frolic and Chidwick </w:t>
      </w:r>
      <w:r w:rsidR="00307C5B">
        <w:t xml:space="preserve">readily </w:t>
      </w:r>
      <w:r w:rsidR="00234680">
        <w:t>allow</w:t>
      </w:r>
      <w:r w:rsidR="00307C5B">
        <w:t xml:space="preserve"> </w:t>
      </w:r>
      <w:r>
        <w:t xml:space="preserve">that </w:t>
      </w:r>
      <w:r w:rsidR="00307C5B">
        <w:t xml:space="preserve">many of the </w:t>
      </w:r>
      <w:r w:rsidR="00234680">
        <w:t xml:space="preserve">experiences </w:t>
      </w:r>
      <w:r w:rsidR="00307C5B">
        <w:t xml:space="preserve">that their respondents relayed </w:t>
      </w:r>
      <w:r w:rsidR="00234680">
        <w:t>fe</w:t>
      </w:r>
      <w:r>
        <w:t xml:space="preserve">ll outside </w:t>
      </w:r>
      <w:r w:rsidR="00307C5B">
        <w:t xml:space="preserve">of any of </w:t>
      </w:r>
      <w:r>
        <w:t xml:space="preserve">the </w:t>
      </w:r>
      <w:r w:rsidR="001C7944">
        <w:t>conventional definitions</w:t>
      </w:r>
      <w:r>
        <w:t xml:space="preserve"> of conflict of interest</w:t>
      </w:r>
      <w:r w:rsidR="00307C5B">
        <w:t>.</w:t>
      </w:r>
      <w:r w:rsidR="00B07013">
        <w:t xml:space="preserve"> Mo</w:t>
      </w:r>
      <w:r w:rsidR="004A04D4">
        <w:t xml:space="preserve">reover, the </w:t>
      </w:r>
      <w:r w:rsidR="00107332">
        <w:t xml:space="preserve">cases </w:t>
      </w:r>
      <w:r w:rsidR="004C241A">
        <w:t xml:space="preserve">that did </w:t>
      </w:r>
      <w:r w:rsidR="00107332">
        <w:t xml:space="preserve">appear </w:t>
      </w:r>
      <w:r w:rsidR="001C7944">
        <w:t>to fit within</w:t>
      </w:r>
      <w:r w:rsidR="00107332">
        <w:t xml:space="preserve"> the</w:t>
      </w:r>
      <w:r w:rsidR="001C7944">
        <w:t xml:space="preserve"> standard usage</w:t>
      </w:r>
      <w:r w:rsidR="00107332">
        <w:t xml:space="preserve"> </w:t>
      </w:r>
      <w:r w:rsidR="001C7944">
        <w:t>were</w:t>
      </w:r>
      <w:r w:rsidR="004C241A">
        <w:t xml:space="preserve"> </w:t>
      </w:r>
      <w:r w:rsidR="00A146EF">
        <w:t>d</w:t>
      </w:r>
      <w:r w:rsidR="00B150E2">
        <w:t xml:space="preserve">eemed </w:t>
      </w:r>
      <w:r w:rsidR="004C241A">
        <w:t>un</w:t>
      </w:r>
      <w:r w:rsidR="00B07013">
        <w:t>related to the financial incentives that critics have identified as a significant risk to the independen</w:t>
      </w:r>
      <w:r w:rsidR="00A146EF">
        <w:t>t exercise of judgement</w:t>
      </w:r>
      <w:r w:rsidR="00B07013">
        <w:t>. By t</w:t>
      </w:r>
      <w:r w:rsidR="006D65E7">
        <w:t>heir own admission</w:t>
      </w:r>
      <w:r w:rsidR="00B150E2">
        <w:t>,</w:t>
      </w:r>
      <w:r w:rsidR="006D65E7">
        <w:t xml:space="preserve"> the ethicists’</w:t>
      </w:r>
      <w:r w:rsidR="00B07013">
        <w:t xml:space="preserve"> </w:t>
      </w:r>
      <w:r w:rsidR="00A146EF">
        <w:t xml:space="preserve">powers of discernment were </w:t>
      </w:r>
      <w:r w:rsidR="00C1349D">
        <w:t xml:space="preserve">jeopardised </w:t>
      </w:r>
      <w:r w:rsidR="002C1F3E">
        <w:t xml:space="preserve">primarily </w:t>
      </w:r>
      <w:r w:rsidR="00C1349D">
        <w:t xml:space="preserve">by </w:t>
      </w:r>
      <w:r w:rsidR="00B07013">
        <w:t xml:space="preserve">tendencies that </w:t>
      </w:r>
      <w:r w:rsidR="004C241A">
        <w:t>fal</w:t>
      </w:r>
      <w:r w:rsidR="004A04D4">
        <w:t>l into what some have described as</w:t>
      </w:r>
      <w:r w:rsidR="00B07013">
        <w:t xml:space="preserve"> subjective categories</w:t>
      </w:r>
      <w:r w:rsidR="004C241A">
        <w:t>. The quotation below enc</w:t>
      </w:r>
      <w:r w:rsidR="00244461">
        <w:t>apsulates the</w:t>
      </w:r>
      <w:r w:rsidR="005B1909">
        <w:t xml:space="preserve"> respondents’</w:t>
      </w:r>
      <w:r w:rsidR="00244461">
        <w:t xml:space="preserve"> struggles </w:t>
      </w:r>
      <w:r w:rsidR="004C241A">
        <w:t>succinctly:</w:t>
      </w:r>
      <w:r w:rsidR="00B07013">
        <w:t xml:space="preserve">  </w:t>
      </w:r>
      <w:r w:rsidR="00307C5B">
        <w:t xml:space="preserve"> </w:t>
      </w:r>
    </w:p>
    <w:p w14:paraId="3F73B620" w14:textId="77777777" w:rsidR="00153858" w:rsidRDefault="00234680" w:rsidP="00DE0211">
      <w:pPr>
        <w:ind w:left="720"/>
      </w:pPr>
      <w:r>
        <w:lastRenderedPageBreak/>
        <w:t>None of the situations participants described in our pilot study fit</w:t>
      </w:r>
      <w:r w:rsidR="004C241A">
        <w:t xml:space="preserve"> </w:t>
      </w:r>
      <w:r>
        <w:t>typical examples of conflicts of interest involving pecuniary interests or nepotism;</w:t>
      </w:r>
      <w:r w:rsidR="004C241A">
        <w:t xml:space="preserve"> however…</w:t>
      </w:r>
      <w:r>
        <w:t xml:space="preserve"> participants’ experiences did involve a</w:t>
      </w:r>
      <w:r w:rsidR="004C241A">
        <w:t xml:space="preserve"> </w:t>
      </w:r>
      <w:r>
        <w:t>personal interest (such as job security, reputation, relationships, personal values or</w:t>
      </w:r>
      <w:r w:rsidR="004C241A">
        <w:t xml:space="preserve"> </w:t>
      </w:r>
      <w:r>
        <w:t>academic freedom)</w:t>
      </w:r>
      <w:r w:rsidR="002C1F3E">
        <w:rPr>
          <w:rStyle w:val="FootnoteReference"/>
        </w:rPr>
        <w:footnoteReference w:id="59"/>
      </w:r>
      <w:r>
        <w:t xml:space="preserve"> that (appeared to) conflict with a perceived professional duty (as</w:t>
      </w:r>
      <w:r w:rsidR="004C241A">
        <w:t xml:space="preserve"> </w:t>
      </w:r>
      <w:r>
        <w:t>identified by the bioethicist, her colleague, employer or peer); most cases also</w:t>
      </w:r>
      <w:r w:rsidR="004C241A">
        <w:t xml:space="preserve"> </w:t>
      </w:r>
      <w:r>
        <w:t>involved ‘‘in-role’’ conflicts between different duties or different clients the</w:t>
      </w:r>
      <w:r w:rsidR="004C241A">
        <w:t xml:space="preserve"> </w:t>
      </w:r>
      <w:r>
        <w:t>bioethicist serves.</w:t>
      </w:r>
      <w:r w:rsidR="00E01632">
        <w:rPr>
          <w:rStyle w:val="FootnoteReference"/>
        </w:rPr>
        <w:footnoteReference w:id="60"/>
      </w:r>
    </w:p>
    <w:p w14:paraId="10A7D803" w14:textId="77C79A34" w:rsidR="009263A7" w:rsidRDefault="00E01632" w:rsidP="00DE0211">
      <w:pPr>
        <w:ind w:left="720"/>
      </w:pPr>
      <w:r>
        <w:t xml:space="preserve"> </w:t>
      </w:r>
    </w:p>
    <w:p w14:paraId="1216B725" w14:textId="77777777" w:rsidR="000E2FFC" w:rsidRDefault="009263A7" w:rsidP="001966D0">
      <w:pPr>
        <w:spacing w:line="480" w:lineRule="auto"/>
        <w:ind w:firstLine="720"/>
      </w:pPr>
      <w:r>
        <w:t xml:space="preserve">The distinction between </w:t>
      </w:r>
      <w:r w:rsidR="00BC3F1F">
        <w:t>“</w:t>
      </w:r>
      <w:r>
        <w:t>in-role</w:t>
      </w:r>
      <w:r w:rsidR="00BC3F1F">
        <w:t>”</w:t>
      </w:r>
      <w:r>
        <w:t xml:space="preserve"> and </w:t>
      </w:r>
      <w:r w:rsidR="00BC3F1F">
        <w:t>“out of role” conflicts</w:t>
      </w:r>
      <w:r w:rsidR="00BF04D6">
        <w:t xml:space="preserve"> of interest</w:t>
      </w:r>
      <w:r w:rsidR="00BC3F1F">
        <w:t xml:space="preserve">, borrowed from </w:t>
      </w:r>
      <w:r w:rsidR="00244461">
        <w:t xml:space="preserve">political scientist and </w:t>
      </w:r>
      <w:r w:rsidR="00E045E0">
        <w:t xml:space="preserve">management professor </w:t>
      </w:r>
      <w:r w:rsidR="00BC3F1F">
        <w:t>Andrew Stark</w:t>
      </w:r>
      <w:r w:rsidR="008B64B1">
        <w:t>,</w:t>
      </w:r>
      <w:r w:rsidR="00E045E0">
        <w:t xml:space="preserve"> </w:t>
      </w:r>
      <w:r w:rsidR="008B64B1">
        <w:t xml:space="preserve">is </w:t>
      </w:r>
      <w:r w:rsidR="00183410">
        <w:t>a key component of</w:t>
      </w:r>
      <w:r w:rsidR="00E01632">
        <w:t xml:space="preserve"> Frolic and Chidwick’s</w:t>
      </w:r>
      <w:r w:rsidR="00740B06">
        <w:t xml:space="preserve"> effort</w:t>
      </w:r>
      <w:r w:rsidR="003A380D">
        <w:t>s</w:t>
      </w:r>
      <w:r w:rsidR="008B64B1">
        <w:t xml:space="preserve"> to</w:t>
      </w:r>
      <w:r w:rsidR="00183410">
        <w:t xml:space="preserve"> </w:t>
      </w:r>
      <w:r w:rsidR="008B64B1">
        <w:t xml:space="preserve">categorise </w:t>
      </w:r>
      <w:r w:rsidR="00834A6D">
        <w:t>and un</w:t>
      </w:r>
      <w:r w:rsidR="005B1909">
        <w:t xml:space="preserve">pack the sorts of </w:t>
      </w:r>
      <w:r w:rsidR="00834A6D">
        <w:t xml:space="preserve"> </w:t>
      </w:r>
      <w:r w:rsidR="008B64B1">
        <w:t xml:space="preserve">challenges faced by their respondents. </w:t>
      </w:r>
      <w:r w:rsidR="00F33783">
        <w:t xml:space="preserve">Briefly stated, an </w:t>
      </w:r>
      <w:r w:rsidR="00834A6D">
        <w:t>out</w:t>
      </w:r>
      <w:r w:rsidR="00E24EDA">
        <w:t>-</w:t>
      </w:r>
      <w:r w:rsidR="00834A6D">
        <w:t>of-</w:t>
      </w:r>
      <w:r w:rsidR="00E24EDA">
        <w:t xml:space="preserve">role COI </w:t>
      </w:r>
      <w:r w:rsidR="004A04D4">
        <w:t>is said to arise</w:t>
      </w:r>
      <w:r w:rsidR="00F33783">
        <w:t xml:space="preserve"> when</w:t>
      </w:r>
      <w:r w:rsidR="00834A6D">
        <w:t>ever</w:t>
      </w:r>
      <w:r w:rsidR="00F33783">
        <w:t xml:space="preserve"> a professional </w:t>
      </w:r>
      <w:r w:rsidR="00834A6D">
        <w:t>gives priority to</w:t>
      </w:r>
      <w:r w:rsidR="00F33783">
        <w:t xml:space="preserve"> interests origin</w:t>
      </w:r>
      <w:r w:rsidR="000E2FFC">
        <w:t>ating</w:t>
      </w:r>
      <w:r w:rsidR="00E24EDA">
        <w:t xml:space="preserve"> outside of </w:t>
      </w:r>
      <w:r w:rsidR="005A0220">
        <w:t>her</w:t>
      </w:r>
      <w:r w:rsidR="00E24EDA">
        <w:t xml:space="preserve"> primary or work-related </w:t>
      </w:r>
      <w:r w:rsidR="00834A6D">
        <w:t>responsibilities</w:t>
      </w:r>
      <w:r w:rsidR="00E24EDA">
        <w:t>.</w:t>
      </w:r>
      <w:r w:rsidR="00BF04D6">
        <w:t xml:space="preserve"> Citing Stark, Frolic and Chidwick not</w:t>
      </w:r>
      <w:r w:rsidR="00E24EDA">
        <w:t xml:space="preserve">e that the usage </w:t>
      </w:r>
      <w:r w:rsidR="005A0220" w:rsidRPr="005A0220">
        <w:t>encompasses</w:t>
      </w:r>
      <w:r w:rsidR="005A0220">
        <w:t xml:space="preserve"> </w:t>
      </w:r>
      <w:r w:rsidR="00E24EDA">
        <w:t>a multitude of possibilities including:</w:t>
      </w:r>
      <w:r w:rsidR="00244461">
        <w:t xml:space="preserve"> </w:t>
      </w:r>
      <w:r w:rsidR="00E24EDA">
        <w:t>‘‘influences, loyalties, concerns, emotions, predispositions, prejudgments, animuses, biases, affiliations, experiences, relationships, attachments, moral constraints, [and] ideological agendas.’’</w:t>
      </w:r>
      <w:r w:rsidR="00E24EDA">
        <w:rPr>
          <w:rStyle w:val="FootnoteReference"/>
        </w:rPr>
        <w:footnoteReference w:id="61"/>
      </w:r>
      <w:r w:rsidR="00502374">
        <w:t xml:space="preserve"> </w:t>
      </w:r>
      <w:r w:rsidR="00376561">
        <w:t>In-role</w:t>
      </w:r>
      <w:r w:rsidR="00834A6D">
        <w:t xml:space="preserve"> conflict</w:t>
      </w:r>
      <w:r w:rsidR="00376561">
        <w:t>s</w:t>
      </w:r>
      <w:r w:rsidR="00834A6D">
        <w:t xml:space="preserve"> of interest, on the other </w:t>
      </w:r>
      <w:r w:rsidR="00834A6D">
        <w:lastRenderedPageBreak/>
        <w:t>hand</w:t>
      </w:r>
      <w:r w:rsidR="00502374">
        <w:t>,</w:t>
      </w:r>
      <w:r w:rsidR="00834A6D">
        <w:t xml:space="preserve"> </w:t>
      </w:r>
      <w:r w:rsidR="00376561">
        <w:t>are</w:t>
      </w:r>
      <w:r w:rsidR="00491C01">
        <w:t xml:space="preserve"> </w:t>
      </w:r>
      <w:r w:rsidR="000E2FFC">
        <w:t xml:space="preserve">those fostered </w:t>
      </w:r>
      <w:r w:rsidR="00491C01">
        <w:t xml:space="preserve">by the </w:t>
      </w:r>
      <w:r w:rsidR="008C1FD6">
        <w:t xml:space="preserve">way that </w:t>
      </w:r>
      <w:r w:rsidR="00376561">
        <w:t>an actor’s professional responsibilities</w:t>
      </w:r>
      <w:r w:rsidR="008C1FD6">
        <w:t xml:space="preserve"> are structured</w:t>
      </w:r>
      <w:r w:rsidR="00376561">
        <w:t>.</w:t>
      </w:r>
      <w:r w:rsidR="006A03FE">
        <w:t xml:space="preserve"> They </w:t>
      </w:r>
      <w:r w:rsidR="00376561">
        <w:t xml:space="preserve">arise because the professional has “more than one </w:t>
      </w:r>
      <w:r w:rsidR="008C1E96">
        <w:t>role with respect to any given p</w:t>
      </w:r>
      <w:r w:rsidR="00376561">
        <w:t xml:space="preserve">rincipal” (a circumstance which </w:t>
      </w:r>
      <w:r w:rsidR="00AB472C">
        <w:t xml:space="preserve">incidentally </w:t>
      </w:r>
      <w:r w:rsidR="00376561">
        <w:t>may</w:t>
      </w:r>
      <w:r w:rsidR="006A03FE">
        <w:t xml:space="preserve"> </w:t>
      </w:r>
      <w:r w:rsidR="00376561">
        <w:t>be famil</w:t>
      </w:r>
      <w:r w:rsidR="00AB472C">
        <w:t xml:space="preserve">iar </w:t>
      </w:r>
      <w:r w:rsidR="00EF6740">
        <w:t xml:space="preserve">to healthcare workers </w:t>
      </w:r>
      <w:r w:rsidR="00AB472C">
        <w:t>from references to Stark</w:t>
      </w:r>
      <w:r w:rsidR="00376561">
        <w:t xml:space="preserve"> Law</w:t>
      </w:r>
      <w:r w:rsidR="00E216F5">
        <w:rPr>
          <w:rStyle w:val="FootnoteReference"/>
        </w:rPr>
        <w:footnoteReference w:id="62"/>
      </w:r>
      <w:r w:rsidR="00376561">
        <w:t xml:space="preserve"> governing </w:t>
      </w:r>
      <w:r w:rsidR="00AB472C">
        <w:t xml:space="preserve">physician </w:t>
      </w:r>
      <w:r w:rsidR="00376561">
        <w:t>self-referral</w:t>
      </w:r>
      <w:r w:rsidR="008C1E96">
        <w:t>), or because “the professional occupies the same role with respect to many</w:t>
      </w:r>
      <w:r w:rsidR="00AD6978">
        <w:t xml:space="preserve"> p</w:t>
      </w:r>
      <w:r w:rsidR="008C1E96">
        <w:t>rincipals.’’</w:t>
      </w:r>
      <w:r w:rsidR="00AD6978">
        <w:rPr>
          <w:rStyle w:val="FootnoteReference"/>
        </w:rPr>
        <w:footnoteReference w:id="63"/>
      </w:r>
    </w:p>
    <w:p w14:paraId="0C7CC7EF" w14:textId="77777777" w:rsidR="009C72C5" w:rsidRDefault="00BF04D6" w:rsidP="001966D0">
      <w:pPr>
        <w:spacing w:line="480" w:lineRule="auto"/>
        <w:ind w:firstLine="720"/>
      </w:pPr>
      <w:r>
        <w:t xml:space="preserve">It is important to note that </w:t>
      </w:r>
      <w:r w:rsidR="00740B06">
        <w:t>this</w:t>
      </w:r>
      <w:r>
        <w:t xml:space="preserve"> in-role and outside-of-role </w:t>
      </w:r>
      <w:r w:rsidR="00740B06">
        <w:t>conceptualisation</w:t>
      </w:r>
      <w:r>
        <w:t xml:space="preserve"> of COI, </w:t>
      </w:r>
      <w:r w:rsidR="00740B06">
        <w:t>is</w:t>
      </w:r>
      <w:r>
        <w:t xml:space="preserve"> not </w:t>
      </w:r>
      <w:r w:rsidR="00502374">
        <w:t xml:space="preserve">uncontroversial. Although </w:t>
      </w:r>
      <w:r w:rsidR="00874433">
        <w:t xml:space="preserve">in-role or </w:t>
      </w:r>
      <w:r w:rsidR="00502374">
        <w:t>structural</w:t>
      </w:r>
      <w:r w:rsidR="000E2FFC">
        <w:t xml:space="preserve"> challenges to the effective performance of the role are important ones</w:t>
      </w:r>
      <w:r>
        <w:t>,</w:t>
      </w:r>
      <w:r w:rsidR="000E2FFC">
        <w:t xml:space="preserve"> it is not self-evident</w:t>
      </w:r>
      <w:r w:rsidR="00F700C0">
        <w:t xml:space="preserve"> that </w:t>
      </w:r>
      <w:r w:rsidR="005A0220">
        <w:t>it is always</w:t>
      </w:r>
      <w:r w:rsidR="009003C2">
        <w:t xml:space="preserve"> helpful to categorise them</w:t>
      </w:r>
      <w:r w:rsidR="00F700C0">
        <w:t xml:space="preserve"> as </w:t>
      </w:r>
      <w:r w:rsidR="00C071C6">
        <w:t xml:space="preserve">a </w:t>
      </w:r>
      <w:r w:rsidR="00F700C0">
        <w:t>s</w:t>
      </w:r>
      <w:r w:rsidR="00530293">
        <w:t>pecies of conflict of interest</w:t>
      </w:r>
      <w:r w:rsidR="00874433">
        <w:t xml:space="preserve"> at all</w:t>
      </w:r>
      <w:r w:rsidR="009E7208">
        <w:t>. Furthermore, w</w:t>
      </w:r>
      <w:r w:rsidR="009E3A33">
        <w:t>hat Stark describes</w:t>
      </w:r>
      <w:r w:rsidR="006A03FE">
        <w:t xml:space="preserve"> as outside-of-</w:t>
      </w:r>
      <w:r w:rsidR="009E3A33">
        <w:t>ro</w:t>
      </w:r>
      <w:r w:rsidR="00502374">
        <w:t>le conflicts of interest</w:t>
      </w:r>
      <w:r w:rsidR="00C071C6">
        <w:t xml:space="preserve"> might be described </w:t>
      </w:r>
      <w:r w:rsidR="00502374">
        <w:t>instead</w:t>
      </w:r>
      <w:r w:rsidR="00C071C6">
        <w:t xml:space="preserve"> as a list of interests – some of which threaten independent </w:t>
      </w:r>
      <w:r w:rsidR="006A03FE">
        <w:t>judgement</w:t>
      </w:r>
      <w:r w:rsidR="00837B73">
        <w:t xml:space="preserve"> (standard</w:t>
      </w:r>
      <w:r w:rsidR="005B000C">
        <w:t xml:space="preserve"> conflicts of interest) </w:t>
      </w:r>
      <w:r w:rsidR="00C071C6">
        <w:t xml:space="preserve">and some </w:t>
      </w:r>
      <w:r w:rsidR="00502374">
        <w:t xml:space="preserve">of which </w:t>
      </w:r>
      <w:r w:rsidR="00C071C6">
        <w:t>do no</w:t>
      </w:r>
      <w:r w:rsidR="005B000C">
        <w:t>t (</w:t>
      </w:r>
      <w:r w:rsidR="007E599A">
        <w:t xml:space="preserve">which we might call simple </w:t>
      </w:r>
      <w:r w:rsidR="005B000C">
        <w:t>interests)</w:t>
      </w:r>
      <w:r w:rsidR="00C071C6">
        <w:t>. His two types of inside-of-role conflicts of</w:t>
      </w:r>
      <w:r w:rsidR="008C1FD6">
        <w:t xml:space="preserve"> interest, moreover</w:t>
      </w:r>
      <w:r w:rsidR="00C071C6">
        <w:t xml:space="preserve">, appear to point to </w:t>
      </w:r>
      <w:r w:rsidR="006A03FE">
        <w:t xml:space="preserve">different problem; that is, is </w:t>
      </w:r>
      <w:r w:rsidR="005B000C">
        <w:t>a pervasive</w:t>
      </w:r>
      <w:r w:rsidR="006A03FE">
        <w:t xml:space="preserve"> and troubling uncertainty</w:t>
      </w:r>
      <w:r w:rsidR="00C071C6">
        <w:t xml:space="preserve"> about the nature and boundaries of the role itself. </w:t>
      </w:r>
      <w:r w:rsidR="00803CC8">
        <w:t xml:space="preserve">Each of these </w:t>
      </w:r>
      <w:r w:rsidR="006A03FE">
        <w:t xml:space="preserve">issues </w:t>
      </w:r>
      <w:r w:rsidR="00803CC8">
        <w:t xml:space="preserve">is worthy of </w:t>
      </w:r>
      <w:r w:rsidR="006A03FE">
        <w:t xml:space="preserve">considerable </w:t>
      </w:r>
      <w:r w:rsidR="00B8609D">
        <w:t xml:space="preserve">and separate </w:t>
      </w:r>
      <w:r w:rsidR="00803CC8">
        <w:t>attention. Although Frolic and Chidwick</w:t>
      </w:r>
      <w:r w:rsidR="00D23F74">
        <w:t>’s investigation</w:t>
      </w:r>
      <w:r w:rsidR="00803CC8">
        <w:t xml:space="preserve"> endeavoured to uncover something important about </w:t>
      </w:r>
      <w:r w:rsidR="009003C2">
        <w:lastRenderedPageBreak/>
        <w:t xml:space="preserve">practicing </w:t>
      </w:r>
      <w:r w:rsidR="00803CC8">
        <w:t>ethicists’ experiences of COI in Canada</w:t>
      </w:r>
      <w:r w:rsidR="00F0473E">
        <w:t>,</w:t>
      </w:r>
      <w:r w:rsidR="00803CC8">
        <w:t xml:space="preserve"> their definition</w:t>
      </w:r>
      <w:r w:rsidR="00595DAC">
        <w:t>al</w:t>
      </w:r>
      <w:r w:rsidR="00803CC8">
        <w:t xml:space="preserve"> ecumenicalism </w:t>
      </w:r>
      <w:r w:rsidR="00B8609D">
        <w:t xml:space="preserve">appears to have yielded </w:t>
      </w:r>
      <w:r w:rsidR="00803CC8">
        <w:t>different</w:t>
      </w:r>
      <w:r w:rsidR="007E599A">
        <w:t xml:space="preserve"> </w:t>
      </w:r>
      <w:r w:rsidR="00803CC8">
        <w:t>yet equally consequential</w:t>
      </w:r>
      <w:r w:rsidR="00595DAC">
        <w:t xml:space="preserve"> discoverie</w:t>
      </w:r>
      <w:r w:rsidR="00595DAC" w:rsidRPr="00595DAC">
        <w:t>s</w:t>
      </w:r>
      <w:r w:rsidR="00803CC8">
        <w:t>.</w:t>
      </w:r>
      <w:r w:rsidR="009C72C5">
        <w:t xml:space="preserve"> A </w:t>
      </w:r>
      <w:r w:rsidR="00595DAC">
        <w:t xml:space="preserve">direct engagement with </w:t>
      </w:r>
      <w:r w:rsidR="00F0473E">
        <w:t>their incidental finding</w:t>
      </w:r>
      <w:r w:rsidR="00595DAC">
        <w:t>s</w:t>
      </w:r>
      <w:r w:rsidR="009C72C5">
        <w:t xml:space="preserve"> will need to be deferred, however,</w:t>
      </w:r>
      <w:r w:rsidR="002D4971">
        <w:t xml:space="preserve"> </w:t>
      </w:r>
      <w:r w:rsidR="00531F2F">
        <w:t>to permit</w:t>
      </w:r>
      <w:r w:rsidR="002D4971">
        <w:t xml:space="preserve"> a brief digression into some</w:t>
      </w:r>
      <w:r w:rsidR="009C72C5">
        <w:t xml:space="preserve"> problems </w:t>
      </w:r>
      <w:r w:rsidR="002D4971">
        <w:t xml:space="preserve">associated </w:t>
      </w:r>
      <w:r w:rsidR="009C72C5">
        <w:t>with the study participants’ naturalistic conception</w:t>
      </w:r>
      <w:r w:rsidR="00C30B71">
        <w:t>s</w:t>
      </w:r>
      <w:r w:rsidR="009C72C5">
        <w:t xml:space="preserve"> of conflict of interest.</w:t>
      </w:r>
      <w:r w:rsidR="00C6030A">
        <w:rPr>
          <w:rStyle w:val="FootnoteReference"/>
        </w:rPr>
        <w:footnoteReference w:id="64"/>
      </w:r>
    </w:p>
    <w:p w14:paraId="2A0EC5DC" w14:textId="77777777" w:rsidR="0096138F" w:rsidRDefault="0096138F" w:rsidP="001966D0">
      <w:pPr>
        <w:spacing w:line="480" w:lineRule="auto"/>
        <w:ind w:firstLine="720"/>
      </w:pPr>
    </w:p>
    <w:p w14:paraId="13C95EF1" w14:textId="77777777" w:rsidR="00C6030A" w:rsidRPr="00C6030A" w:rsidRDefault="009C72C5" w:rsidP="000E2FFC">
      <w:pPr>
        <w:spacing w:line="480" w:lineRule="auto"/>
        <w:rPr>
          <w:i/>
        </w:rPr>
      </w:pPr>
      <w:r w:rsidRPr="00C6030A">
        <w:rPr>
          <w:i/>
        </w:rPr>
        <w:t>Outside</w:t>
      </w:r>
      <w:r w:rsidR="00C6030A">
        <w:rPr>
          <w:i/>
        </w:rPr>
        <w:t xml:space="preserve"> interference: </w:t>
      </w:r>
      <w:r w:rsidR="005744D7">
        <w:rPr>
          <w:i/>
        </w:rPr>
        <w:t>L</w:t>
      </w:r>
      <w:r w:rsidR="00C6030A" w:rsidRPr="00C6030A">
        <w:rPr>
          <w:i/>
        </w:rPr>
        <w:t>aundry</w:t>
      </w:r>
      <w:r w:rsidR="00F75CD0">
        <w:rPr>
          <w:i/>
        </w:rPr>
        <w:t xml:space="preserve"> </w:t>
      </w:r>
      <w:r w:rsidR="005744D7">
        <w:rPr>
          <w:i/>
        </w:rPr>
        <w:t xml:space="preserve">lists </w:t>
      </w:r>
      <w:r w:rsidR="00F75CD0">
        <w:rPr>
          <w:i/>
        </w:rPr>
        <w:t xml:space="preserve">and </w:t>
      </w:r>
      <w:r w:rsidR="005F1263">
        <w:rPr>
          <w:i/>
        </w:rPr>
        <w:t xml:space="preserve">the efficacy of </w:t>
      </w:r>
      <w:r w:rsidR="00F75CD0">
        <w:rPr>
          <w:i/>
        </w:rPr>
        <w:t>efforts to come clean</w:t>
      </w:r>
    </w:p>
    <w:p w14:paraId="2F4C0B1C" w14:textId="77777777" w:rsidR="00595DAC" w:rsidRDefault="009C72C5" w:rsidP="000E2FFC">
      <w:pPr>
        <w:spacing w:line="480" w:lineRule="auto"/>
      </w:pPr>
      <w:r>
        <w:t xml:space="preserve"> </w:t>
      </w:r>
      <w:r w:rsidR="001966D0">
        <w:tab/>
      </w:r>
      <w:r w:rsidR="00C6030A">
        <w:t>One of the contributions that the social scientific literature, and</w:t>
      </w:r>
      <w:r w:rsidR="002D4971">
        <w:t xml:space="preserve"> especially the feminist branch </w:t>
      </w:r>
      <w:r w:rsidR="00C6030A">
        <w:t>of that literature, has made</w:t>
      </w:r>
      <w:r w:rsidR="00F75CD0">
        <w:t xml:space="preserve"> to our understanding of </w:t>
      </w:r>
      <w:r w:rsidR="00F0473E">
        <w:t xml:space="preserve">the scientific enterprise </w:t>
      </w:r>
      <w:r w:rsidR="00C6030A">
        <w:t>is the insight that</w:t>
      </w:r>
      <w:r w:rsidR="007E599A">
        <w:t>,</w:t>
      </w:r>
      <w:r w:rsidR="00C6030A">
        <w:t xml:space="preserve"> </w:t>
      </w:r>
      <w:r w:rsidR="00F97104">
        <w:t xml:space="preserve">despite </w:t>
      </w:r>
      <w:r w:rsidR="002D4971">
        <w:t>many</w:t>
      </w:r>
      <w:r w:rsidR="00595DAC">
        <w:t xml:space="preserve"> </w:t>
      </w:r>
      <w:r w:rsidR="00A9204C">
        <w:t xml:space="preserve">scientists’ claims </w:t>
      </w:r>
      <w:r w:rsidR="00595DAC">
        <w:t xml:space="preserve">to the contrary, </w:t>
      </w:r>
      <w:r w:rsidR="00F75CD0">
        <w:t xml:space="preserve">there is no </w:t>
      </w:r>
      <w:r w:rsidR="00047507">
        <w:t>value-</w:t>
      </w:r>
      <w:r w:rsidR="00F75CD0">
        <w:t xml:space="preserve">neutral way </w:t>
      </w:r>
      <w:r w:rsidR="008C1FD6">
        <w:t xml:space="preserve">of understanding or describing </w:t>
      </w:r>
      <w:r w:rsidR="00F75CD0">
        <w:t>the world.</w:t>
      </w:r>
      <w:r w:rsidR="00C6030A">
        <w:t xml:space="preserve"> </w:t>
      </w:r>
      <w:r w:rsidR="00F97104">
        <w:t xml:space="preserve">As Lisa Bero and Quinn Grundy </w:t>
      </w:r>
      <w:r w:rsidR="00A9204C">
        <w:t>have observed</w:t>
      </w:r>
      <w:r w:rsidR="004046C8">
        <w:t xml:space="preserve"> in a recent article titled “Why having a (nonfinancial) interest is not a conflict of interest,” </w:t>
      </w:r>
      <w:r w:rsidR="00726680">
        <w:t xml:space="preserve">some </w:t>
      </w:r>
      <w:r w:rsidR="00C45706">
        <w:t xml:space="preserve">uneasiness </w:t>
      </w:r>
      <w:r w:rsidR="004046C8">
        <w:t xml:space="preserve">about </w:t>
      </w:r>
      <w:r w:rsidR="008C1FD6">
        <w:t>‘</w:t>
      </w:r>
      <w:r w:rsidR="004046C8">
        <w:t>nonfinancial</w:t>
      </w:r>
      <w:r w:rsidR="00241540">
        <w:t xml:space="preserve"> </w:t>
      </w:r>
      <w:r w:rsidR="00726680">
        <w:t>i</w:t>
      </w:r>
      <w:r w:rsidR="00A9204C">
        <w:t>nterests</w:t>
      </w:r>
      <w:r w:rsidR="00241540">
        <w:t>’</w:t>
      </w:r>
      <w:r w:rsidR="00726680">
        <w:t xml:space="preserve"> can be attributed to </w:t>
      </w:r>
      <w:r w:rsidR="007E599A">
        <w:t>a</w:t>
      </w:r>
      <w:r w:rsidR="00A9204C">
        <w:t xml:space="preserve"> </w:t>
      </w:r>
      <w:r w:rsidR="00726680">
        <w:t>“</w:t>
      </w:r>
      <w:r w:rsidR="00A9204C">
        <w:t>growing recognition that the social context in which research is con</w:t>
      </w:r>
      <w:r w:rsidR="00726680">
        <w:t xml:space="preserve">ducted will impact the research </w:t>
      </w:r>
      <w:r w:rsidR="00F82342">
        <w:t>questions that are asked, the studies that are funded, the research outcomes, their dissemination, and their interpretation</w:t>
      </w:r>
      <w:r w:rsidR="00726680">
        <w:t xml:space="preserve">.” Against the naïve </w:t>
      </w:r>
      <w:r w:rsidR="00DF203E">
        <w:t xml:space="preserve">belief </w:t>
      </w:r>
      <w:r w:rsidR="00726680">
        <w:t xml:space="preserve">that scientists </w:t>
      </w:r>
      <w:r w:rsidR="00DF203E">
        <w:t xml:space="preserve">approach all aspects of their inquiries with </w:t>
      </w:r>
      <w:r w:rsidR="00AE5975">
        <w:t xml:space="preserve">a </w:t>
      </w:r>
      <w:r w:rsidR="00DF203E">
        <w:t xml:space="preserve">neutral detachment they </w:t>
      </w:r>
      <w:r w:rsidR="005B1909">
        <w:t>endorse</w:t>
      </w:r>
      <w:r w:rsidR="009E7208">
        <w:t xml:space="preserve"> </w:t>
      </w:r>
      <w:r w:rsidR="00DF203E">
        <w:t xml:space="preserve">the </w:t>
      </w:r>
      <w:r w:rsidR="00617199">
        <w:lastRenderedPageBreak/>
        <w:t xml:space="preserve">more complex </w:t>
      </w:r>
      <w:r w:rsidR="00DF203E">
        <w:t>view that “</w:t>
      </w:r>
      <w:r w:rsidR="00F82342">
        <w:t>social values, interpretation, and theoretical commitments are essential parts of research at every phase.”</w:t>
      </w:r>
      <w:r w:rsidR="00F82342">
        <w:rPr>
          <w:rStyle w:val="FootnoteReference"/>
        </w:rPr>
        <w:footnoteReference w:id="65"/>
      </w:r>
      <w:r w:rsidR="00C6030A">
        <w:t xml:space="preserve"> </w:t>
      </w:r>
    </w:p>
    <w:p w14:paraId="1352F68F" w14:textId="77777777" w:rsidR="006342D0" w:rsidRDefault="008159B7" w:rsidP="00301EF2">
      <w:pPr>
        <w:spacing w:line="480" w:lineRule="auto"/>
        <w:ind w:firstLine="720"/>
      </w:pPr>
      <w:r>
        <w:t xml:space="preserve">Journal editors and funding agencies have </w:t>
      </w:r>
      <w:r w:rsidR="00047507">
        <w:t xml:space="preserve">also </w:t>
      </w:r>
      <w:r w:rsidR="00C30B71">
        <w:t>embraced</w:t>
      </w:r>
      <w:r w:rsidR="005D7ED2">
        <w:t xml:space="preserve"> this insight</w:t>
      </w:r>
      <w:r>
        <w:t xml:space="preserve"> </w:t>
      </w:r>
      <w:r w:rsidR="005D7ED2">
        <w:t xml:space="preserve">over the past few years </w:t>
      </w:r>
      <w:r>
        <w:t xml:space="preserve">and the effort to control for </w:t>
      </w:r>
      <w:r w:rsidR="00531F2F">
        <w:t xml:space="preserve">the influence of </w:t>
      </w:r>
      <w:r w:rsidR="005744D7">
        <w:t xml:space="preserve">so-called </w:t>
      </w:r>
      <w:r>
        <w:t xml:space="preserve">nonfinancial conflicts of interest has led </w:t>
      </w:r>
      <w:r w:rsidR="00974E46">
        <w:t xml:space="preserve">many </w:t>
      </w:r>
      <w:r w:rsidR="002D4971">
        <w:t>of them</w:t>
      </w:r>
      <w:r>
        <w:t xml:space="preserve"> to </w:t>
      </w:r>
      <w:r w:rsidR="00E8367B">
        <w:t xml:space="preserve">mandate </w:t>
      </w:r>
      <w:r>
        <w:t>disclos</w:t>
      </w:r>
      <w:r w:rsidR="005744D7">
        <w:t>ure of an increasingly long inventory</w:t>
      </w:r>
      <w:r>
        <w:t>,</w:t>
      </w:r>
      <w:r w:rsidR="004C69A5">
        <w:t xml:space="preserve"> what </w:t>
      </w:r>
      <w:r w:rsidR="005744D7">
        <w:t xml:space="preserve">some </w:t>
      </w:r>
      <w:r w:rsidR="004C69A5">
        <w:t>observers have</w:t>
      </w:r>
      <w:r w:rsidR="00890FD5">
        <w:t xml:space="preserve"> </w:t>
      </w:r>
      <w:r w:rsidR="000A4729">
        <w:t xml:space="preserve">derisively </w:t>
      </w:r>
      <w:r w:rsidR="00890FD5">
        <w:t>dub</w:t>
      </w:r>
      <w:r w:rsidR="004C69A5">
        <w:t>bed a ‘</w:t>
      </w:r>
      <w:r w:rsidR="00890FD5">
        <w:t>laundry list,</w:t>
      </w:r>
      <w:r w:rsidR="004C69A5">
        <w:t>’</w:t>
      </w:r>
      <w:r w:rsidR="000A4729">
        <w:t xml:space="preserve"> of </w:t>
      </w:r>
      <w:r w:rsidR="005B1909">
        <w:t>the many</w:t>
      </w:r>
      <w:r w:rsidR="00301EF2">
        <w:t xml:space="preserve"> sorts of</w:t>
      </w:r>
      <w:r w:rsidR="005B1909">
        <w:t xml:space="preserve"> </w:t>
      </w:r>
      <w:r w:rsidR="000A4729">
        <w:t xml:space="preserve">interests that </w:t>
      </w:r>
      <w:r w:rsidR="00890FD5">
        <w:t>researcher</w:t>
      </w:r>
      <w:r w:rsidR="000A4729">
        <w:t>s</w:t>
      </w:r>
      <w:r w:rsidR="00890FD5">
        <w:t xml:space="preserve"> </w:t>
      </w:r>
      <w:r w:rsidR="000A4729">
        <w:t>may possess</w:t>
      </w:r>
      <w:r w:rsidR="00974E46">
        <w:t xml:space="preserve">. </w:t>
      </w:r>
      <w:r w:rsidR="006A0F9F">
        <w:t>Bero and Grundy</w:t>
      </w:r>
      <w:r w:rsidR="00974E46">
        <w:t xml:space="preserve"> </w:t>
      </w:r>
      <w:r w:rsidR="006A0F9F">
        <w:t xml:space="preserve">note that a </w:t>
      </w:r>
      <w:r w:rsidR="00974E46">
        <w:t xml:space="preserve">study </w:t>
      </w:r>
      <w:r w:rsidR="000721F5">
        <w:t xml:space="preserve">published </w:t>
      </w:r>
      <w:r w:rsidR="005B1909">
        <w:t>in 2016</w:t>
      </w:r>
      <w:r w:rsidR="000721F5">
        <w:t xml:space="preserve"> </w:t>
      </w:r>
      <w:r w:rsidR="005744D7">
        <w:t>by K</w:t>
      </w:r>
      <w:r w:rsidR="00D23F74">
        <w:t>haled</w:t>
      </w:r>
      <w:r w:rsidR="005744D7">
        <w:t xml:space="preserve"> Shawwa </w:t>
      </w:r>
      <w:r w:rsidR="005744D7" w:rsidRPr="00C45706">
        <w:rPr>
          <w:i/>
        </w:rPr>
        <w:t>et</w:t>
      </w:r>
      <w:r w:rsidR="00974E46" w:rsidRPr="00C45706">
        <w:rPr>
          <w:i/>
        </w:rPr>
        <w:t xml:space="preserve"> al</w:t>
      </w:r>
      <w:r w:rsidR="00974E46">
        <w:t xml:space="preserve">, </w:t>
      </w:r>
      <w:r w:rsidR="00875513">
        <w:t>revealed</w:t>
      </w:r>
      <w:r w:rsidR="000721F5">
        <w:t xml:space="preserve"> </w:t>
      </w:r>
      <w:r w:rsidR="00F54313">
        <w:t>“</w:t>
      </w:r>
      <w:r w:rsidR="000721F5">
        <w:t xml:space="preserve">that </w:t>
      </w:r>
      <w:r w:rsidR="00F54313">
        <w:t xml:space="preserve">57% of </w:t>
      </w:r>
      <w:r w:rsidR="000721F5">
        <w:t xml:space="preserve">the </w:t>
      </w:r>
      <w:r w:rsidR="00F54313">
        <w:t xml:space="preserve">National Library of Medicine’s core clinical journals required </w:t>
      </w:r>
      <w:r w:rsidR="00C45706">
        <w:t xml:space="preserve">disclosure of </w:t>
      </w:r>
      <w:r w:rsidR="00F54313">
        <w:t xml:space="preserve">at least </w:t>
      </w:r>
      <w:r w:rsidR="004C69A5">
        <w:t>one form of non-financial conflict of interest.”</w:t>
      </w:r>
      <w:r w:rsidR="008354A2">
        <w:rPr>
          <w:rStyle w:val="FootnoteReference"/>
        </w:rPr>
        <w:footnoteReference w:id="66"/>
      </w:r>
      <w:r w:rsidR="004C69A5">
        <w:t xml:space="preserve"> </w:t>
      </w:r>
      <w:r w:rsidR="000A4729">
        <w:t xml:space="preserve">This is a significant development because the National Library of Medicine, which is maintained by the </w:t>
      </w:r>
      <w:r w:rsidR="009B79C7">
        <w:t xml:space="preserve">(U.S.) </w:t>
      </w:r>
      <w:r w:rsidR="000A4729">
        <w:t xml:space="preserve">National Institute of Health, is the world’s largest repository of biomedical information. </w:t>
      </w:r>
      <w:r w:rsidR="00E8367B" w:rsidRPr="00E8367B">
        <w:t xml:space="preserve">Another study, published by Xavier Bosch </w:t>
      </w:r>
      <w:r w:rsidR="00E8367B" w:rsidRPr="006342D0">
        <w:rPr>
          <w:i/>
        </w:rPr>
        <w:t>et al</w:t>
      </w:r>
      <w:r w:rsidR="00E8367B" w:rsidRPr="00E8367B">
        <w:t xml:space="preserve">, in </w:t>
      </w:r>
      <w:r w:rsidR="00E8367B" w:rsidRPr="00E8367B">
        <w:rPr>
          <w:i/>
        </w:rPr>
        <w:t>The European Journal of Investigation</w:t>
      </w:r>
      <w:r w:rsidR="00E8367B" w:rsidRPr="00E8367B">
        <w:t xml:space="preserve"> reported that </w:t>
      </w:r>
      <w:r w:rsidR="00881865">
        <w:t>their review</w:t>
      </w:r>
      <w:r w:rsidR="00E8367B" w:rsidRPr="00E8367B">
        <w:t xml:space="preserve"> of 399 high impact biomedical journals revealed th</w:t>
      </w:r>
      <w:r w:rsidR="007E1DB3">
        <w:t xml:space="preserve">at 70.2% </w:t>
      </w:r>
      <w:r w:rsidR="00A04EDB">
        <w:t xml:space="preserve">of the journals’ editors </w:t>
      </w:r>
      <w:r w:rsidR="007E1DB3">
        <w:t xml:space="preserve">required nonfinancial conflict of interest </w:t>
      </w:r>
      <w:r w:rsidR="00E8367B" w:rsidRPr="00E8367B">
        <w:t>disclosures. The</w:t>
      </w:r>
      <w:r w:rsidR="00E8367B">
        <w:t>se</w:t>
      </w:r>
      <w:r w:rsidR="00E8367B" w:rsidRPr="00E8367B">
        <w:t xml:space="preserve"> authors note</w:t>
      </w:r>
      <w:r w:rsidR="00E8367B">
        <w:t>d</w:t>
      </w:r>
      <w:r w:rsidR="00E8367B" w:rsidRPr="00E8367B">
        <w:t xml:space="preserve"> that “[n]onfinancial COI, </w:t>
      </w:r>
      <w:r w:rsidR="00DA7889">
        <w:t>sometimes</w:t>
      </w:r>
      <w:r w:rsidR="00E8367B" w:rsidRPr="00E8367B">
        <w:t xml:space="preserve"> called ‘private interests’, may be of a political, academic, personal, ideological or even religious nature, and are therefore </w:t>
      </w:r>
      <w:r w:rsidR="00E8367B" w:rsidRPr="00E8367B">
        <w:lastRenderedPageBreak/>
        <w:t>notoriously difficult to define.”</w:t>
      </w:r>
      <w:r w:rsidR="00E8367B">
        <w:rPr>
          <w:rStyle w:val="FootnoteReference"/>
        </w:rPr>
        <w:footnoteReference w:id="67"/>
      </w:r>
      <w:r w:rsidR="00E8367B" w:rsidRPr="00E8367B">
        <w:t xml:space="preserve"> </w:t>
      </w:r>
      <w:r w:rsidR="00FE023A">
        <w:t xml:space="preserve">Helpfully, the Shawwa study enumerated the </w:t>
      </w:r>
      <w:r w:rsidR="002F3AE7">
        <w:t xml:space="preserve">kinds of wide-ranging non-financial </w:t>
      </w:r>
      <w:r w:rsidR="004C69A5">
        <w:t>interests that</w:t>
      </w:r>
      <w:r w:rsidR="00875513">
        <w:t xml:space="preserve"> </w:t>
      </w:r>
      <w:r w:rsidR="004C69A5">
        <w:t>editors</w:t>
      </w:r>
      <w:r w:rsidR="009E311A">
        <w:t xml:space="preserve"> </w:t>
      </w:r>
      <w:r w:rsidR="00C45706">
        <w:t xml:space="preserve">took to be </w:t>
      </w:r>
      <w:r w:rsidR="002F3AE7">
        <w:t xml:space="preserve">worth declaring. </w:t>
      </w:r>
      <w:r w:rsidR="002F3AE7" w:rsidRPr="002F3AE7">
        <w:t xml:space="preserve">Bero and Grundy </w:t>
      </w:r>
      <w:r w:rsidR="002F3AE7">
        <w:t xml:space="preserve">have </w:t>
      </w:r>
      <w:r w:rsidR="004C69A5">
        <w:t xml:space="preserve">captured </w:t>
      </w:r>
      <w:r w:rsidR="002F3AE7">
        <w:t xml:space="preserve">them </w:t>
      </w:r>
      <w:r w:rsidR="004C69A5">
        <w:t xml:space="preserve">in a convenient table </w:t>
      </w:r>
      <w:r w:rsidR="002F3AE7">
        <w:t xml:space="preserve">that has been </w:t>
      </w:r>
      <w:r w:rsidR="004C69A5">
        <w:t>reproduced below:</w:t>
      </w:r>
    </w:p>
    <w:p w14:paraId="70C98711" w14:textId="77777777" w:rsidR="004C69A5" w:rsidRPr="000D23F7" w:rsidRDefault="004C69A5" w:rsidP="000E2FFC">
      <w:pPr>
        <w:spacing w:line="480" w:lineRule="auto"/>
        <w:rPr>
          <w:b/>
        </w:rPr>
      </w:pPr>
      <w:r>
        <w:t xml:space="preserve"> </w:t>
      </w:r>
      <w:r w:rsidRPr="000D23F7">
        <w:rPr>
          <w:b/>
        </w:rPr>
        <w:t>Box 1. Examples of Interests in Biomedical Research</w:t>
      </w:r>
    </w:p>
    <w:p w14:paraId="7E4F7D13" w14:textId="77777777" w:rsidR="004C69A5" w:rsidRDefault="004C69A5" w:rsidP="000D23F7">
      <w:r>
        <w:t>Personal, religious, or political beliefs</w:t>
      </w:r>
    </w:p>
    <w:p w14:paraId="4A7E434E" w14:textId="77777777" w:rsidR="004C69A5" w:rsidRDefault="004C69A5" w:rsidP="000D23F7">
      <w:r>
        <w:t>Personal experiences</w:t>
      </w:r>
    </w:p>
    <w:p w14:paraId="68E8D57C" w14:textId="77777777" w:rsidR="008354A2" w:rsidRDefault="008354A2" w:rsidP="000D23F7">
      <w:r>
        <w:t>Advocacy or policy positions of the researcher or organization with which they are affiliated</w:t>
      </w:r>
    </w:p>
    <w:p w14:paraId="4752E132" w14:textId="77777777" w:rsidR="008354A2" w:rsidRDefault="008354A2" w:rsidP="000D23F7">
      <w:r>
        <w:t>Intellectual, theoretical, or school of thought commitments</w:t>
      </w:r>
    </w:p>
    <w:p w14:paraId="51960B43" w14:textId="77777777" w:rsidR="008354A2" w:rsidRDefault="008354A2" w:rsidP="000D23F7">
      <w:r>
        <w:t>Type of training; professional or academic education</w:t>
      </w:r>
    </w:p>
    <w:p w14:paraId="043AE9DA" w14:textId="77777777" w:rsidR="008354A2" w:rsidRDefault="008354A2" w:rsidP="000D23F7">
      <w:r>
        <w:t>Profession or discipline</w:t>
      </w:r>
    </w:p>
    <w:p w14:paraId="632A01DF" w14:textId="77777777" w:rsidR="008354A2" w:rsidRDefault="008354A2" w:rsidP="000D23F7">
      <w:r>
        <w:t>Academic competition or rivalry</w:t>
      </w:r>
    </w:p>
    <w:p w14:paraId="5D96B242" w14:textId="77777777" w:rsidR="008354A2" w:rsidRDefault="008354A2" w:rsidP="000D23F7">
      <w:r>
        <w:t>Career advancement or promotion</w:t>
      </w:r>
    </w:p>
    <w:p w14:paraId="79417D8B" w14:textId="77777777" w:rsidR="008354A2" w:rsidRDefault="008354A2" w:rsidP="000D23F7">
      <w:r>
        <w:t>Glory seeking or desire for fame</w:t>
      </w:r>
    </w:p>
    <w:p w14:paraId="607A2917" w14:textId="77777777" w:rsidR="008354A2" w:rsidRDefault="008354A2" w:rsidP="000D23F7">
      <w:r>
        <w:t>Dominant researcher in an area of research</w:t>
      </w:r>
    </w:p>
    <w:p w14:paraId="49875143" w14:textId="77777777" w:rsidR="008354A2" w:rsidRDefault="008354A2" w:rsidP="000D23F7">
      <w:r>
        <w:t>Personal experience with subject of research</w:t>
      </w:r>
    </w:p>
    <w:p w14:paraId="6745657B" w14:textId="77777777" w:rsidR="008354A2" w:rsidRDefault="008354A2" w:rsidP="000D23F7">
      <w:r>
        <w:t>Personal relationship with someone who has the disease or condition under study</w:t>
      </w:r>
    </w:p>
    <w:p w14:paraId="6C532055" w14:textId="77777777" w:rsidR="008354A2" w:rsidRDefault="008354A2" w:rsidP="000D23F7">
      <w:r>
        <w:t>Role as investigator on study included in a systematic review</w:t>
      </w:r>
    </w:p>
    <w:p w14:paraId="4C0C585C" w14:textId="77777777" w:rsidR="008354A2" w:rsidRDefault="008354A2" w:rsidP="000D23F7">
      <w:r>
        <w:t>Published opinion essay or commentary on topic of research</w:t>
      </w:r>
    </w:p>
    <w:p w14:paraId="10A6A874" w14:textId="77777777" w:rsidR="009E3A33" w:rsidRDefault="008354A2" w:rsidP="000D23F7">
      <w:r>
        <w:t>Institutional affiliation or academic associations</w:t>
      </w:r>
      <w:r w:rsidR="007E1DB3">
        <w:rPr>
          <w:rStyle w:val="FootnoteReference"/>
        </w:rPr>
        <w:footnoteReference w:id="68"/>
      </w:r>
      <w:r>
        <w:t xml:space="preserve">  </w:t>
      </w:r>
      <w:r w:rsidR="004C69A5">
        <w:t xml:space="preserve">  </w:t>
      </w:r>
      <w:r w:rsidR="000721F5">
        <w:t xml:space="preserve"> </w:t>
      </w:r>
      <w:r w:rsidR="00803CC8">
        <w:t xml:space="preserve"> </w:t>
      </w:r>
    </w:p>
    <w:p w14:paraId="64991440" w14:textId="77777777" w:rsidR="005744D7" w:rsidRDefault="005744D7" w:rsidP="000D23F7"/>
    <w:p w14:paraId="5FAAB83C" w14:textId="77777777" w:rsidR="00096EE3" w:rsidRDefault="00F75CD0" w:rsidP="001966D0">
      <w:pPr>
        <w:spacing w:line="480" w:lineRule="auto"/>
        <w:ind w:firstLine="720"/>
      </w:pPr>
      <w:r>
        <w:t xml:space="preserve">Although </w:t>
      </w:r>
      <w:r w:rsidR="008606EE">
        <w:t xml:space="preserve">the </w:t>
      </w:r>
      <w:r>
        <w:t>met</w:t>
      </w:r>
      <w:r w:rsidR="00B8299A">
        <w:t>aphor of a laundry list generally</w:t>
      </w:r>
      <w:r>
        <w:t xml:space="preserve"> </w:t>
      </w:r>
      <w:r w:rsidR="002A5736">
        <w:t xml:space="preserve">is </w:t>
      </w:r>
      <w:r>
        <w:t xml:space="preserve">invoked to </w:t>
      </w:r>
      <w:r w:rsidR="00096EE3">
        <w:t>reference any exhaustive list of items</w:t>
      </w:r>
      <w:r w:rsidR="009E311A">
        <w:t xml:space="preserve"> </w:t>
      </w:r>
      <w:r w:rsidR="00A23CFB">
        <w:t>like the one above,</w:t>
      </w:r>
      <w:r w:rsidR="00096EE3">
        <w:t xml:space="preserve"> what is often forgotten is its now </w:t>
      </w:r>
      <w:r w:rsidR="00F83688">
        <w:t>bygone</w:t>
      </w:r>
      <w:r w:rsidR="00096EE3">
        <w:t xml:space="preserve"> meaning</w:t>
      </w:r>
      <w:r w:rsidR="000D23F7">
        <w:t xml:space="preserve"> –</w:t>
      </w:r>
      <w:r w:rsidR="008E38D2">
        <w:t xml:space="preserve"> a meaning that</w:t>
      </w:r>
      <w:r w:rsidR="000D23F7">
        <w:t xml:space="preserve"> </w:t>
      </w:r>
      <w:r w:rsidR="00B8299A">
        <w:t xml:space="preserve">is </w:t>
      </w:r>
      <w:r w:rsidR="00AE43DB">
        <w:t xml:space="preserve">surprisingly </w:t>
      </w:r>
      <w:r w:rsidR="000D23F7">
        <w:t>germane to the present discussion</w:t>
      </w:r>
      <w:r w:rsidR="00096EE3">
        <w:t xml:space="preserve">. </w:t>
      </w:r>
      <w:r w:rsidR="008E38D2">
        <w:t>A few years ago, i</w:t>
      </w:r>
      <w:r w:rsidR="00096EE3">
        <w:t xml:space="preserve">n a charming piece for the </w:t>
      </w:r>
      <w:r w:rsidR="00096EE3" w:rsidRPr="008E38D2">
        <w:rPr>
          <w:i/>
        </w:rPr>
        <w:t xml:space="preserve">Denver </w:t>
      </w:r>
      <w:r w:rsidR="00172E9E" w:rsidRPr="008E38D2">
        <w:rPr>
          <w:i/>
        </w:rPr>
        <w:t>Post</w:t>
      </w:r>
      <w:r w:rsidR="00096EE3">
        <w:t xml:space="preserve">, </w:t>
      </w:r>
      <w:r w:rsidR="00A27A9E">
        <w:t xml:space="preserve">popular </w:t>
      </w:r>
      <w:r w:rsidR="00F83688">
        <w:t>columnist</w:t>
      </w:r>
      <w:r w:rsidR="00AE5975">
        <w:t xml:space="preserve"> </w:t>
      </w:r>
      <w:r w:rsidR="00172E9E">
        <w:t>Ed Quillen recalled</w:t>
      </w:r>
      <w:r w:rsidR="00096EE3">
        <w:t xml:space="preserve"> his youthful employment in his grandfather’s </w:t>
      </w:r>
      <w:r w:rsidR="00F83688">
        <w:lastRenderedPageBreak/>
        <w:t xml:space="preserve">commercial </w:t>
      </w:r>
      <w:r w:rsidR="00172E9E">
        <w:t>laundry</w:t>
      </w:r>
      <w:r w:rsidR="00F83688">
        <w:t xml:space="preserve"> facility</w:t>
      </w:r>
      <w:r w:rsidR="00096EE3">
        <w:t>. As a</w:t>
      </w:r>
      <w:r w:rsidR="00A37E56">
        <w:t xml:space="preserve"> </w:t>
      </w:r>
      <w:r w:rsidR="003A0EFD" w:rsidRPr="003A0EFD">
        <w:t>teenager</w:t>
      </w:r>
      <w:r w:rsidR="00096EE3">
        <w:t xml:space="preserve"> </w:t>
      </w:r>
      <w:r w:rsidR="00A37E56">
        <w:t xml:space="preserve">lacking </w:t>
      </w:r>
      <w:r w:rsidR="00A27A9E">
        <w:t xml:space="preserve">any </w:t>
      </w:r>
      <w:r w:rsidR="00A37E56">
        <w:t>experience</w:t>
      </w:r>
      <w:r w:rsidR="00096EE3">
        <w:t xml:space="preserve"> or enthusiasm </w:t>
      </w:r>
      <w:r w:rsidR="008E38D2">
        <w:t xml:space="preserve">for the work </w:t>
      </w:r>
      <w:r w:rsidR="00096EE3">
        <w:t xml:space="preserve">he </w:t>
      </w:r>
      <w:r w:rsidR="00060F0B">
        <w:t xml:space="preserve">was expected </w:t>
      </w:r>
      <w:r w:rsidR="00A37E56">
        <w:t xml:space="preserve">to do, he was </w:t>
      </w:r>
      <w:r w:rsidR="00060F0B">
        <w:t xml:space="preserve">assigned </w:t>
      </w:r>
      <w:r w:rsidR="00096EE3">
        <w:t xml:space="preserve">the </w:t>
      </w:r>
      <w:r w:rsidR="009E311A">
        <w:t xml:space="preserve">painstaking </w:t>
      </w:r>
      <w:r w:rsidR="00172E9E">
        <w:t>task of sorting and recording</w:t>
      </w:r>
      <w:r w:rsidR="008E38D2">
        <w:t>,</w:t>
      </w:r>
      <w:r w:rsidR="00172E9E">
        <w:t xml:space="preserve"> on a pre-printed form</w:t>
      </w:r>
      <w:r w:rsidR="008E38D2">
        <w:t xml:space="preserve"> of archaic origin,</w:t>
      </w:r>
      <w:r w:rsidR="00172E9E">
        <w:t xml:space="preserve"> e</w:t>
      </w:r>
      <w:r w:rsidR="008E38D2">
        <w:t>ach</w:t>
      </w:r>
      <w:r w:rsidR="00172E9E">
        <w:t xml:space="preserve"> art</w:t>
      </w:r>
      <w:r w:rsidR="008E38D2">
        <w:t>icle</w:t>
      </w:r>
      <w:r w:rsidR="00172E9E">
        <w:t xml:space="preserve"> of clothing </w:t>
      </w:r>
      <w:r w:rsidR="004D5E36">
        <w:t xml:space="preserve">to insure against loss and to </w:t>
      </w:r>
      <w:r w:rsidR="00E52E04">
        <w:t xml:space="preserve">identify </w:t>
      </w:r>
      <w:r w:rsidR="004D5E36">
        <w:t xml:space="preserve">processes </w:t>
      </w:r>
      <w:r w:rsidR="00E52E04">
        <w:t xml:space="preserve">for </w:t>
      </w:r>
      <w:r w:rsidR="004D5E36">
        <w:t xml:space="preserve">proper care. The interesting aspect of the exercise, now largely forgotten in an era of home washing machines and </w:t>
      </w:r>
      <w:r w:rsidR="00E52E04">
        <w:t>co</w:t>
      </w:r>
      <w:r w:rsidR="00C15812">
        <w:t>lour</w:t>
      </w:r>
      <w:r w:rsidR="00E52E04">
        <w:t>fast</w:t>
      </w:r>
      <w:r w:rsidR="004D5E36">
        <w:t xml:space="preserve"> dyes</w:t>
      </w:r>
      <w:r w:rsidR="00F343E6">
        <w:t>, was determining which item fe</w:t>
      </w:r>
      <w:r w:rsidR="00E52E04">
        <w:t>l</w:t>
      </w:r>
      <w:r w:rsidR="00F343E6">
        <w:t>l under each heading. A laundry list</w:t>
      </w:r>
      <w:r w:rsidR="00E52E04">
        <w:t>, it seems,</w:t>
      </w:r>
      <w:r w:rsidR="00A21FE1">
        <w:t xml:space="preserve"> was not </w:t>
      </w:r>
      <w:r w:rsidR="00F343E6">
        <w:t>the unending and indiscriminate behemoth</w:t>
      </w:r>
      <w:r w:rsidR="00A21FE1">
        <w:t xml:space="preserve"> that the term connotes</w:t>
      </w:r>
      <w:r w:rsidR="00F343E6">
        <w:t xml:space="preserve"> now. It was a </w:t>
      </w:r>
      <w:r w:rsidR="00B8299A">
        <w:t>comprehensive and</w:t>
      </w:r>
      <w:r w:rsidR="00A21FE1">
        <w:t xml:space="preserve"> useful </w:t>
      </w:r>
      <w:r w:rsidR="00F343E6">
        <w:t>to</w:t>
      </w:r>
      <w:r w:rsidR="00A21FE1">
        <w:t>ol for</w:t>
      </w:r>
      <w:r w:rsidR="00F343E6">
        <w:t xml:space="preserve"> classification. With its assistance even a fourtee</w:t>
      </w:r>
      <w:r w:rsidR="00524A2A">
        <w:t>n-</w:t>
      </w:r>
      <w:r w:rsidR="00F343E6">
        <w:t xml:space="preserve">year old boy became </w:t>
      </w:r>
      <w:r w:rsidR="000F7CEE">
        <w:t xml:space="preserve">adept at </w:t>
      </w:r>
      <w:r w:rsidR="00F343E6">
        <w:t xml:space="preserve">distinguishing a </w:t>
      </w:r>
      <w:r w:rsidR="002A5736">
        <w:t xml:space="preserve">chemise from a </w:t>
      </w:r>
      <w:r w:rsidR="00A37E56">
        <w:t>counterpane</w:t>
      </w:r>
      <w:r w:rsidR="00060F0B">
        <w:t>;</w:t>
      </w:r>
      <w:r w:rsidR="00A21FE1">
        <w:t xml:space="preserve"> </w:t>
      </w:r>
      <w:r w:rsidR="005F1263">
        <w:t>a laundry</w:t>
      </w:r>
      <w:r w:rsidR="00F343E6">
        <w:t xml:space="preserve"> list </w:t>
      </w:r>
      <w:r w:rsidR="005F1263">
        <w:t>was an aid to the effective exercise of discretion rather</w:t>
      </w:r>
      <w:r w:rsidR="00524A2A">
        <w:t xml:space="preserve"> than an invitation to despair.</w:t>
      </w:r>
      <w:r w:rsidR="00524A2A">
        <w:rPr>
          <w:rStyle w:val="FootnoteReference"/>
        </w:rPr>
        <w:footnoteReference w:id="69"/>
      </w:r>
      <w:r w:rsidR="00F343E6">
        <w:t xml:space="preserve"> </w:t>
      </w:r>
      <w:r w:rsidR="004D5E36">
        <w:t xml:space="preserve">   </w:t>
      </w:r>
    </w:p>
    <w:p w14:paraId="336ABF99" w14:textId="518CA896" w:rsidR="00B44A47" w:rsidRDefault="00A21FE1" w:rsidP="001966D0">
      <w:pPr>
        <w:spacing w:line="480" w:lineRule="auto"/>
        <w:ind w:firstLine="720"/>
      </w:pPr>
      <w:r>
        <w:t>Bero and Grundy</w:t>
      </w:r>
      <w:r w:rsidR="00B8299A">
        <w:t xml:space="preserve"> appear to have a similar end in mind. They aim to sort </w:t>
      </w:r>
      <w:r w:rsidR="00B8299A" w:rsidRPr="00467861">
        <w:rPr>
          <w:i/>
        </w:rPr>
        <w:t>conflicts of interest</w:t>
      </w:r>
      <w:r w:rsidR="00E17B00">
        <w:t>, which have a tendenc</w:t>
      </w:r>
      <w:r w:rsidR="00A04EDB">
        <w:t xml:space="preserve">y to introduce certain </w:t>
      </w:r>
      <w:r w:rsidR="00E17B00">
        <w:t xml:space="preserve">troubling </w:t>
      </w:r>
      <w:r w:rsidR="00A04EDB">
        <w:t xml:space="preserve">kinds of </w:t>
      </w:r>
      <w:r w:rsidR="00E17B00">
        <w:t>bias into expert judgements</w:t>
      </w:r>
      <w:r w:rsidR="00467861">
        <w:t xml:space="preserve">, </w:t>
      </w:r>
      <w:r w:rsidR="00E17B00">
        <w:t xml:space="preserve">from </w:t>
      </w:r>
      <w:r w:rsidR="00E17B00" w:rsidRPr="00467861">
        <w:rPr>
          <w:i/>
        </w:rPr>
        <w:t>interests</w:t>
      </w:r>
      <w:r w:rsidR="00E17B00">
        <w:t xml:space="preserve"> </w:t>
      </w:r>
      <w:r w:rsidR="00330995">
        <w:t xml:space="preserve">(what we might call for the sake of clarity, simple interests) </w:t>
      </w:r>
      <w:r w:rsidR="00E17B00">
        <w:t>that are inevitable</w:t>
      </w:r>
      <w:r w:rsidR="00C15812">
        <w:t xml:space="preserve"> and</w:t>
      </w:r>
      <w:r w:rsidR="00E17B00">
        <w:t xml:space="preserve"> inseparable from the identity, role</w:t>
      </w:r>
      <w:r w:rsidR="00C15812">
        <w:t xml:space="preserve">, </w:t>
      </w:r>
      <w:r w:rsidR="00E17B00">
        <w:t xml:space="preserve">and responsibility of the person who possesses them. </w:t>
      </w:r>
      <w:r w:rsidR="00467861">
        <w:t>Despite the provocative title of their paper, they do not maintain that all conflicts of interest stem from pecuniary interests</w:t>
      </w:r>
      <w:r w:rsidR="00060F0B">
        <w:t>;</w:t>
      </w:r>
      <w:r w:rsidR="007E1DB3">
        <w:t xml:space="preserve"> </w:t>
      </w:r>
      <w:r w:rsidR="00E652E1">
        <w:t xml:space="preserve">indeed, </w:t>
      </w:r>
      <w:r w:rsidR="007E1DB3">
        <w:t>t</w:t>
      </w:r>
      <w:r w:rsidR="00467861">
        <w:t xml:space="preserve">hey explicitly acknowledge the distorting effects that interpersonal relationships can </w:t>
      </w:r>
      <w:r w:rsidR="00450FA4">
        <w:t>have on judgement (friends,</w:t>
      </w:r>
      <w:r w:rsidR="00955940">
        <w:t xml:space="preserve"> </w:t>
      </w:r>
      <w:r w:rsidR="00450FA4">
        <w:t xml:space="preserve">relations, colleagues, and competitors are </w:t>
      </w:r>
      <w:r w:rsidR="004B3716">
        <w:t xml:space="preserve">explicitly </w:t>
      </w:r>
      <w:r w:rsidR="00450FA4">
        <w:t xml:space="preserve">mentioned and </w:t>
      </w:r>
      <w:r w:rsidR="00955940">
        <w:t>power imbal</w:t>
      </w:r>
      <w:r w:rsidR="00211CFE">
        <w:t xml:space="preserve">ances are especially </w:t>
      </w:r>
      <w:r w:rsidR="00211CFE">
        <w:lastRenderedPageBreak/>
        <w:t>noted)</w:t>
      </w:r>
      <w:r w:rsidR="00C7355F">
        <w:t>. T</w:t>
      </w:r>
      <w:r w:rsidR="00955940">
        <w:t xml:space="preserve">heir original contribution </w:t>
      </w:r>
      <w:r w:rsidR="00211CFE">
        <w:t>to the discussion</w:t>
      </w:r>
      <w:r w:rsidR="00C7355F">
        <w:t>, however,</w:t>
      </w:r>
      <w:r w:rsidR="00211CFE">
        <w:t xml:space="preserve"> </w:t>
      </w:r>
      <w:r w:rsidR="00955940">
        <w:t xml:space="preserve">is the introduction of three “rules of thumb” which they believe can sort </w:t>
      </w:r>
      <w:r w:rsidR="007F1707">
        <w:t xml:space="preserve">the interests we ought to be </w:t>
      </w:r>
      <w:r w:rsidR="004B3716">
        <w:t xml:space="preserve">most </w:t>
      </w:r>
      <w:r w:rsidR="007F1707">
        <w:t>worried about</w:t>
      </w:r>
      <w:r w:rsidR="00001F12">
        <w:t xml:space="preserve"> </w:t>
      </w:r>
      <w:r w:rsidR="00955940">
        <w:t>from</w:t>
      </w:r>
      <w:r w:rsidR="007F1707">
        <w:t xml:space="preserve"> other</w:t>
      </w:r>
      <w:r w:rsidR="00060F0B">
        <w:t>, less troubling,</w:t>
      </w:r>
      <w:r w:rsidR="007F1707">
        <w:t xml:space="preserve"> types of interests. Thei</w:t>
      </w:r>
      <w:r w:rsidR="00823045">
        <w:t>r rules, stated in</w:t>
      </w:r>
      <w:r w:rsidR="00E91E86">
        <w:t xml:space="preserve"> the</w:t>
      </w:r>
      <w:r w:rsidR="0026015A">
        <w:t xml:space="preserve"> barest</w:t>
      </w:r>
      <w:r w:rsidR="007F1707">
        <w:t xml:space="preserve"> form, </w:t>
      </w:r>
      <w:r w:rsidR="00D45E11">
        <w:t>f</w:t>
      </w:r>
      <w:r w:rsidR="007F1707">
        <w:t>ollow</w:t>
      </w:r>
      <w:r w:rsidR="00D45E11">
        <w:t>.</w:t>
      </w:r>
      <w:r w:rsidR="007F1707">
        <w:t xml:space="preserve"> </w:t>
      </w:r>
    </w:p>
    <w:p w14:paraId="21451658" w14:textId="77777777" w:rsidR="00B44A47" w:rsidRDefault="007F1707" w:rsidP="001966D0">
      <w:pPr>
        <w:ind w:left="720"/>
      </w:pPr>
      <w:r>
        <w:t>First,</w:t>
      </w:r>
      <w:r w:rsidR="00C74ADC">
        <w:t xml:space="preserve"> </w:t>
      </w:r>
      <w:r w:rsidR="00E1054F">
        <w:t>it is theoretically possible, though not always necessary, to eliminate a conflict of int</w:t>
      </w:r>
      <w:r w:rsidR="00C74ADC">
        <w:t>erest….Second, the direction of the bias produced by a conflict of interest is consistent within a set of circumstances….Third, conflicts of interest can be widespread, and their scope of influence may extend far beyond an individual.</w:t>
      </w:r>
      <w:r w:rsidR="00C74ADC">
        <w:rPr>
          <w:rStyle w:val="FootnoteReference"/>
        </w:rPr>
        <w:footnoteReference w:id="70"/>
      </w:r>
      <w:r w:rsidR="00E1054F">
        <w:t xml:space="preserve"> </w:t>
      </w:r>
    </w:p>
    <w:p w14:paraId="7276E590" w14:textId="77777777" w:rsidR="00234680" w:rsidRDefault="007F1707" w:rsidP="00B44A47">
      <w:r>
        <w:t xml:space="preserve"> </w:t>
      </w:r>
      <w:r w:rsidR="00955940">
        <w:t xml:space="preserve"> </w:t>
      </w:r>
      <w:r w:rsidR="00450FA4">
        <w:t xml:space="preserve">  </w:t>
      </w:r>
      <w:r w:rsidR="00467861">
        <w:t xml:space="preserve">    </w:t>
      </w:r>
      <w:r w:rsidR="00B8299A">
        <w:t xml:space="preserve">   </w:t>
      </w:r>
    </w:p>
    <w:p w14:paraId="5651BCF9" w14:textId="77777777" w:rsidR="00395C13" w:rsidRDefault="00395C13" w:rsidP="001966D0">
      <w:pPr>
        <w:spacing w:line="480" w:lineRule="auto"/>
        <w:ind w:firstLine="720"/>
      </w:pPr>
      <w:r>
        <w:t>A tool</w:t>
      </w:r>
      <w:r w:rsidR="005D5A8C">
        <w:t xml:space="preserve"> to </w:t>
      </w:r>
      <w:r w:rsidR="00A47279">
        <w:t>identify the interests that present the greatest threat to the responsible exercise of judgement</w:t>
      </w:r>
      <w:r>
        <w:t xml:space="preserve"> would</w:t>
      </w:r>
      <w:r w:rsidR="00A47279">
        <w:t xml:space="preserve">, if dependable, be a </w:t>
      </w:r>
      <w:r>
        <w:t xml:space="preserve">welcome addition to the </w:t>
      </w:r>
      <w:r w:rsidR="005E75BC">
        <w:t>current discourse pertaining to</w:t>
      </w:r>
      <w:r>
        <w:t xml:space="preserve"> conflict</w:t>
      </w:r>
      <w:r w:rsidR="00060F0B">
        <w:t>s</w:t>
      </w:r>
      <w:r>
        <w:t xml:space="preserve"> of interest.</w:t>
      </w:r>
      <w:r w:rsidR="00A40B27">
        <w:t xml:space="preserve"> These rules of thumb</w:t>
      </w:r>
      <w:r>
        <w:t xml:space="preserve"> </w:t>
      </w:r>
      <w:r w:rsidR="006B4976" w:rsidRPr="006B4976">
        <w:t xml:space="preserve">(hereafter, the Bero-Grundy rules) </w:t>
      </w:r>
      <w:r w:rsidR="00A40B27">
        <w:t>may not provide the detailed direction of an old-fashioned laundry list but they do prompt the user to reflect upon</w:t>
      </w:r>
      <w:r w:rsidR="00422E3C">
        <w:t xml:space="preserve"> and, indeed, </w:t>
      </w:r>
      <w:r w:rsidR="005D2530">
        <w:t>sort out</w:t>
      </w:r>
      <w:r w:rsidR="00A40B27">
        <w:t xml:space="preserve"> the applicability </w:t>
      </w:r>
      <w:r w:rsidR="00D3501C">
        <w:t>an</w:t>
      </w:r>
      <w:r w:rsidR="00C7355F">
        <w:t>d potential</w:t>
      </w:r>
      <w:r w:rsidR="00D3501C">
        <w:t xml:space="preserve"> efficacy </w:t>
      </w:r>
      <w:r w:rsidR="00A40B27">
        <w:t xml:space="preserve">of </w:t>
      </w:r>
      <w:r w:rsidR="00E91E86">
        <w:t xml:space="preserve">various </w:t>
      </w:r>
      <w:r w:rsidR="005C240F">
        <w:t xml:space="preserve">relationship </w:t>
      </w:r>
      <w:r w:rsidR="00A40B27">
        <w:t>management strategies</w:t>
      </w:r>
      <w:r w:rsidR="00D3501C">
        <w:t xml:space="preserve"> (including</w:t>
      </w:r>
      <w:r w:rsidR="005D2530">
        <w:t>, but not limited to</w:t>
      </w:r>
      <w:r w:rsidR="006A5EBA">
        <w:t>,</w:t>
      </w:r>
      <w:r w:rsidR="00D3501C">
        <w:t xml:space="preserve"> </w:t>
      </w:r>
      <w:r w:rsidR="005D2530">
        <w:t>avoidance and disclosure</w:t>
      </w:r>
      <w:r w:rsidR="00D3501C">
        <w:t>), as well as the</w:t>
      </w:r>
      <w:r w:rsidR="00A40B27">
        <w:t xml:space="preserve"> </w:t>
      </w:r>
      <w:r w:rsidR="00D3501C">
        <w:t>likelihood and potential magnitude</w:t>
      </w:r>
      <w:r w:rsidR="006A5EBA">
        <w:t>,</w:t>
      </w:r>
      <w:r w:rsidR="00D3501C">
        <w:t xml:space="preserve"> of </w:t>
      </w:r>
      <w:r w:rsidR="005D2530">
        <w:t>any</w:t>
      </w:r>
      <w:r w:rsidR="00D3501C">
        <w:t xml:space="preserve"> harm or harms associated with </w:t>
      </w:r>
      <w:r w:rsidR="005D2530">
        <w:t xml:space="preserve">reliance upon </w:t>
      </w:r>
      <w:r w:rsidR="00D3501C">
        <w:t>j</w:t>
      </w:r>
      <w:r w:rsidR="00761CA2">
        <w:t>udgement that is</w:t>
      </w:r>
      <w:r w:rsidR="005D2530">
        <w:t xml:space="preserve"> impaired</w:t>
      </w:r>
      <w:r w:rsidR="00D3501C">
        <w:t xml:space="preserve">. </w:t>
      </w:r>
      <w:r w:rsidR="00133859">
        <w:t xml:space="preserve">It is important to recognise that </w:t>
      </w:r>
      <w:r w:rsidR="006B4976">
        <w:t>the Bero-</w:t>
      </w:r>
      <w:r w:rsidR="00133859">
        <w:t>Grundy</w:t>
      </w:r>
      <w:r w:rsidR="006B4976">
        <w:t xml:space="preserve"> rules </w:t>
      </w:r>
      <w:r w:rsidR="00133859">
        <w:t xml:space="preserve">will </w:t>
      </w:r>
      <w:r w:rsidR="00C82A9A">
        <w:t xml:space="preserve">apply </w:t>
      </w:r>
      <w:r w:rsidR="00133859">
        <w:t>only to what Stark described as external or out-of</w:t>
      </w:r>
      <w:r w:rsidR="002A5736">
        <w:t>-</w:t>
      </w:r>
      <w:r w:rsidR="00133859">
        <w:t>role threats to judgement. Although Fro</w:t>
      </w:r>
      <w:r w:rsidR="00D46C7C">
        <w:t>lic and Chidwick’s respondents appeared to be</w:t>
      </w:r>
      <w:r w:rsidR="00133859">
        <w:t xml:space="preserve"> less concerned about the</w:t>
      </w:r>
      <w:r w:rsidR="003350DC">
        <w:t>se than with</w:t>
      </w:r>
      <w:r w:rsidR="00133859">
        <w:t xml:space="preserve"> structural or in</w:t>
      </w:r>
      <w:r w:rsidR="00545487">
        <w:t>ternal conflicts</w:t>
      </w:r>
      <w:r w:rsidR="00E51D8A">
        <w:t xml:space="preserve"> of interest</w:t>
      </w:r>
      <w:r w:rsidR="00545487">
        <w:t xml:space="preserve"> it is appropriate</w:t>
      </w:r>
      <w:r w:rsidR="00133859">
        <w:t xml:space="preserve"> that each of these </w:t>
      </w:r>
      <w:r w:rsidR="00C63B8D">
        <w:t xml:space="preserve">challenges </w:t>
      </w:r>
      <w:r w:rsidR="00133859">
        <w:t xml:space="preserve">is addressed in turn. </w:t>
      </w:r>
      <w:r w:rsidR="0023505D">
        <w:t>I will begin with out-of</w:t>
      </w:r>
      <w:r w:rsidR="006A491D">
        <w:t>-</w:t>
      </w:r>
      <w:r w:rsidR="0023505D">
        <w:t>role</w:t>
      </w:r>
      <w:r w:rsidR="006A491D">
        <w:t xml:space="preserve"> </w:t>
      </w:r>
      <w:r w:rsidR="0023505D">
        <w:t xml:space="preserve">conflicts because I believe that </w:t>
      </w:r>
      <w:r w:rsidR="0023505D">
        <w:lastRenderedPageBreak/>
        <w:t xml:space="preserve">these are the conflicts </w:t>
      </w:r>
      <w:r w:rsidR="00746629">
        <w:t>that</w:t>
      </w:r>
      <w:r w:rsidR="0023505D">
        <w:t xml:space="preserve"> </w:t>
      </w:r>
      <w:r w:rsidR="00746629">
        <w:t xml:space="preserve">trouble the field’s critics most of </w:t>
      </w:r>
      <w:r w:rsidR="0023505D">
        <w:t>all.</w:t>
      </w:r>
      <w:r w:rsidR="00746629">
        <w:t xml:space="preserve"> Analysis of in-role or structural conflicts </w:t>
      </w:r>
      <w:r w:rsidR="00E51D8A">
        <w:t xml:space="preserve">of interest </w:t>
      </w:r>
      <w:r w:rsidR="00746629">
        <w:t>will</w:t>
      </w:r>
      <w:r w:rsidR="00D46C7C">
        <w:t xml:space="preserve"> </w:t>
      </w:r>
      <w:r w:rsidR="00746629">
        <w:t xml:space="preserve">be deferred </w:t>
      </w:r>
      <w:r w:rsidR="003350DC">
        <w:t>momentarily</w:t>
      </w:r>
      <w:r w:rsidR="00545487">
        <w:t>,</w:t>
      </w:r>
      <w:r w:rsidR="003350DC">
        <w:t xml:space="preserve"> but we will re</w:t>
      </w:r>
      <w:r w:rsidR="005C240F">
        <w:t>visit</w:t>
      </w:r>
      <w:r w:rsidR="00746629">
        <w:t xml:space="preserve"> </w:t>
      </w:r>
      <w:r w:rsidR="006B4976">
        <w:t xml:space="preserve">them via a treatment of </w:t>
      </w:r>
      <w:r w:rsidR="00746629">
        <w:t xml:space="preserve">the larger problem of role confusion and </w:t>
      </w:r>
      <w:r w:rsidR="00C63B8D">
        <w:t xml:space="preserve">its </w:t>
      </w:r>
      <w:r w:rsidR="00060F0B" w:rsidRPr="00060F0B">
        <w:t>effect</w:t>
      </w:r>
      <w:r w:rsidR="00C63B8D">
        <w:t xml:space="preserve"> on some of the </w:t>
      </w:r>
      <w:r w:rsidR="00746629">
        <w:t>ethical dilemmas</w:t>
      </w:r>
      <w:r w:rsidR="006B4976">
        <w:t xml:space="preserve"> </w:t>
      </w:r>
      <w:r w:rsidR="00D46C7C">
        <w:t xml:space="preserve">arising </w:t>
      </w:r>
      <w:r w:rsidR="006B4976">
        <w:t xml:space="preserve">in the </w:t>
      </w:r>
      <w:r w:rsidR="00C63B8D">
        <w:t xml:space="preserve">provision </w:t>
      </w:r>
      <w:r w:rsidR="006B4976">
        <w:t xml:space="preserve">of </w:t>
      </w:r>
      <w:r w:rsidR="002A5736">
        <w:t xml:space="preserve">health care </w:t>
      </w:r>
      <w:r w:rsidR="006B4976">
        <w:t>ethics consultation</w:t>
      </w:r>
      <w:r w:rsidR="00746629">
        <w:t>.</w:t>
      </w:r>
      <w:r w:rsidR="004F4722">
        <w:t xml:space="preserve"> </w:t>
      </w:r>
      <w:r w:rsidR="00746629">
        <w:t xml:space="preserve"> </w:t>
      </w:r>
    </w:p>
    <w:p w14:paraId="18CB7972" w14:textId="77777777" w:rsidR="0096138F" w:rsidRDefault="0096138F" w:rsidP="001966D0">
      <w:pPr>
        <w:spacing w:line="480" w:lineRule="auto"/>
        <w:ind w:firstLine="720"/>
      </w:pPr>
    </w:p>
    <w:p w14:paraId="50FECDD9" w14:textId="60A0B588" w:rsidR="005D2530" w:rsidRPr="006B4976" w:rsidRDefault="00761CA2" w:rsidP="00A13DFC">
      <w:pPr>
        <w:spacing w:line="480" w:lineRule="auto"/>
        <w:rPr>
          <w:i/>
        </w:rPr>
      </w:pPr>
      <w:r>
        <w:rPr>
          <w:i/>
        </w:rPr>
        <w:t xml:space="preserve">The case of the committed graduate </w:t>
      </w:r>
      <w:r w:rsidR="00961003">
        <w:rPr>
          <w:i/>
        </w:rPr>
        <w:t>student</w:t>
      </w:r>
      <w:r>
        <w:rPr>
          <w:i/>
        </w:rPr>
        <w:t xml:space="preserve">: </w:t>
      </w:r>
      <w:r w:rsidR="006A491D">
        <w:rPr>
          <w:i/>
        </w:rPr>
        <w:t>i</w:t>
      </w:r>
      <w:r w:rsidRPr="00541E2B">
        <w:rPr>
          <w:i/>
        </w:rPr>
        <w:t>nterests worth worrying about</w:t>
      </w:r>
      <w:r w:rsidR="00A93851">
        <w:rPr>
          <w:i/>
        </w:rPr>
        <w:t>?</w:t>
      </w:r>
    </w:p>
    <w:p w14:paraId="5A2BE9F4" w14:textId="77777777" w:rsidR="007C35B4" w:rsidRDefault="006B4976" w:rsidP="001966D0">
      <w:pPr>
        <w:spacing w:line="480" w:lineRule="auto"/>
        <w:ind w:firstLine="720"/>
      </w:pPr>
      <w:r>
        <w:t>This sketch of the Bero-G</w:t>
      </w:r>
      <w:r w:rsidR="00F979E0">
        <w:t>r</w:t>
      </w:r>
      <w:r>
        <w:t>undy</w:t>
      </w:r>
      <w:r w:rsidR="00F75AAC">
        <w:t xml:space="preserve"> argument </w:t>
      </w:r>
      <w:r w:rsidR="00060F0B">
        <w:t xml:space="preserve">has been fairly abstract so far and </w:t>
      </w:r>
      <w:r w:rsidR="00F75AAC">
        <w:t>may benefit from</w:t>
      </w:r>
      <w:r w:rsidR="00F805C7">
        <w:t xml:space="preserve"> an example that </w:t>
      </w:r>
      <w:r w:rsidR="000A70B8">
        <w:t>fills in</w:t>
      </w:r>
      <w:r w:rsidR="00F805C7">
        <w:t xml:space="preserve"> some of its contours.</w:t>
      </w:r>
      <w:r w:rsidR="00F75AAC">
        <w:t xml:space="preserve"> </w:t>
      </w:r>
      <w:r w:rsidR="00F805C7">
        <w:t xml:space="preserve">Not all cases need be located in the area of research (any activity requiring judgement in the service of another will do) but </w:t>
      </w:r>
      <w:r w:rsidR="00E53D10">
        <w:t xml:space="preserve">it may be </w:t>
      </w:r>
      <w:r w:rsidR="00E51D8A">
        <w:t xml:space="preserve">illuminating to </w:t>
      </w:r>
      <w:r w:rsidR="007C35B4">
        <w:t>sort</w:t>
      </w:r>
      <w:r w:rsidR="00E53D10">
        <w:t xml:space="preserve"> </w:t>
      </w:r>
      <w:r w:rsidR="00044324">
        <w:t xml:space="preserve">out </w:t>
      </w:r>
      <w:r w:rsidR="00E53D10">
        <w:t xml:space="preserve">some of that department’s </w:t>
      </w:r>
      <w:r w:rsidR="007B25F6">
        <w:t>linens</w:t>
      </w:r>
      <w:r w:rsidR="007B25F6" w:rsidRPr="007B25F6">
        <w:t xml:space="preserve"> </w:t>
      </w:r>
      <w:r w:rsidR="007B25F6">
        <w:t xml:space="preserve">before moving </w:t>
      </w:r>
      <w:r w:rsidR="00D46C7C">
        <w:t xml:space="preserve">on </w:t>
      </w:r>
      <w:r w:rsidR="007B25F6">
        <w:t>to other applicable areas</w:t>
      </w:r>
      <w:r w:rsidR="007C35B4">
        <w:t>.</w:t>
      </w:r>
      <w:r w:rsidR="00A93851" w:rsidRPr="00A93851">
        <w:t xml:space="preserve"> </w:t>
      </w:r>
      <w:r w:rsidR="000F7CEE">
        <w:t>The following hypothetical example may be of help:</w:t>
      </w:r>
    </w:p>
    <w:p w14:paraId="61BB1399" w14:textId="10611473" w:rsidR="000F7CEE" w:rsidRDefault="000F7CEE" w:rsidP="00147D77">
      <w:pPr>
        <w:ind w:left="720"/>
      </w:pPr>
      <w:r>
        <w:t>Ambi, a</w:t>
      </w:r>
      <w:r w:rsidR="00961003">
        <w:t>n</w:t>
      </w:r>
      <w:r>
        <w:t xml:space="preserve"> ethicist at a </w:t>
      </w:r>
      <w:r w:rsidR="00604D42">
        <w:t xml:space="preserve">large inner-city </w:t>
      </w:r>
      <w:r>
        <w:t>teaching hospital</w:t>
      </w:r>
      <w:r w:rsidR="00604D42">
        <w:t>,</w:t>
      </w:r>
      <w:r>
        <w:t xml:space="preserve"> has developed an interest in the ethics of population health as well </w:t>
      </w:r>
      <w:r w:rsidR="006558E4">
        <w:t xml:space="preserve">as a passion for </w:t>
      </w:r>
      <w:r>
        <w:t xml:space="preserve">devising practical strategies for addressing the complex needs of patients suffering from </w:t>
      </w:r>
      <w:r w:rsidR="00604D42">
        <w:t xml:space="preserve">opioid </w:t>
      </w:r>
      <w:r w:rsidR="006A5EBA">
        <w:t>dependency</w:t>
      </w:r>
      <w:r>
        <w:t xml:space="preserve">. Her </w:t>
      </w:r>
      <w:r w:rsidR="00604D42">
        <w:t xml:space="preserve">prior experience </w:t>
      </w:r>
      <w:r>
        <w:t xml:space="preserve">includes the loss of a close friend to opioid overdose, and she worked briefly as a public health nurse with a needle exchange program before pursing her doctoral studies and </w:t>
      </w:r>
      <w:r w:rsidR="00147D77">
        <w:t xml:space="preserve">enrolling in </w:t>
      </w:r>
      <w:r>
        <w:t xml:space="preserve">a </w:t>
      </w:r>
      <w:r w:rsidR="00147D77">
        <w:t xml:space="preserve">bioethics </w:t>
      </w:r>
      <w:r>
        <w:t xml:space="preserve">fellowship </w:t>
      </w:r>
      <w:r w:rsidR="00147D77">
        <w:t>program</w:t>
      </w:r>
      <w:r>
        <w:t xml:space="preserve">. She </w:t>
      </w:r>
      <w:r w:rsidR="00604D42">
        <w:t xml:space="preserve">recently </w:t>
      </w:r>
      <w:r>
        <w:t xml:space="preserve">has secured </w:t>
      </w:r>
      <w:r w:rsidR="006558E4">
        <w:t xml:space="preserve">a </w:t>
      </w:r>
      <w:r>
        <w:t xml:space="preserve">grant from the Canadian Institute of Health Research to </w:t>
      </w:r>
      <w:r w:rsidR="006558E4">
        <w:t>support research</w:t>
      </w:r>
      <w:r>
        <w:t xml:space="preserve"> </w:t>
      </w:r>
      <w:r w:rsidR="006558E4">
        <w:t xml:space="preserve">on </w:t>
      </w:r>
      <w:r>
        <w:t>the efficacy and ethical dimensions of a</w:t>
      </w:r>
      <w:r w:rsidR="006558E4">
        <w:t>n</w:t>
      </w:r>
      <w:r>
        <w:t xml:space="preserve"> approach that e</w:t>
      </w:r>
      <w:r w:rsidR="006558E4">
        <w:t>ndeavours</w:t>
      </w:r>
      <w:r>
        <w:t xml:space="preserve"> to foster trust between people who use opioids and her local oncology program. She hypothesizes that harm-reduction strategies</w:t>
      </w:r>
      <w:r w:rsidR="00604D42">
        <w:t xml:space="preserve">, </w:t>
      </w:r>
      <w:r w:rsidR="006A5EBA">
        <w:t>which promise people with substance use disorders</w:t>
      </w:r>
      <w:r>
        <w:t xml:space="preserve"> non-judgemental access to cancer care</w:t>
      </w:r>
      <w:r w:rsidR="00604D42">
        <w:t xml:space="preserve">, </w:t>
      </w:r>
      <w:r>
        <w:t xml:space="preserve">will result in </w:t>
      </w:r>
      <w:r w:rsidR="006558E4">
        <w:t>increased</w:t>
      </w:r>
      <w:r>
        <w:t xml:space="preserve"> treatment adherence and better scores on outcome measures </w:t>
      </w:r>
      <w:r w:rsidR="005F2046">
        <w:t xml:space="preserve">related to </w:t>
      </w:r>
      <w:r>
        <w:t>quality of life (including reports of patient satisfaction)</w:t>
      </w:r>
      <w:r w:rsidR="005F2046">
        <w:t>,</w:t>
      </w:r>
      <w:r>
        <w:t xml:space="preserve"> </w:t>
      </w:r>
      <w:r w:rsidR="005F2046">
        <w:t>as well as overall morbidity and mortality</w:t>
      </w:r>
      <w:r>
        <w:t xml:space="preserve">. </w:t>
      </w:r>
      <w:r w:rsidR="005F2046">
        <w:rPr>
          <w:rStyle w:val="FootnoteReference"/>
        </w:rPr>
        <w:footnoteReference w:id="71"/>
      </w:r>
    </w:p>
    <w:p w14:paraId="60EBCC3E" w14:textId="77777777" w:rsidR="000F7CEE" w:rsidRDefault="000F7CEE" w:rsidP="000F7CEE">
      <w:pPr>
        <w:ind w:left="720"/>
      </w:pPr>
    </w:p>
    <w:p w14:paraId="5107436F" w14:textId="4A2CC895" w:rsidR="005D2530" w:rsidRDefault="00A93851" w:rsidP="001966D0">
      <w:pPr>
        <w:spacing w:line="480" w:lineRule="auto"/>
        <w:ind w:firstLine="720"/>
      </w:pPr>
      <w:r w:rsidRPr="00A93851">
        <w:lastRenderedPageBreak/>
        <w:t xml:space="preserve">If we accept </w:t>
      </w:r>
      <w:r w:rsidR="00771A51">
        <w:t>the claim that all interests should be categorised</w:t>
      </w:r>
      <w:r w:rsidRPr="00A93851">
        <w:t xml:space="preserve"> as conflicts of interest</w:t>
      </w:r>
      <w:r w:rsidR="007B2761">
        <w:t>,</w:t>
      </w:r>
      <w:r w:rsidRPr="00A93851">
        <w:t xml:space="preserve"> any of </w:t>
      </w:r>
      <w:r w:rsidR="00604D42">
        <w:t xml:space="preserve">Ambi’s </w:t>
      </w:r>
      <w:r w:rsidR="0059494A">
        <w:t>study-</w:t>
      </w:r>
      <w:r w:rsidR="00661AD7">
        <w:t>related findings</w:t>
      </w:r>
      <w:r w:rsidRPr="00A93851">
        <w:t xml:space="preserve"> will need to be accompanied by disclosures describing h</w:t>
      </w:r>
      <w:r w:rsidR="005F2046">
        <w:t>er</w:t>
      </w:r>
      <w:r w:rsidRPr="00A93851">
        <w:t xml:space="preserve"> personal history, disciplinary training, theoretical</w:t>
      </w:r>
      <w:r w:rsidR="00661AD7">
        <w:t xml:space="preserve"> orientation</w:t>
      </w:r>
      <w:r w:rsidRPr="00A93851">
        <w:t>, and</w:t>
      </w:r>
      <w:r w:rsidR="00D10CBA">
        <w:t xml:space="preserve"> associated </w:t>
      </w:r>
      <w:r w:rsidR="00661AD7">
        <w:t>political commitments</w:t>
      </w:r>
      <w:r w:rsidRPr="00A93851">
        <w:t>. But, one must wonder, what is one to do with this a</w:t>
      </w:r>
      <w:r w:rsidR="0034533D">
        <w:t>dditional information? Ought reviewers</w:t>
      </w:r>
      <w:r w:rsidRPr="00A93851">
        <w:t xml:space="preserve"> to scrutinise h</w:t>
      </w:r>
      <w:r w:rsidR="005F2046">
        <w:t>er</w:t>
      </w:r>
      <w:r w:rsidRPr="00A93851">
        <w:t xml:space="preserve"> writings and presentations for biases that </w:t>
      </w:r>
      <w:r w:rsidR="00D46C7C">
        <w:t xml:space="preserve">may have </w:t>
      </w:r>
      <w:r w:rsidRPr="00A93851">
        <w:t>escaped h</w:t>
      </w:r>
      <w:r w:rsidR="005F2046">
        <w:t>er</w:t>
      </w:r>
      <w:r w:rsidR="006558E4">
        <w:t xml:space="preserve"> </w:t>
      </w:r>
      <w:r w:rsidRPr="00A93851">
        <w:t>notic</w:t>
      </w:r>
      <w:r w:rsidR="00661AD7">
        <w:t>e,</w:t>
      </w:r>
      <w:r w:rsidR="0059494A">
        <w:t xml:space="preserve"> and</w:t>
      </w:r>
      <w:r w:rsidR="00661AD7">
        <w:t>, if so,</w:t>
      </w:r>
      <w:r w:rsidR="0059494A">
        <w:t xml:space="preserve"> how ought this to be done</w:t>
      </w:r>
      <w:r w:rsidRPr="00A93851">
        <w:t>? Should h</w:t>
      </w:r>
      <w:r w:rsidR="005F2046">
        <w:t>er</w:t>
      </w:r>
      <w:r w:rsidRPr="00A93851">
        <w:t xml:space="preserve"> work be viewed with greater suspicion than that of </w:t>
      </w:r>
      <w:r w:rsidR="00030BEC">
        <w:t>Jeremy</w:t>
      </w:r>
      <w:r w:rsidR="00484057">
        <w:t xml:space="preserve">, </w:t>
      </w:r>
      <w:r w:rsidR="000A1752">
        <w:t>a fellow</w:t>
      </w:r>
      <w:r w:rsidRPr="00A93851">
        <w:t xml:space="preserve"> student exploring the same topic who lacks ‘lived experience’ of this kind? </w:t>
      </w:r>
      <w:r w:rsidR="00750780">
        <w:t xml:space="preserve">Should </w:t>
      </w:r>
      <w:r w:rsidR="005F2046">
        <w:t>s</w:t>
      </w:r>
      <w:r w:rsidR="00750780" w:rsidRPr="00750780">
        <w:t xml:space="preserve">he be nudged into an area of inquiry for which </w:t>
      </w:r>
      <w:r w:rsidR="005F2046">
        <w:t>s</w:t>
      </w:r>
      <w:r w:rsidR="00750780" w:rsidRPr="00750780">
        <w:t xml:space="preserve">he has less </w:t>
      </w:r>
      <w:r w:rsidR="006439C4">
        <w:t xml:space="preserve">enthusiasm </w:t>
      </w:r>
      <w:r w:rsidR="00750780" w:rsidRPr="00750780">
        <w:t xml:space="preserve">to ensure that </w:t>
      </w:r>
      <w:r w:rsidR="005F2046">
        <w:t>s</w:t>
      </w:r>
      <w:r w:rsidR="00750780" w:rsidRPr="00750780">
        <w:t>he adopts an attitude of scientific detachment</w:t>
      </w:r>
      <w:r w:rsidR="00750780">
        <w:t xml:space="preserve">? </w:t>
      </w:r>
      <w:r w:rsidRPr="00A93851">
        <w:t xml:space="preserve">Finally, compare any concerns </w:t>
      </w:r>
      <w:r w:rsidR="00604D42">
        <w:t>that one</w:t>
      </w:r>
      <w:r w:rsidR="002C5F00">
        <w:t xml:space="preserve"> might have about bias in A</w:t>
      </w:r>
      <w:r w:rsidR="005F2046">
        <w:t>mbi</w:t>
      </w:r>
      <w:r w:rsidR="002C5F00">
        <w:t>’s</w:t>
      </w:r>
      <w:r w:rsidRPr="00A93851">
        <w:t xml:space="preserve"> case to those that might arise if </w:t>
      </w:r>
      <w:r w:rsidR="00604D42">
        <w:t>one</w:t>
      </w:r>
      <w:r w:rsidRPr="00A93851">
        <w:t xml:space="preserve"> learned that </w:t>
      </w:r>
      <w:r w:rsidR="00030BEC">
        <w:t>Jeremy</w:t>
      </w:r>
      <w:r w:rsidR="002C5F00">
        <w:t xml:space="preserve">, the </w:t>
      </w:r>
      <w:r w:rsidRPr="00A93851">
        <w:t>‘disinterested’ student</w:t>
      </w:r>
      <w:r w:rsidR="002C5F00">
        <w:t xml:space="preserve">, </w:t>
      </w:r>
      <w:r w:rsidR="000A52C5">
        <w:t xml:space="preserve">is </w:t>
      </w:r>
      <w:r w:rsidR="002C5F00">
        <w:t xml:space="preserve">to have his studies </w:t>
      </w:r>
      <w:r w:rsidRPr="00A93851">
        <w:t xml:space="preserve">supported by a generous scholarship from </w:t>
      </w:r>
      <w:r w:rsidR="001208A4">
        <w:t>‘</w:t>
      </w:r>
      <w:r w:rsidR="008659D6">
        <w:t>Parent Power</w:t>
      </w:r>
      <w:r w:rsidR="001208A4">
        <w:t>,’</w:t>
      </w:r>
      <w:r w:rsidR="000A1752">
        <w:t xml:space="preserve"> </w:t>
      </w:r>
      <w:r w:rsidR="001208A4">
        <w:t xml:space="preserve">a </w:t>
      </w:r>
      <w:r w:rsidR="000A1752">
        <w:t xml:space="preserve">charitable trust </w:t>
      </w:r>
      <w:r w:rsidR="001208A4">
        <w:t xml:space="preserve">with </w:t>
      </w:r>
      <w:r w:rsidR="001208A4" w:rsidRPr="001208A4">
        <w:t xml:space="preserve">an international </w:t>
      </w:r>
      <w:r w:rsidR="001208A4">
        <w:t xml:space="preserve">reach </w:t>
      </w:r>
      <w:r w:rsidRPr="00A93851">
        <w:t>whose stated mission is to</w:t>
      </w:r>
      <w:r w:rsidR="00147D77">
        <w:t xml:space="preserve"> </w:t>
      </w:r>
      <w:r w:rsidRPr="00A93851">
        <w:t>‘</w:t>
      </w:r>
      <w:r w:rsidR="00BA096D">
        <w:t>counter</w:t>
      </w:r>
      <w:r w:rsidR="008659D6">
        <w:t>act influences that make illicit drug use socially acceptable and attractive to the young</w:t>
      </w:r>
      <w:r w:rsidR="002C5F00">
        <w:t>.’ Let us imagine that o</w:t>
      </w:r>
      <w:r w:rsidR="0034533D">
        <w:t>ur fictional</w:t>
      </w:r>
      <w:r w:rsidRPr="00A93851">
        <w:t xml:space="preserve"> foundation</w:t>
      </w:r>
      <w:r>
        <w:t xml:space="preserve">’s annual report contains stories of adversity and </w:t>
      </w:r>
      <w:r w:rsidR="00604D42">
        <w:t>triumph</w:t>
      </w:r>
      <w:r w:rsidR="00BA096D">
        <w:t xml:space="preserve">, which emphasize character-development and celebrate </w:t>
      </w:r>
      <w:r w:rsidR="008659D6">
        <w:t>abstinence</w:t>
      </w:r>
      <w:r w:rsidR="00BA096D">
        <w:t>-based</w:t>
      </w:r>
      <w:r w:rsidR="008659D6">
        <w:t xml:space="preserve"> </w:t>
      </w:r>
      <w:r w:rsidR="00BA096D">
        <w:t>approaches to addiction</w:t>
      </w:r>
      <w:r w:rsidRPr="00A93851">
        <w:t xml:space="preserve">. </w:t>
      </w:r>
      <w:r w:rsidR="002C5F00">
        <w:t xml:space="preserve">Let us further suppose that </w:t>
      </w:r>
      <w:r w:rsidR="00030BEC">
        <w:t>Jeremy</w:t>
      </w:r>
      <w:r w:rsidR="000A1752">
        <w:t>’s funding</w:t>
      </w:r>
      <w:r w:rsidR="00D71F36">
        <w:t xml:space="preserve"> comes in the form of</w:t>
      </w:r>
      <w:r w:rsidR="00661AD7">
        <w:t xml:space="preserve"> </w:t>
      </w:r>
      <w:r w:rsidR="00661AD7" w:rsidRPr="00A93851">
        <w:t>an</w:t>
      </w:r>
      <w:r w:rsidR="00604D42">
        <w:t xml:space="preserve"> ‘</w:t>
      </w:r>
      <w:r w:rsidR="00661AD7" w:rsidRPr="00A93851">
        <w:t>unrestricted educational grant</w:t>
      </w:r>
      <w:r w:rsidR="00604D42">
        <w:t>’</w:t>
      </w:r>
      <w:r w:rsidR="00D71F36">
        <w:t xml:space="preserve"> that i</w:t>
      </w:r>
      <w:r w:rsidR="000A1752">
        <w:t xml:space="preserve">s renewable on an annual basis. He </w:t>
      </w:r>
      <w:r w:rsidR="00771A51">
        <w:t>needs only to file</w:t>
      </w:r>
      <w:r w:rsidR="00D71F36">
        <w:t xml:space="preserve"> an annual report </w:t>
      </w:r>
      <w:r w:rsidR="00C71550">
        <w:t xml:space="preserve">demonstrating that he is making reasonable progress </w:t>
      </w:r>
      <w:r w:rsidR="000A52C5">
        <w:t xml:space="preserve">on his studies </w:t>
      </w:r>
      <w:r w:rsidR="00C71550">
        <w:t>and affirming that his research falls within the mandate of the granting agency.</w:t>
      </w:r>
      <w:r w:rsidR="00D71F36">
        <w:t xml:space="preserve"> </w:t>
      </w:r>
    </w:p>
    <w:p w14:paraId="1EB2DC28" w14:textId="77777777" w:rsidR="00A93851" w:rsidRDefault="0034533D" w:rsidP="006A5EBA">
      <w:pPr>
        <w:spacing w:line="480" w:lineRule="auto"/>
        <w:ind w:firstLine="720"/>
      </w:pPr>
      <w:r>
        <w:lastRenderedPageBreak/>
        <w:t xml:space="preserve">If we apply the Bero-Grundy </w:t>
      </w:r>
      <w:r w:rsidR="00DA6F4F">
        <w:t>rules</w:t>
      </w:r>
      <w:r w:rsidR="00484057">
        <w:t xml:space="preserve"> to the example above</w:t>
      </w:r>
      <w:r w:rsidR="006439C4">
        <w:t>,</w:t>
      </w:r>
      <w:r w:rsidR="00484057">
        <w:t xml:space="preserve"> we can sort our cases quite readily. First,</w:t>
      </w:r>
      <w:r w:rsidR="001E7250">
        <w:t xml:space="preserve"> </w:t>
      </w:r>
      <w:r w:rsidR="00DA6F4F">
        <w:t xml:space="preserve">it is </w:t>
      </w:r>
      <w:r w:rsidR="00A520A5">
        <w:t xml:space="preserve">helpful </w:t>
      </w:r>
      <w:r w:rsidR="00DA6F4F">
        <w:t xml:space="preserve">to note that </w:t>
      </w:r>
      <w:r w:rsidR="001E7250">
        <w:t xml:space="preserve">however hard </w:t>
      </w:r>
      <w:r w:rsidR="00BA096D">
        <w:t>s</w:t>
      </w:r>
      <w:r w:rsidR="001E7250">
        <w:t>he might try, A</w:t>
      </w:r>
      <w:r w:rsidR="00BA096D">
        <w:t>mbi</w:t>
      </w:r>
      <w:r w:rsidR="001E7250">
        <w:t xml:space="preserve"> is incapable</w:t>
      </w:r>
      <w:r w:rsidR="001208A4">
        <w:t xml:space="preserve"> of eradicating h</w:t>
      </w:r>
      <w:r w:rsidR="00BA096D">
        <w:t>er</w:t>
      </w:r>
      <w:r w:rsidR="001208A4">
        <w:t xml:space="preserve"> supposed conflicts of interest because </w:t>
      </w:r>
      <w:r w:rsidR="001E7250">
        <w:t>t</w:t>
      </w:r>
      <w:r w:rsidR="001208A4">
        <w:t>hey</w:t>
      </w:r>
      <w:r w:rsidR="001E7250">
        <w:t xml:space="preserve"> </w:t>
      </w:r>
      <w:r w:rsidR="00BA1D1E">
        <w:t xml:space="preserve">are inseparable from </w:t>
      </w:r>
      <w:r w:rsidR="001E7250">
        <w:t>h</w:t>
      </w:r>
      <w:r w:rsidR="00BA096D">
        <w:t>er</w:t>
      </w:r>
      <w:r w:rsidR="001E7250">
        <w:t xml:space="preserve"> identity. </w:t>
      </w:r>
      <w:r w:rsidR="00BA096D">
        <w:t>Sh</w:t>
      </w:r>
      <w:r w:rsidR="001E7250">
        <w:t xml:space="preserve">e cannot shed </w:t>
      </w:r>
      <w:r w:rsidR="00BA096D">
        <w:t>her</w:t>
      </w:r>
      <w:r w:rsidR="001E7250">
        <w:t xml:space="preserve"> past, h</w:t>
      </w:r>
      <w:r w:rsidR="00BA096D">
        <w:t>er</w:t>
      </w:r>
      <w:r w:rsidR="001E7250">
        <w:t xml:space="preserve"> values, </w:t>
      </w:r>
      <w:r w:rsidR="00750780">
        <w:t>h</w:t>
      </w:r>
      <w:r w:rsidR="00BA096D">
        <w:t>er</w:t>
      </w:r>
      <w:r w:rsidR="00750780">
        <w:t xml:space="preserve"> passions, </w:t>
      </w:r>
      <w:r w:rsidR="001E7250">
        <w:t xml:space="preserve">or </w:t>
      </w:r>
      <w:r w:rsidR="00DA6F4F">
        <w:t>h</w:t>
      </w:r>
      <w:r w:rsidR="00BA096D">
        <w:t>er</w:t>
      </w:r>
      <w:r w:rsidR="00DA6F4F">
        <w:t xml:space="preserve"> </w:t>
      </w:r>
      <w:r w:rsidR="001E7250">
        <w:t>education s</w:t>
      </w:r>
      <w:r w:rsidR="00223EF8">
        <w:t>imply by willing them away</w:t>
      </w:r>
      <w:r w:rsidR="0001547E">
        <w:t>;</w:t>
      </w:r>
      <w:r w:rsidR="00223EF8">
        <w:t xml:space="preserve"> the suggestion is as incoherent as it is impossible. Second, the “direction of the bias” that may be introduced by </w:t>
      </w:r>
      <w:r w:rsidR="002028F5">
        <w:t>A</w:t>
      </w:r>
      <w:r w:rsidR="00BA096D">
        <w:t>mbi</w:t>
      </w:r>
      <w:r w:rsidR="002028F5">
        <w:t xml:space="preserve">’s interests is not necessarily predictable. </w:t>
      </w:r>
      <w:r w:rsidR="00324009">
        <w:t>While h</w:t>
      </w:r>
      <w:r w:rsidR="00BA096D">
        <w:t>er</w:t>
      </w:r>
      <w:r w:rsidR="002028F5">
        <w:t xml:space="preserve"> desire to </w:t>
      </w:r>
      <w:r w:rsidR="00BF10ED">
        <w:t>understand</w:t>
      </w:r>
      <w:r w:rsidR="00A520A5">
        <w:t xml:space="preserve"> </w:t>
      </w:r>
      <w:r w:rsidR="00BF10ED">
        <w:t>and to come to terms with h</w:t>
      </w:r>
      <w:r w:rsidR="00BA096D">
        <w:t>er</w:t>
      </w:r>
      <w:r w:rsidR="00BF10ED">
        <w:t xml:space="preserve"> personal experience</w:t>
      </w:r>
      <w:r w:rsidR="00BA1D1E">
        <w:t>s</w:t>
      </w:r>
      <w:r w:rsidR="00BF10ED">
        <w:t xml:space="preserve"> may have </w:t>
      </w:r>
      <w:r w:rsidR="00D02370">
        <w:t>led h</w:t>
      </w:r>
      <w:r w:rsidR="00BA096D">
        <w:t>er</w:t>
      </w:r>
      <w:r w:rsidR="00D02370">
        <w:t xml:space="preserve"> in the direction of</w:t>
      </w:r>
      <w:r w:rsidR="00BA096D">
        <w:t xml:space="preserve"> empirical bioethics</w:t>
      </w:r>
      <w:r w:rsidR="00324009">
        <w:t>, and</w:t>
      </w:r>
      <w:r w:rsidR="00D02370">
        <w:t xml:space="preserve"> the theoretical and methodological </w:t>
      </w:r>
      <w:r w:rsidR="00324009">
        <w:t xml:space="preserve">approaches of its </w:t>
      </w:r>
      <w:r w:rsidR="008F3E71">
        <w:t xml:space="preserve">feminist </w:t>
      </w:r>
      <w:r w:rsidR="00324009">
        <w:t>theorists may have</w:t>
      </w:r>
      <w:r w:rsidR="00F047CA">
        <w:t xml:space="preserve"> helped h</w:t>
      </w:r>
      <w:r w:rsidR="00BA096D">
        <w:t>er</w:t>
      </w:r>
      <w:r w:rsidR="00F047CA">
        <w:t xml:space="preserve"> to organise h</w:t>
      </w:r>
      <w:r w:rsidR="00BA096D">
        <w:t>er</w:t>
      </w:r>
      <w:r w:rsidR="00F047CA">
        <w:t xml:space="preserve"> thinking</w:t>
      </w:r>
      <w:r w:rsidR="00324009">
        <w:t xml:space="preserve">, none of these influences </w:t>
      </w:r>
      <w:r w:rsidR="00D61250">
        <w:t xml:space="preserve">is predictive of particular findings in the way that </w:t>
      </w:r>
      <w:r w:rsidR="002D0625">
        <w:t xml:space="preserve">pharmaceutical sponsorship </w:t>
      </w:r>
      <w:r w:rsidR="0001547E">
        <w:t xml:space="preserve">is known to </w:t>
      </w:r>
      <w:r w:rsidR="00750780">
        <w:t xml:space="preserve">shape </w:t>
      </w:r>
      <w:r w:rsidR="00D61250">
        <w:t xml:space="preserve">outcomes </w:t>
      </w:r>
      <w:r w:rsidR="00D24538">
        <w:t>in clinical</w:t>
      </w:r>
      <w:r w:rsidR="002D0625">
        <w:t xml:space="preserve"> trials.</w:t>
      </w:r>
      <w:r w:rsidR="008F3E71">
        <w:rPr>
          <w:rStyle w:val="FootnoteReference"/>
        </w:rPr>
        <w:footnoteReference w:id="72"/>
      </w:r>
      <w:r w:rsidR="00D61250">
        <w:t xml:space="preserve"> </w:t>
      </w:r>
      <w:r w:rsidR="00A44AEC">
        <w:t>If h</w:t>
      </w:r>
      <w:r w:rsidR="00BA096D">
        <w:t>er</w:t>
      </w:r>
      <w:r w:rsidR="00A44AEC">
        <w:t xml:space="preserve"> </w:t>
      </w:r>
      <w:r w:rsidR="00CE3B7A">
        <w:t xml:space="preserve">primary </w:t>
      </w:r>
      <w:r w:rsidR="00A44AEC">
        <w:t>hypothes</w:t>
      </w:r>
      <w:r w:rsidR="000F59FF">
        <w:t>es are</w:t>
      </w:r>
      <w:r w:rsidR="00A44AEC">
        <w:t xml:space="preserve"> </w:t>
      </w:r>
      <w:r w:rsidR="006F586D">
        <w:t>not confirmed</w:t>
      </w:r>
      <w:r w:rsidR="00A44AEC">
        <w:t xml:space="preserve"> it is not obvious that h</w:t>
      </w:r>
      <w:r w:rsidR="00BA096D">
        <w:t>er</w:t>
      </w:r>
      <w:r w:rsidR="00A44AEC">
        <w:t xml:space="preserve"> work </w:t>
      </w:r>
      <w:r w:rsidR="006F586D">
        <w:t xml:space="preserve">will be seen as </w:t>
      </w:r>
      <w:r w:rsidR="00A44AEC">
        <w:t>uninteresting or without value</w:t>
      </w:r>
      <w:r w:rsidR="006F586D">
        <w:t xml:space="preserve">. Indeed, </w:t>
      </w:r>
      <w:r w:rsidR="00BA096D">
        <w:t>s</w:t>
      </w:r>
      <w:r w:rsidR="006F586D">
        <w:t>he may be spurred on to seek alternate explanations or to look fo</w:t>
      </w:r>
      <w:r w:rsidR="005D2BD7">
        <w:t>r intervening variables that have</w:t>
      </w:r>
      <w:r w:rsidR="006F586D">
        <w:t xml:space="preserve"> been overlooked in h</w:t>
      </w:r>
      <w:r w:rsidR="00BA096D">
        <w:t>er</w:t>
      </w:r>
      <w:r w:rsidR="006F586D">
        <w:t xml:space="preserve"> preliminary investigations. </w:t>
      </w:r>
      <w:r w:rsidR="00D61250">
        <w:t>Third, even in the unlikely event that A</w:t>
      </w:r>
      <w:r w:rsidR="00BA096D">
        <w:t>mbi</w:t>
      </w:r>
      <w:r w:rsidR="00D61250">
        <w:t xml:space="preserve">’s dissertation </w:t>
      </w:r>
      <w:r w:rsidR="00D24538">
        <w:t xml:space="preserve">sparks a swell of interest in </w:t>
      </w:r>
      <w:r w:rsidR="00BA096D">
        <w:t xml:space="preserve">her </w:t>
      </w:r>
      <w:r w:rsidR="00D24538">
        <w:t>findings</w:t>
      </w:r>
      <w:r w:rsidR="00D61250">
        <w:t xml:space="preserve">, the contributions of a single scholar are unlikely, without </w:t>
      </w:r>
      <w:r w:rsidR="00061DEA">
        <w:t>significant external</w:t>
      </w:r>
      <w:r w:rsidR="00171B37">
        <w:t xml:space="preserve"> support, to have an impact that </w:t>
      </w:r>
      <w:r w:rsidR="00171B37">
        <w:lastRenderedPageBreak/>
        <w:t>extends</w:t>
      </w:r>
      <w:r w:rsidR="00061DEA">
        <w:t xml:space="preserve"> beyond h</w:t>
      </w:r>
      <w:r w:rsidR="00BA096D">
        <w:t>er</w:t>
      </w:r>
      <w:r w:rsidR="00061DEA">
        <w:t xml:space="preserve"> local circumstances. It is the rare academic who can change the direction of an entire field</w:t>
      </w:r>
      <w:r w:rsidR="009E1423">
        <w:t>,</w:t>
      </w:r>
      <w:r w:rsidR="00061DEA">
        <w:t xml:space="preserve"> and even a significant </w:t>
      </w:r>
      <w:r w:rsidR="00171B37">
        <w:t xml:space="preserve">impression </w:t>
      </w:r>
      <w:r w:rsidR="00061DEA">
        <w:t>in an established discipl</w:t>
      </w:r>
      <w:r w:rsidR="006457A0">
        <w:t>ine pales in compar</w:t>
      </w:r>
      <w:r w:rsidR="00061DEA">
        <w:t>i</w:t>
      </w:r>
      <w:r w:rsidR="006457A0">
        <w:t>s</w:t>
      </w:r>
      <w:r w:rsidR="00061DEA">
        <w:t xml:space="preserve">on to the effect that industry influence can exert on </w:t>
      </w:r>
      <w:r w:rsidR="00E71F9A">
        <w:t>political and economic systems.</w:t>
      </w:r>
      <w:r w:rsidR="00E20B3F">
        <w:rPr>
          <w:rStyle w:val="FootnoteReference"/>
        </w:rPr>
        <w:footnoteReference w:id="73"/>
      </w:r>
    </w:p>
    <w:p w14:paraId="4EB4B469" w14:textId="775A44C9" w:rsidR="00A93851" w:rsidRDefault="003A133D" w:rsidP="001966D0">
      <w:pPr>
        <w:spacing w:line="480" w:lineRule="auto"/>
        <w:ind w:firstLine="720"/>
      </w:pPr>
      <w:r>
        <w:t>On the other hand, t</w:t>
      </w:r>
      <w:r w:rsidR="006832CC">
        <w:t xml:space="preserve">he application of the Bero-Grundy test to </w:t>
      </w:r>
      <w:r w:rsidR="00030BEC">
        <w:t>Jeremy</w:t>
      </w:r>
      <w:r w:rsidR="00BA7CDE">
        <w:t xml:space="preserve">’s </w:t>
      </w:r>
      <w:r w:rsidR="006B237E">
        <w:t>case yields a</w:t>
      </w:r>
      <w:r>
        <w:t xml:space="preserve"> far </w:t>
      </w:r>
      <w:r w:rsidR="006832CC">
        <w:t>different result. Although it may be difficult for h</w:t>
      </w:r>
      <w:r w:rsidR="000F59FF">
        <w:t>im</w:t>
      </w:r>
      <w:r w:rsidR="006832CC">
        <w:t xml:space="preserve"> to access alternate funding</w:t>
      </w:r>
      <w:r w:rsidR="00C71F41">
        <w:t xml:space="preserve"> that </w:t>
      </w:r>
      <w:r w:rsidR="00171B37">
        <w:t>will meet</w:t>
      </w:r>
      <w:r w:rsidR="00C71F41">
        <w:t xml:space="preserve"> h</w:t>
      </w:r>
      <w:r w:rsidR="000F59FF">
        <w:t>is</w:t>
      </w:r>
      <w:r w:rsidR="00C71F41">
        <w:t xml:space="preserve"> needs, especially when competition for support from the national granting agencies is stiff, it is </w:t>
      </w:r>
      <w:r w:rsidR="005D2BD7">
        <w:t xml:space="preserve">a </w:t>
      </w:r>
      <w:r w:rsidR="00201AA0">
        <w:t xml:space="preserve">relatively straightforward matter </w:t>
      </w:r>
      <w:r w:rsidR="00C71F41">
        <w:t xml:space="preserve">to distinguish </w:t>
      </w:r>
      <w:r w:rsidR="002D782F">
        <w:t xml:space="preserve">each of </w:t>
      </w:r>
      <w:r w:rsidR="00C71F41">
        <w:t xml:space="preserve">his interests from his identity. </w:t>
      </w:r>
      <w:r w:rsidR="00030BEC">
        <w:t>Jeremy</w:t>
      </w:r>
      <w:r w:rsidR="00A826C3">
        <w:t>’</w:t>
      </w:r>
      <w:r w:rsidR="00030BEC">
        <w:t>s</w:t>
      </w:r>
      <w:r w:rsidR="00A826C3">
        <w:t xml:space="preserve"> interest in financial support </w:t>
      </w:r>
      <w:r w:rsidR="006B237E">
        <w:t xml:space="preserve">quite clearly </w:t>
      </w:r>
      <w:r w:rsidR="005839DE">
        <w:t>can be</w:t>
      </w:r>
      <w:r w:rsidR="00A826C3">
        <w:t xml:space="preserve"> </w:t>
      </w:r>
      <w:r w:rsidR="005839DE">
        <w:t>separated conceptually</w:t>
      </w:r>
      <w:r w:rsidR="00171B37">
        <w:t xml:space="preserve"> (if not practically)</w:t>
      </w:r>
      <w:r w:rsidR="005673E3">
        <w:t xml:space="preserve"> </w:t>
      </w:r>
      <w:r w:rsidR="009D6B4B">
        <w:t xml:space="preserve">from his interest in </w:t>
      </w:r>
      <w:r w:rsidR="002D782F">
        <w:t xml:space="preserve">pursuing </w:t>
      </w:r>
      <w:r w:rsidR="009D6B4B">
        <w:t>this particular</w:t>
      </w:r>
      <w:r w:rsidR="00A826C3">
        <w:t xml:space="preserve"> research project</w:t>
      </w:r>
      <w:r w:rsidR="00201AA0">
        <w:t>,</w:t>
      </w:r>
      <w:r w:rsidR="00A826C3">
        <w:t xml:space="preserve"> </w:t>
      </w:r>
      <w:r w:rsidR="00EB54B9">
        <w:t>and a</w:t>
      </w:r>
      <w:r w:rsidR="00033FB9">
        <w:t xml:space="preserve"> comparable </w:t>
      </w:r>
      <w:r w:rsidR="00EB54B9">
        <w:t xml:space="preserve">grant from the Social Sciences and Humanities Research Council </w:t>
      </w:r>
      <w:r w:rsidR="00ED2E6D">
        <w:t xml:space="preserve">would </w:t>
      </w:r>
      <w:r w:rsidR="005839DE">
        <w:t xml:space="preserve">presumably </w:t>
      </w:r>
      <w:r w:rsidR="00EB54B9">
        <w:t xml:space="preserve">suit his purposes </w:t>
      </w:r>
      <w:r w:rsidR="00033FB9">
        <w:t>equally</w:t>
      </w:r>
      <w:r w:rsidR="002D782F">
        <w:t xml:space="preserve"> </w:t>
      </w:r>
      <w:r w:rsidR="00EB54B9">
        <w:t xml:space="preserve">well. </w:t>
      </w:r>
      <w:r w:rsidR="00ED2E6D">
        <w:t>R</w:t>
      </w:r>
      <w:r w:rsidR="005839DE">
        <w:t>ecall</w:t>
      </w:r>
      <w:r w:rsidR="00ED2E6D">
        <w:t>ing</w:t>
      </w:r>
      <w:r w:rsidR="005839DE">
        <w:t xml:space="preserve"> the</w:t>
      </w:r>
      <w:r w:rsidR="006B237E">
        <w:t xml:space="preserve"> second part of the test </w:t>
      </w:r>
      <w:r w:rsidR="005839DE">
        <w:t>we must ask</w:t>
      </w:r>
      <w:r w:rsidR="006B237E">
        <w:t xml:space="preserve"> whether </w:t>
      </w:r>
      <w:r w:rsidR="005839DE">
        <w:t>the “</w:t>
      </w:r>
      <w:r w:rsidR="005839DE" w:rsidRPr="005839DE">
        <w:t xml:space="preserve">direction of </w:t>
      </w:r>
      <w:r w:rsidR="005839DE">
        <w:t xml:space="preserve">any </w:t>
      </w:r>
      <w:r w:rsidR="005839DE" w:rsidRPr="005839DE">
        <w:t>bias produc</w:t>
      </w:r>
      <w:r w:rsidR="005839DE">
        <w:t xml:space="preserve">ed by a conflict of interest [is expected to be] </w:t>
      </w:r>
      <w:r w:rsidR="005839DE" w:rsidRPr="005839DE">
        <w:t>consistent within a set of circumstances</w:t>
      </w:r>
      <w:r w:rsidR="005839DE">
        <w:t>.”</w:t>
      </w:r>
      <w:r w:rsidR="005673E3">
        <w:t xml:space="preserve"> If </w:t>
      </w:r>
      <w:r w:rsidR="00033FB9">
        <w:t>Jeremy</w:t>
      </w:r>
      <w:r w:rsidR="005673E3">
        <w:t xml:space="preserve"> is</w:t>
      </w:r>
      <w:r w:rsidR="00E358AB">
        <w:t xml:space="preserve"> </w:t>
      </w:r>
      <w:r w:rsidR="00220261">
        <w:t xml:space="preserve">anxious that his financial support </w:t>
      </w:r>
      <w:r w:rsidR="00DB258A">
        <w:t>will be jeopardised by findings that undermine a commitment to</w:t>
      </w:r>
      <w:r w:rsidR="000F59FF">
        <w:t xml:space="preserve"> an abstinence-based</w:t>
      </w:r>
      <w:r w:rsidR="00DB258A">
        <w:t xml:space="preserve"> </w:t>
      </w:r>
      <w:r w:rsidR="000F59FF">
        <w:t>approach to addiction</w:t>
      </w:r>
      <w:r w:rsidR="007B2761">
        <w:t>,</w:t>
      </w:r>
      <w:r w:rsidR="000F59FF">
        <w:t xml:space="preserve"> his </w:t>
      </w:r>
      <w:r w:rsidR="000F59FF">
        <w:lastRenderedPageBreak/>
        <w:t xml:space="preserve">inquires may be </w:t>
      </w:r>
      <w:r w:rsidR="00DB258A">
        <w:t xml:space="preserve">limited in scope even if he </w:t>
      </w:r>
      <w:r w:rsidR="008E1A21">
        <w:t xml:space="preserve">fails </w:t>
      </w:r>
      <w:r w:rsidR="00A567EB">
        <w:t xml:space="preserve">explicitly </w:t>
      </w:r>
      <w:r w:rsidR="006A5EBA">
        <w:t xml:space="preserve">to </w:t>
      </w:r>
      <w:r w:rsidR="00DB258A">
        <w:t>recognize</w:t>
      </w:r>
      <w:r w:rsidR="005D2BD7">
        <w:t xml:space="preserve"> any</w:t>
      </w:r>
      <w:r w:rsidR="00DB258A">
        <w:t xml:space="preserve"> constrain</w:t>
      </w:r>
      <w:r w:rsidR="00862E2A">
        <w:t xml:space="preserve">ts he has placed </w:t>
      </w:r>
      <w:r w:rsidR="008E1A21">
        <w:t xml:space="preserve">on his </w:t>
      </w:r>
      <w:r w:rsidR="00DB258A">
        <w:t>hypotheses</w:t>
      </w:r>
      <w:r w:rsidR="005D2BD7">
        <w:t xml:space="preserve"> and methodology</w:t>
      </w:r>
      <w:r w:rsidR="00284F17">
        <w:t>.</w:t>
      </w:r>
      <w:r w:rsidR="001148A6">
        <w:rPr>
          <w:rStyle w:val="FootnoteReference"/>
        </w:rPr>
        <w:footnoteReference w:id="74"/>
      </w:r>
      <w:r w:rsidR="00284F17">
        <w:t xml:space="preserve"> </w:t>
      </w:r>
      <w:r w:rsidR="00747CB4">
        <w:t xml:space="preserve">Finally, depending on the reach of the </w:t>
      </w:r>
      <w:r w:rsidR="00226BDD">
        <w:t xml:space="preserve">sponsoring </w:t>
      </w:r>
      <w:r w:rsidR="00284F17">
        <w:t>agency</w:t>
      </w:r>
      <w:r w:rsidR="00033FB9">
        <w:t>, Jeremy</w:t>
      </w:r>
      <w:r w:rsidR="00CC12C0">
        <w:t xml:space="preserve">’s work has the potential to have an influence that goes </w:t>
      </w:r>
      <w:r w:rsidR="00A567EB">
        <w:t xml:space="preserve">well </w:t>
      </w:r>
      <w:r w:rsidR="00CC12C0">
        <w:t>beyond that which i</w:t>
      </w:r>
      <w:r w:rsidR="00747CB4">
        <w:t>s</w:t>
      </w:r>
      <w:r w:rsidR="009D6B4B">
        <w:t xml:space="preserve"> ordinarily </w:t>
      </w:r>
      <w:r w:rsidR="00CC12C0">
        <w:t xml:space="preserve">anticipated </w:t>
      </w:r>
      <w:r w:rsidR="00C978D1">
        <w:t>with grant-funded</w:t>
      </w:r>
      <w:r w:rsidR="009D6B4B">
        <w:t xml:space="preserve"> work. If </w:t>
      </w:r>
      <w:r w:rsidR="000F59FF">
        <w:t>Parent Power</w:t>
      </w:r>
      <w:r w:rsidR="009D6B4B">
        <w:t xml:space="preserve"> </w:t>
      </w:r>
      <w:r w:rsidR="00E358AB">
        <w:t xml:space="preserve">has its own </w:t>
      </w:r>
      <w:r w:rsidR="00246761">
        <w:t xml:space="preserve">far-reaching </w:t>
      </w:r>
      <w:r w:rsidR="00E358AB">
        <w:t xml:space="preserve">media </w:t>
      </w:r>
      <w:r w:rsidR="00096C26">
        <w:t>outlet</w:t>
      </w:r>
      <w:r w:rsidR="00E358AB">
        <w:t>s</w:t>
      </w:r>
      <w:r>
        <w:t>,</w:t>
      </w:r>
      <w:r w:rsidR="00E358AB">
        <w:t xml:space="preserve"> </w:t>
      </w:r>
      <w:r w:rsidR="00DB258A">
        <w:t xml:space="preserve">and </w:t>
      </w:r>
      <w:r w:rsidR="00246761">
        <w:t xml:space="preserve">a </w:t>
      </w:r>
      <w:r>
        <w:t xml:space="preserve">well-connected and </w:t>
      </w:r>
      <w:r w:rsidR="00001F12">
        <w:t xml:space="preserve">receptive </w:t>
      </w:r>
      <w:r w:rsidR="00CC12C0">
        <w:t>community</w:t>
      </w:r>
      <w:r>
        <w:t>,</w:t>
      </w:r>
      <w:r w:rsidR="00CC12C0">
        <w:t xml:space="preserve"> his work may be promoted in venues </w:t>
      </w:r>
      <w:r w:rsidR="00C978D1">
        <w:t xml:space="preserve">other than </w:t>
      </w:r>
      <w:r w:rsidR="00246761">
        <w:t>academic conferences and specialty</w:t>
      </w:r>
      <w:r w:rsidR="00C978D1">
        <w:t xml:space="preserve"> journals.</w:t>
      </w:r>
      <w:r w:rsidR="00F25C2D">
        <w:t xml:space="preserve"> Indeed, findings that</w:t>
      </w:r>
      <w:r w:rsidR="00033FB9">
        <w:t xml:space="preserve"> are consistent with the funder</w:t>
      </w:r>
      <w:r w:rsidR="00F25C2D">
        <w:t xml:space="preserve">’s aims </w:t>
      </w:r>
      <w:r w:rsidR="003615A3">
        <w:t>may gain traction</w:t>
      </w:r>
      <w:r w:rsidR="00F25C2D">
        <w:t xml:space="preserve"> in the </w:t>
      </w:r>
      <w:r w:rsidR="00246761">
        <w:t xml:space="preserve">popular </w:t>
      </w:r>
      <w:r w:rsidR="000B534B">
        <w:t xml:space="preserve">and trade </w:t>
      </w:r>
      <w:r w:rsidR="00246761">
        <w:t>press</w:t>
      </w:r>
      <w:r w:rsidR="000B534B">
        <w:t>es</w:t>
      </w:r>
      <w:r w:rsidR="00F25C2D">
        <w:t xml:space="preserve"> irrespective of the rigour of the methodology or the strength of the </w:t>
      </w:r>
      <w:r w:rsidR="001B57CE">
        <w:t>evidence.</w:t>
      </w:r>
      <w:r w:rsidR="00C978D1">
        <w:t xml:space="preserve">   </w:t>
      </w:r>
      <w:r w:rsidR="00E358AB">
        <w:t xml:space="preserve"> </w:t>
      </w:r>
      <w:r w:rsidR="009D6B4B">
        <w:t xml:space="preserve"> </w:t>
      </w:r>
      <w:r w:rsidR="00747CB4">
        <w:t xml:space="preserve"> </w:t>
      </w:r>
    </w:p>
    <w:p w14:paraId="0579FDBC" w14:textId="1643F509" w:rsidR="00A11A4E" w:rsidRDefault="00D82BE2" w:rsidP="001966D0">
      <w:pPr>
        <w:spacing w:line="480" w:lineRule="auto"/>
        <w:ind w:firstLine="720"/>
      </w:pPr>
      <w:r>
        <w:t>A brie</w:t>
      </w:r>
      <w:r w:rsidR="00836677">
        <w:t>f clarification</w:t>
      </w:r>
      <w:r>
        <w:t xml:space="preserve"> may be in order. Bero and G</w:t>
      </w:r>
      <w:r w:rsidR="0034157E">
        <w:t>r</w:t>
      </w:r>
      <w:r>
        <w:t>undy d</w:t>
      </w:r>
      <w:r w:rsidR="000F59FF">
        <w:t>o</w:t>
      </w:r>
      <w:r>
        <w:t xml:space="preserve"> not claim that their rules of thumb have the power to </w:t>
      </w:r>
      <w:r w:rsidR="006007E6">
        <w:t>identify all problematic cases of conflict of interest</w:t>
      </w:r>
      <w:r w:rsidR="00836677">
        <w:t>, nor d</w:t>
      </w:r>
      <w:r w:rsidR="000F59FF">
        <w:t>o</w:t>
      </w:r>
      <w:r w:rsidR="006007E6">
        <w:t xml:space="preserve"> they suggest that a researcher’s personal or professional identity is irrelevant to efforts to uncover bias in the exercise of </w:t>
      </w:r>
      <w:r w:rsidR="00836677">
        <w:t>their</w:t>
      </w:r>
      <w:r w:rsidR="006007E6">
        <w:t xml:space="preserve"> primary duty or duties</w:t>
      </w:r>
      <w:r w:rsidR="00836677">
        <w:t>. Instead, they ma</w:t>
      </w:r>
      <w:r w:rsidR="000F59FF">
        <w:t>k</w:t>
      </w:r>
      <w:r w:rsidR="00836677">
        <w:t xml:space="preserve">e the more modest claim that </w:t>
      </w:r>
      <w:r w:rsidR="00BD58A6">
        <w:t xml:space="preserve">“[c]ommercial sponsorship of research and investigator </w:t>
      </w:r>
      <w:r w:rsidR="00836677">
        <w:t xml:space="preserve">financial conflict of interest </w:t>
      </w:r>
      <w:r w:rsidR="00BD58A6">
        <w:t>are two forms of conflict of interest which have the strongest evidence base….</w:t>
      </w:r>
      <w:r w:rsidR="003A133D">
        <w:t>,</w:t>
      </w:r>
      <w:r w:rsidR="00BD58A6">
        <w:t>”</w:t>
      </w:r>
      <w:r w:rsidR="003A133D">
        <w:t xml:space="preserve"> moreover</w:t>
      </w:r>
      <w:r w:rsidR="00BD58A6">
        <w:t xml:space="preserve"> they </w:t>
      </w:r>
      <w:r w:rsidR="003A133D">
        <w:t xml:space="preserve">suggest, they </w:t>
      </w:r>
      <w:r w:rsidR="00BD58A6">
        <w:t xml:space="preserve">ought to </w:t>
      </w:r>
      <w:r w:rsidR="003A133D">
        <w:t xml:space="preserve">attract </w:t>
      </w:r>
      <w:r w:rsidR="00BD58A6">
        <w:t>close scrutiny because “even when the methods meet high standards for internal validity</w:t>
      </w:r>
      <w:r w:rsidR="00655C85">
        <w:t xml:space="preserve">, financial conflicts of interest may influence </w:t>
      </w:r>
      <w:r w:rsidR="00655C85">
        <w:lastRenderedPageBreak/>
        <w:t>research results though other mechanism</w:t>
      </w:r>
      <w:r w:rsidR="00605507">
        <w:t>s</w:t>
      </w:r>
      <w:r w:rsidR="00655C85">
        <w:t>, such as the framing of the question, how the study is actually conducted, and whether it is fully and accurately reported.”</w:t>
      </w:r>
      <w:r w:rsidR="00655C85">
        <w:rPr>
          <w:rStyle w:val="FootnoteReference"/>
        </w:rPr>
        <w:footnoteReference w:id="75"/>
      </w:r>
      <w:r w:rsidR="00655C85">
        <w:t xml:space="preserve"> </w:t>
      </w:r>
    </w:p>
    <w:p w14:paraId="3407C3C1" w14:textId="749913BC" w:rsidR="000A59B4" w:rsidRDefault="00A11A4E" w:rsidP="001966D0">
      <w:pPr>
        <w:spacing w:line="480" w:lineRule="auto"/>
        <w:ind w:firstLine="720"/>
      </w:pPr>
      <w:r>
        <w:t xml:space="preserve">For clear cases of </w:t>
      </w:r>
      <w:r w:rsidR="003615A3">
        <w:t xml:space="preserve">conflict </w:t>
      </w:r>
      <w:r>
        <w:t>o</w:t>
      </w:r>
      <w:r w:rsidR="003615A3">
        <w:t xml:space="preserve">f </w:t>
      </w:r>
      <w:r>
        <w:t>i</w:t>
      </w:r>
      <w:r w:rsidR="003615A3">
        <w:t>nterest</w:t>
      </w:r>
      <w:r>
        <w:t xml:space="preserve"> there are familiar, if </w:t>
      </w:r>
      <w:r w:rsidR="0010348E">
        <w:t>often</w:t>
      </w:r>
      <w:r w:rsidR="00D60402">
        <w:t xml:space="preserve"> </w:t>
      </w:r>
      <w:r>
        <w:t xml:space="preserve">inconsistently applied, management strategies that may diminish their impact. </w:t>
      </w:r>
      <w:r w:rsidR="00E750FB">
        <w:t>A researcher may recuse herself from partici</w:t>
      </w:r>
      <w:r w:rsidR="0023635E">
        <w:t>pation</w:t>
      </w:r>
      <w:r w:rsidR="008331AD">
        <w:t xml:space="preserve"> in </w:t>
      </w:r>
      <w:r w:rsidR="0010348E">
        <w:t>a project</w:t>
      </w:r>
      <w:r w:rsidR="00E750FB">
        <w:t xml:space="preserve">, or she may </w:t>
      </w:r>
      <w:r w:rsidR="0034157E">
        <w:t xml:space="preserve">agree </w:t>
      </w:r>
      <w:r w:rsidR="00E750FB">
        <w:t xml:space="preserve">to </w:t>
      </w:r>
      <w:r w:rsidR="0034157E">
        <w:t xml:space="preserve">follow </w:t>
      </w:r>
      <w:r w:rsidR="00E750FB">
        <w:t xml:space="preserve">a </w:t>
      </w:r>
      <w:r w:rsidR="003A133D">
        <w:t xml:space="preserve">conflict of interest </w:t>
      </w:r>
      <w:r w:rsidR="00E750FB">
        <w:t xml:space="preserve">management plan. </w:t>
      </w:r>
      <w:r w:rsidR="000B534B">
        <w:t>Conflict m</w:t>
      </w:r>
      <w:r w:rsidR="00E750FB">
        <w:t>anagement plans are variable</w:t>
      </w:r>
      <w:r w:rsidR="008331AD">
        <w:t>,</w:t>
      </w:r>
      <w:r w:rsidR="00E750FB">
        <w:t xml:space="preserve"> and </w:t>
      </w:r>
      <w:r w:rsidR="00641667">
        <w:t xml:space="preserve">ideally </w:t>
      </w:r>
      <w:r w:rsidR="00E750FB">
        <w:t xml:space="preserve">are tailored to </w:t>
      </w:r>
      <w:r w:rsidR="00641667">
        <w:t xml:space="preserve">address the specifics of </w:t>
      </w:r>
      <w:r w:rsidR="000B534B">
        <w:t>a particular</w:t>
      </w:r>
      <w:r w:rsidR="00E750FB">
        <w:t xml:space="preserve"> </w:t>
      </w:r>
      <w:r w:rsidR="00641667">
        <w:t>research project</w:t>
      </w:r>
      <w:r w:rsidR="00580693">
        <w:t>,</w:t>
      </w:r>
      <w:r w:rsidR="0003707A">
        <w:t xml:space="preserve"> but they typically</w:t>
      </w:r>
      <w:r w:rsidR="00641667">
        <w:t xml:space="preserve"> include</w:t>
      </w:r>
      <w:r w:rsidR="00CE086F">
        <w:t xml:space="preserve"> safeguards like the following: </w:t>
      </w:r>
      <w:r w:rsidR="008331AD">
        <w:t xml:space="preserve">the creation of </w:t>
      </w:r>
      <w:r w:rsidR="00641667">
        <w:t>a</w:t>
      </w:r>
      <w:r w:rsidR="00A567EB">
        <w:t>n</w:t>
      </w:r>
      <w:r w:rsidR="00641667">
        <w:t xml:space="preserve"> </w:t>
      </w:r>
      <w:r w:rsidR="00AD0258">
        <w:t xml:space="preserve">independent </w:t>
      </w:r>
      <w:r w:rsidR="00641667">
        <w:t>data safety monitoring board that performs an</w:t>
      </w:r>
      <w:r w:rsidR="003615A3">
        <w:t xml:space="preserve"> analysis of study</w:t>
      </w:r>
      <w:r w:rsidR="00641667">
        <w:t xml:space="preserve"> data at specified times during the conduct of the research</w:t>
      </w:r>
      <w:r w:rsidR="00AE43DB">
        <w:t xml:space="preserve"> (and has the power to </w:t>
      </w:r>
      <w:r w:rsidR="009A6CA8">
        <w:t xml:space="preserve">recommend alterations, or to </w:t>
      </w:r>
      <w:r w:rsidR="00AE43DB">
        <w:t xml:space="preserve">suspend </w:t>
      </w:r>
      <w:r w:rsidR="009A6CA8">
        <w:t xml:space="preserve">the study altogether, </w:t>
      </w:r>
      <w:r w:rsidR="00AE43DB">
        <w:t>if risks become too great to permit continuation)</w:t>
      </w:r>
      <w:r w:rsidR="003615A3">
        <w:t>;</w:t>
      </w:r>
      <w:r w:rsidR="00641667">
        <w:t xml:space="preserve"> </w:t>
      </w:r>
      <w:r w:rsidR="00580693">
        <w:t xml:space="preserve">a requirement that the conflicted investigator be </w:t>
      </w:r>
      <w:r w:rsidR="003615A3">
        <w:t xml:space="preserve">barred from </w:t>
      </w:r>
      <w:r w:rsidR="00720616">
        <w:t>access</w:t>
      </w:r>
      <w:r w:rsidR="003615A3">
        <w:t>ing raw data;</w:t>
      </w:r>
      <w:r w:rsidR="008331AD">
        <w:t xml:space="preserve"> </w:t>
      </w:r>
      <w:r w:rsidR="00CE086F">
        <w:t xml:space="preserve">the employment of a neutral party to </w:t>
      </w:r>
      <w:r w:rsidR="00F16311">
        <w:t xml:space="preserve">engage in </w:t>
      </w:r>
      <w:r w:rsidR="006A5EBA">
        <w:t xml:space="preserve">participant </w:t>
      </w:r>
      <w:r w:rsidR="00F16311">
        <w:t>recruitment</w:t>
      </w:r>
      <w:r w:rsidR="006A5EBA">
        <w:t>,</w:t>
      </w:r>
      <w:r w:rsidR="00F16311">
        <w:t xml:space="preserve"> or </w:t>
      </w:r>
      <w:r w:rsidR="006A5EBA">
        <w:t xml:space="preserve">to </w:t>
      </w:r>
      <w:r w:rsidR="00CE086F">
        <w:t>conduct informed c</w:t>
      </w:r>
      <w:r w:rsidR="00DA3435">
        <w:t>onsent conversations</w:t>
      </w:r>
      <w:r w:rsidR="0003707A">
        <w:t>;</w:t>
      </w:r>
      <w:r w:rsidR="009A6CA8" w:rsidRPr="009A6CA8">
        <w:rPr>
          <w:rStyle w:val="FootnoteReference"/>
        </w:rPr>
        <w:t xml:space="preserve"> </w:t>
      </w:r>
      <w:r w:rsidR="009A6CA8">
        <w:rPr>
          <w:rStyle w:val="FootnoteReference"/>
        </w:rPr>
        <w:footnoteReference w:id="76"/>
      </w:r>
      <w:r w:rsidR="0003707A">
        <w:t xml:space="preserve"> and</w:t>
      </w:r>
      <w:r w:rsidR="0000648D">
        <w:t>/or</w:t>
      </w:r>
      <w:r w:rsidR="00CE086F">
        <w:t xml:space="preserve"> an </w:t>
      </w:r>
      <w:r w:rsidR="00CE086F">
        <w:lastRenderedPageBreak/>
        <w:t xml:space="preserve">agreement </w:t>
      </w:r>
      <w:r w:rsidR="00720616">
        <w:t xml:space="preserve">to disclose to potential participants the nature </w:t>
      </w:r>
      <w:r w:rsidR="00CE086F">
        <w:t>(and less often</w:t>
      </w:r>
      <w:r w:rsidR="00702244">
        <w:t>,</w:t>
      </w:r>
      <w:r w:rsidR="00CE086F">
        <w:t xml:space="preserve"> the extent)</w:t>
      </w:r>
      <w:r w:rsidR="00720616">
        <w:t xml:space="preserve"> of the investigator’s c</w:t>
      </w:r>
      <w:r w:rsidR="00EA01F8">
        <w:t>onflict</w:t>
      </w:r>
      <w:r w:rsidR="00605507">
        <w:t>, or conflicts,</w:t>
      </w:r>
      <w:r w:rsidR="00EA01F8">
        <w:t xml:space="preserve"> </w:t>
      </w:r>
      <w:r w:rsidR="00720616">
        <w:t>o</w:t>
      </w:r>
      <w:r w:rsidR="00EA01F8">
        <w:t xml:space="preserve">f </w:t>
      </w:r>
      <w:r w:rsidR="00720616">
        <w:t>i</w:t>
      </w:r>
      <w:r w:rsidR="00EA01F8">
        <w:t>nterest</w:t>
      </w:r>
      <w:r w:rsidR="00DA3435">
        <w:t>.</w:t>
      </w:r>
      <w:r w:rsidR="00720616">
        <w:rPr>
          <w:rStyle w:val="FootnoteReference"/>
        </w:rPr>
        <w:footnoteReference w:id="77"/>
      </w:r>
      <w:r w:rsidR="00DA3435">
        <w:t xml:space="preserve"> </w:t>
      </w:r>
      <w:r w:rsidR="00580693">
        <w:t xml:space="preserve"> </w:t>
      </w:r>
    </w:p>
    <w:p w14:paraId="28ED8E45" w14:textId="6D816B0F" w:rsidR="006E33DB" w:rsidRDefault="00702244" w:rsidP="001966D0">
      <w:pPr>
        <w:spacing w:line="480" w:lineRule="auto"/>
        <w:ind w:firstLine="720"/>
      </w:pPr>
      <w:r>
        <w:t>For those influences</w:t>
      </w:r>
      <w:r w:rsidR="000A59B4">
        <w:t xml:space="preserve"> that Bero and G</w:t>
      </w:r>
      <w:r w:rsidR="003940D4">
        <w:t>r</w:t>
      </w:r>
      <w:r w:rsidR="000A59B4">
        <w:t>undy have d</w:t>
      </w:r>
      <w:r w:rsidR="00D111AB">
        <w:t>escribed as</w:t>
      </w:r>
      <w:r>
        <w:t xml:space="preserve"> personal and professional interests there are</w:t>
      </w:r>
      <w:r w:rsidR="0000648D">
        <w:t>, however,</w:t>
      </w:r>
      <w:r>
        <w:t xml:space="preserve"> no such </w:t>
      </w:r>
      <w:r w:rsidR="0023635E">
        <w:t xml:space="preserve">widely accepted </w:t>
      </w:r>
      <w:r>
        <w:t>management strategies and</w:t>
      </w:r>
      <w:r w:rsidR="004319B4">
        <w:t>, despite the journal editors’ laundry list referenced above,</w:t>
      </w:r>
      <w:r>
        <w:t xml:space="preserve"> it is not </w:t>
      </w:r>
      <w:r w:rsidR="007155F9">
        <w:t xml:space="preserve">self-evident </w:t>
      </w:r>
      <w:r>
        <w:t xml:space="preserve">that they would serve any </w:t>
      </w:r>
      <w:r w:rsidR="004319B4">
        <w:t xml:space="preserve">useful purpose. This is not because the interests and identities of researchers </w:t>
      </w:r>
      <w:r w:rsidR="00B43238">
        <w:t>have no effect on research agendas or on the kinds of findings that thei</w:t>
      </w:r>
      <w:r w:rsidR="00657426">
        <w:t>r work is likely to uncover</w:t>
      </w:r>
      <w:r w:rsidR="00B43238">
        <w:t>.</w:t>
      </w:r>
      <w:r w:rsidR="00657426">
        <w:t xml:space="preserve"> Indeed, </w:t>
      </w:r>
      <w:r w:rsidR="00E94000">
        <w:t>as Bero and G</w:t>
      </w:r>
      <w:r w:rsidR="003940D4">
        <w:t>r</w:t>
      </w:r>
      <w:r w:rsidR="00E94000">
        <w:t xml:space="preserve">undy </w:t>
      </w:r>
      <w:r w:rsidR="00857753">
        <w:t xml:space="preserve">have </w:t>
      </w:r>
      <w:r w:rsidR="00E94000">
        <w:t>note</w:t>
      </w:r>
      <w:r w:rsidR="00857753">
        <w:t>d</w:t>
      </w:r>
      <w:r w:rsidR="00E94000">
        <w:t>, “an interested view</w:t>
      </w:r>
      <w:r w:rsidR="00657426">
        <w:t xml:space="preserve"> </w:t>
      </w:r>
      <w:r w:rsidR="00E94000">
        <w:t>– grounded in personal experiences and beliefs</w:t>
      </w:r>
      <w:r w:rsidR="005C6281">
        <w:t>, education and disciplinary training, and intellectual commitments – is crucial to rigorous research and scientific debate.”</w:t>
      </w:r>
      <w:r w:rsidR="0080030C">
        <w:t xml:space="preserve"> </w:t>
      </w:r>
      <w:r w:rsidR="0000648D">
        <w:t>This is because a</w:t>
      </w:r>
      <w:r w:rsidR="00E63499">
        <w:t xml:space="preserve">n </w:t>
      </w:r>
      <w:r w:rsidR="00D111AB">
        <w:t xml:space="preserve">interested view </w:t>
      </w:r>
      <w:r w:rsidR="0000648D">
        <w:t xml:space="preserve">can </w:t>
      </w:r>
      <w:r w:rsidR="00423226">
        <w:t xml:space="preserve">spark curiosity </w:t>
      </w:r>
      <w:r w:rsidR="00D111AB">
        <w:t xml:space="preserve">and sustain commitments especially when projects </w:t>
      </w:r>
      <w:r w:rsidR="00917B98">
        <w:t>are of long duration</w:t>
      </w:r>
      <w:r w:rsidR="0000648D">
        <w:t>,</w:t>
      </w:r>
      <w:r w:rsidR="00917B98">
        <w:t xml:space="preserve"> </w:t>
      </w:r>
      <w:r w:rsidR="00D111AB">
        <w:t xml:space="preserve">and </w:t>
      </w:r>
      <w:r w:rsidR="007B2761">
        <w:t xml:space="preserve">any </w:t>
      </w:r>
      <w:r w:rsidR="00D111AB">
        <w:t xml:space="preserve">rewards </w:t>
      </w:r>
      <w:r w:rsidR="006D3132">
        <w:t>modest</w:t>
      </w:r>
      <w:r w:rsidR="00423226">
        <w:t xml:space="preserve"> or </w:t>
      </w:r>
      <w:r w:rsidR="0000648D">
        <w:t xml:space="preserve">in the </w:t>
      </w:r>
      <w:r w:rsidR="00423226">
        <w:t>distant</w:t>
      </w:r>
      <w:r w:rsidR="0000648D">
        <w:t xml:space="preserve"> future</w:t>
      </w:r>
      <w:r w:rsidR="00D111AB">
        <w:t xml:space="preserve">. </w:t>
      </w:r>
      <w:r w:rsidR="003940D4">
        <w:t>Moreover, w</w:t>
      </w:r>
      <w:r w:rsidR="005C6281">
        <w:t>hen such interests are regarded with suspicion, or conflated with conflict</w:t>
      </w:r>
      <w:r w:rsidR="00D111AB">
        <w:t>s of interest, the result</w:t>
      </w:r>
      <w:r w:rsidR="00423226">
        <w:t>s</w:t>
      </w:r>
      <w:r w:rsidR="005C6281">
        <w:t xml:space="preserve"> can be deeply concerning</w:t>
      </w:r>
      <w:r w:rsidR="00D111AB">
        <w:t xml:space="preserve">. The recusal of </w:t>
      </w:r>
      <w:r w:rsidR="00BC76F9">
        <w:t xml:space="preserve">all who have </w:t>
      </w:r>
      <w:r w:rsidR="00B8461A" w:rsidRPr="00B8461A">
        <w:t>simple interests</w:t>
      </w:r>
      <w:r w:rsidR="00BC76F9">
        <w:t xml:space="preserve"> </w:t>
      </w:r>
      <w:r w:rsidR="004C7976">
        <w:t>can</w:t>
      </w:r>
      <w:r w:rsidR="00F16311">
        <w:t xml:space="preserve"> have </w:t>
      </w:r>
      <w:r w:rsidR="003940D4">
        <w:t xml:space="preserve">the paradoxical effect of </w:t>
      </w:r>
      <w:r w:rsidR="005C6281">
        <w:t>threaten</w:t>
      </w:r>
      <w:r w:rsidR="003940D4">
        <w:t>ing</w:t>
      </w:r>
      <w:r w:rsidR="005C6281">
        <w:t xml:space="preserve"> to </w:t>
      </w:r>
      <w:r w:rsidR="00862B61">
        <w:t xml:space="preserve">advance the agendas of </w:t>
      </w:r>
      <w:r w:rsidR="00BC76F9">
        <w:t xml:space="preserve">the most </w:t>
      </w:r>
      <w:r w:rsidR="00BC76F9">
        <w:lastRenderedPageBreak/>
        <w:t xml:space="preserve">powerful </w:t>
      </w:r>
      <w:r w:rsidR="00423226">
        <w:t xml:space="preserve">and ethically compromised </w:t>
      </w:r>
      <w:r w:rsidR="00BC76F9">
        <w:t>parties</w:t>
      </w:r>
      <w:r w:rsidR="003940D4">
        <w:t>. Unlike, academically</w:t>
      </w:r>
      <w:r w:rsidR="0000648D">
        <w:t xml:space="preserve"> </w:t>
      </w:r>
      <w:r w:rsidR="003940D4">
        <w:t>affiliated scholars</w:t>
      </w:r>
      <w:r w:rsidR="001F7A84">
        <w:t>hip, which</w:t>
      </w:r>
      <w:r w:rsidR="003940D4">
        <w:t xml:space="preserve"> generally </w:t>
      </w:r>
      <w:r w:rsidR="001F7A84">
        <w:t>is</w:t>
      </w:r>
      <w:r w:rsidR="006D7F3E">
        <w:t xml:space="preserve"> self-funded</w:t>
      </w:r>
      <w:r w:rsidR="007155F9">
        <w:t>,</w:t>
      </w:r>
      <w:r w:rsidR="006D7F3E">
        <w:t xml:space="preserve"> or grant</w:t>
      </w:r>
      <w:r w:rsidR="003940D4">
        <w:t>-funded research</w:t>
      </w:r>
      <w:r w:rsidR="00857753">
        <w:t xml:space="preserve"> (research which often operates within such slim margins that completion, much less </w:t>
      </w:r>
      <w:r w:rsidR="00F16311">
        <w:t xml:space="preserve">the </w:t>
      </w:r>
      <w:r w:rsidR="00857753">
        <w:t>dissemination of findings</w:t>
      </w:r>
      <w:r w:rsidR="003940D4">
        <w:t>,</w:t>
      </w:r>
      <w:r w:rsidR="00857753">
        <w:t xml:space="preserve"> is often in jeopardy)</w:t>
      </w:r>
      <w:r w:rsidR="001F7A84">
        <w:t>,</w:t>
      </w:r>
      <w:r w:rsidR="00857753">
        <w:t xml:space="preserve"> industry sponsor</w:t>
      </w:r>
      <w:r w:rsidR="001F7A84">
        <w:t>ed research</w:t>
      </w:r>
      <w:r w:rsidR="00BC76F9">
        <w:t xml:space="preserve"> </w:t>
      </w:r>
      <w:r w:rsidR="006D7F3E">
        <w:t xml:space="preserve">is nearly always </w:t>
      </w:r>
      <w:r w:rsidR="001F7A84">
        <w:t>sufficiently well</w:t>
      </w:r>
      <w:r w:rsidR="004C7976">
        <w:t>-</w:t>
      </w:r>
      <w:r w:rsidR="001F7A84">
        <w:t xml:space="preserve">resourced </w:t>
      </w:r>
      <w:r w:rsidR="00862B61">
        <w:t xml:space="preserve">to promote </w:t>
      </w:r>
      <w:r w:rsidR="001F7A84">
        <w:t xml:space="preserve">the </w:t>
      </w:r>
      <w:r w:rsidR="00862B61">
        <w:t>financial and political ends</w:t>
      </w:r>
      <w:r w:rsidR="001F7A84">
        <w:t xml:space="preserve"> of the funder</w:t>
      </w:r>
      <w:r w:rsidR="00862B61">
        <w:t xml:space="preserve">. </w:t>
      </w:r>
      <w:r w:rsidR="00BC76F9">
        <w:t>Bero and G</w:t>
      </w:r>
      <w:r w:rsidR="003940D4">
        <w:t>r</w:t>
      </w:r>
      <w:r w:rsidR="00BC76F9">
        <w:t xml:space="preserve">undy </w:t>
      </w:r>
      <w:r w:rsidR="0080030C">
        <w:t>continue: “Recusal of scientists based on their personal beliefs and experiences can serve exclusionary purposes and falsely identify certain individuals, who also possess personal beliefs and experiences, as ‘objective,’ narrowing the diversity of perspectives involved in decision making.”</w:t>
      </w:r>
      <w:r w:rsidR="0080030C">
        <w:rPr>
          <w:rStyle w:val="FootnoteReference"/>
        </w:rPr>
        <w:footnoteReference w:id="78"/>
      </w:r>
      <w:r w:rsidR="0080030C">
        <w:t xml:space="preserve"> </w:t>
      </w:r>
      <w:r w:rsidR="0000648D">
        <w:t xml:space="preserve">On their view, </w:t>
      </w:r>
      <w:r w:rsidR="00BF2DCB">
        <w:t>a</w:t>
      </w:r>
      <w:r w:rsidR="00BC76F9">
        <w:t>n alternative and more defensible</w:t>
      </w:r>
      <w:r w:rsidR="00BF2DCB">
        <w:t xml:space="preserve"> way to deal with investigators’ interests is not to encourage </w:t>
      </w:r>
      <w:r w:rsidR="00F76F38">
        <w:t>them to recuse themselves</w:t>
      </w:r>
      <w:r w:rsidR="00BF2DCB">
        <w:t xml:space="preserve"> from all areas in which they have interest</w:t>
      </w:r>
      <w:r w:rsidR="00F76F38">
        <w:t>s,</w:t>
      </w:r>
      <w:r w:rsidR="00BF2DCB">
        <w:t xml:space="preserve"> but </w:t>
      </w:r>
      <w:r w:rsidR="00F76F38">
        <w:t xml:space="preserve">instead </w:t>
      </w:r>
      <w:r w:rsidR="00BF2DCB">
        <w:t>to promote the practice of reflexivity</w:t>
      </w:r>
      <w:r w:rsidR="00F76F38">
        <w:t>;</w:t>
      </w:r>
      <w:r w:rsidR="001C0C07">
        <w:t xml:space="preserve"> that is,</w:t>
      </w:r>
      <w:r w:rsidR="00F76F38">
        <w:t xml:space="preserve"> to make conscious effort</w:t>
      </w:r>
      <w:r w:rsidR="00E76068">
        <w:t>s</w:t>
      </w:r>
      <w:r w:rsidR="00F76F38">
        <w:t xml:space="preserve"> to uncover and explore the values, beliefs</w:t>
      </w:r>
      <w:r w:rsidR="00BC76F9">
        <w:t>,</w:t>
      </w:r>
      <w:r w:rsidR="006E33DB">
        <w:t xml:space="preserve"> and experiences </w:t>
      </w:r>
      <w:r w:rsidR="00F76F38">
        <w:t>of the</w:t>
      </w:r>
      <w:r w:rsidR="00BF2DCB">
        <w:t xml:space="preserve"> individual</w:t>
      </w:r>
      <w:r w:rsidR="00F76F38">
        <w:t>s and groups engaged in</w:t>
      </w:r>
      <w:r w:rsidR="00ED7A82">
        <w:t xml:space="preserve"> a particular enterprise</w:t>
      </w:r>
      <w:r w:rsidR="00F76F38">
        <w:t>.</w:t>
      </w:r>
      <w:r w:rsidR="004D3D04">
        <w:t xml:space="preserve"> </w:t>
      </w:r>
      <w:r w:rsidR="00BC76F9">
        <w:t>They</w:t>
      </w:r>
      <w:r w:rsidR="004D3D04">
        <w:t xml:space="preserve"> do not claim to provide an in-depth analysis of the literature on reflexivity, nor</w:t>
      </w:r>
      <w:r w:rsidR="00BC76F9">
        <w:t xml:space="preserve"> does this brief treatment</w:t>
      </w:r>
      <w:r w:rsidR="009167AD">
        <w:t xml:space="preserve"> constitute</w:t>
      </w:r>
      <w:r w:rsidR="004D3D04">
        <w:t xml:space="preserve"> a</w:t>
      </w:r>
      <w:r w:rsidR="009167AD">
        <w:t>n</w:t>
      </w:r>
      <w:r w:rsidR="004D3D04">
        <w:t xml:space="preserve"> </w:t>
      </w:r>
      <w:r w:rsidR="009167AD">
        <w:t>attempt</w:t>
      </w:r>
      <w:r w:rsidR="004D3D04">
        <w:t xml:space="preserve"> to do so, but the question</w:t>
      </w:r>
      <w:r w:rsidR="00BC76F9">
        <w:t>s</w:t>
      </w:r>
      <w:r w:rsidR="004D3D04">
        <w:t xml:space="preserve"> </w:t>
      </w:r>
      <w:r w:rsidR="00BC76F9">
        <w:t xml:space="preserve">they have crafted </w:t>
      </w:r>
      <w:r w:rsidR="000A6F8C">
        <w:t>are a helpful guide to those seeking an al</w:t>
      </w:r>
      <w:r w:rsidR="00ED7A82">
        <w:t>ternative to the language of COI</w:t>
      </w:r>
      <w:r w:rsidR="000A6F8C">
        <w:t xml:space="preserve"> when discussing </w:t>
      </w:r>
      <w:r w:rsidR="00BC76F9">
        <w:t xml:space="preserve">the </w:t>
      </w:r>
      <w:r w:rsidR="00ED7A82">
        <w:t xml:space="preserve">effects that the identities of individuals might have on their contributions to the research enterprise. Because </w:t>
      </w:r>
      <w:r w:rsidR="006E33DB">
        <w:t xml:space="preserve">these may </w:t>
      </w:r>
      <w:r w:rsidR="006E33DB">
        <w:lastRenderedPageBreak/>
        <w:t>provide</w:t>
      </w:r>
      <w:r w:rsidR="00F91AF5">
        <w:t xml:space="preserve"> </w:t>
      </w:r>
      <w:r w:rsidR="006E33DB">
        <w:t>useful fram</w:t>
      </w:r>
      <w:r w:rsidR="00F91AF5">
        <w:t>ing</w:t>
      </w:r>
      <w:r w:rsidR="00ED7A82">
        <w:t xml:space="preserve"> for the upcoming discussion of ethicists’ </w:t>
      </w:r>
      <w:r w:rsidR="006E33DB">
        <w:t xml:space="preserve">so-called </w:t>
      </w:r>
      <w:r w:rsidR="00ED7A82">
        <w:t>conflicts of interest, they are worth reproducing in full</w:t>
      </w:r>
      <w:r w:rsidR="00CB7DE3">
        <w:t>:</w:t>
      </w:r>
      <w:r w:rsidR="00ED7A82">
        <w:t xml:space="preserve"> </w:t>
      </w:r>
    </w:p>
    <w:p w14:paraId="3C77A7A9" w14:textId="77777777" w:rsidR="006E33DB" w:rsidRPr="004F7AB2" w:rsidRDefault="006E33DB" w:rsidP="006E33DB">
      <w:pPr>
        <w:spacing w:line="480" w:lineRule="auto"/>
        <w:rPr>
          <w:b/>
        </w:rPr>
      </w:pPr>
      <w:r w:rsidRPr="004F7AB2">
        <w:rPr>
          <w:b/>
        </w:rPr>
        <w:t>Key Questions for Reflexivity</w:t>
      </w:r>
    </w:p>
    <w:p w14:paraId="5567D9E2" w14:textId="77777777" w:rsidR="006E33DB" w:rsidRDefault="006E33DB" w:rsidP="006E33DB">
      <w:r>
        <w:t xml:space="preserve">Who is the researcher? </w:t>
      </w:r>
    </w:p>
    <w:p w14:paraId="0C1E84A1" w14:textId="77777777" w:rsidR="006E33DB" w:rsidRDefault="006E33DB" w:rsidP="006E33DB">
      <w:pPr>
        <w:pStyle w:val="ListParagraph"/>
        <w:numPr>
          <w:ilvl w:val="0"/>
          <w:numId w:val="1"/>
        </w:numPr>
      </w:pPr>
      <w:r>
        <w:t xml:space="preserve">What are their </w:t>
      </w:r>
      <w:r w:rsidRPr="00CB7DE3">
        <w:rPr>
          <w:i/>
        </w:rPr>
        <w:t>professional</w:t>
      </w:r>
      <w:r>
        <w:t xml:space="preserve"> identities? What is their discipline, educational background, or training? Where are they employed? What is their career stage, and are they in a position of influence? What is their area of research or theoretical perspective? What are their advocacy positions? </w:t>
      </w:r>
    </w:p>
    <w:p w14:paraId="09D2B995" w14:textId="77777777" w:rsidR="00E618CC" w:rsidRDefault="00E618CC" w:rsidP="00E618CC">
      <w:pPr>
        <w:pStyle w:val="ListParagraph"/>
        <w:spacing w:line="120" w:lineRule="exact"/>
        <w:ind w:left="782"/>
      </w:pPr>
    </w:p>
    <w:p w14:paraId="7426393B" w14:textId="77777777" w:rsidR="006E33DB" w:rsidRDefault="006E33DB" w:rsidP="006E33DB">
      <w:pPr>
        <w:pStyle w:val="ListParagraph"/>
        <w:numPr>
          <w:ilvl w:val="0"/>
          <w:numId w:val="1"/>
        </w:numPr>
      </w:pPr>
      <w:r>
        <w:t>What are their relevant personal identities, including age, race/ethnicity, gender, religious or political affiliations, and life experience?</w:t>
      </w:r>
    </w:p>
    <w:p w14:paraId="796E7DCC" w14:textId="77777777" w:rsidR="00E618CC" w:rsidRDefault="00E618CC" w:rsidP="006E33DB"/>
    <w:p w14:paraId="1EDCF492" w14:textId="77777777" w:rsidR="006E33DB" w:rsidRDefault="006E33DB" w:rsidP="006E33DB">
      <w:r>
        <w:t>How could who they are affect the design, conduct, or reporting of research?</w:t>
      </w:r>
    </w:p>
    <w:p w14:paraId="1D9F4973" w14:textId="77777777" w:rsidR="006E33DB" w:rsidRDefault="006E33DB" w:rsidP="006E33DB">
      <w:r>
        <w:t>Who or what is the focus of the research? For whom does this have consequences? What are those consequences?</w:t>
      </w:r>
    </w:p>
    <w:p w14:paraId="02D19467" w14:textId="77777777" w:rsidR="006E33DB" w:rsidRDefault="006E33DB" w:rsidP="006E33DB">
      <w:r>
        <w:t>Who or what is placed at risk by this research? How?</w:t>
      </w:r>
    </w:p>
    <w:p w14:paraId="3D36DBCE" w14:textId="77777777" w:rsidR="006E33DB" w:rsidRDefault="006E33DB" w:rsidP="006E33DB">
      <w:r>
        <w:t>Who or what is advantaged by this research? How?</w:t>
      </w:r>
    </w:p>
    <w:p w14:paraId="7C9B4401" w14:textId="77777777" w:rsidR="00320659" w:rsidRDefault="006E33DB" w:rsidP="006E33DB">
      <w:r>
        <w:t>What are the ethical, social, political, or economic implications of this research?</w:t>
      </w:r>
      <w:r>
        <w:rPr>
          <w:rStyle w:val="FootnoteReference"/>
        </w:rPr>
        <w:footnoteReference w:id="79"/>
      </w:r>
      <w:r>
        <w:t xml:space="preserve"> </w:t>
      </w:r>
    </w:p>
    <w:p w14:paraId="6B8CC6DB" w14:textId="77777777" w:rsidR="0096138F" w:rsidRDefault="0096138F" w:rsidP="006E33DB"/>
    <w:p w14:paraId="12B5C05D" w14:textId="77777777" w:rsidR="00320659" w:rsidRPr="00C60733" w:rsidRDefault="00320659" w:rsidP="006E33DB">
      <w:pPr>
        <w:rPr>
          <w:b/>
        </w:rPr>
      </w:pPr>
    </w:p>
    <w:p w14:paraId="61A16C8D" w14:textId="77777777" w:rsidR="006E33DB" w:rsidRPr="00B80177" w:rsidRDefault="00C60733" w:rsidP="006E33DB">
      <w:pPr>
        <w:rPr>
          <w:i/>
        </w:rPr>
      </w:pPr>
      <w:r w:rsidRPr="00B80177">
        <w:rPr>
          <w:i/>
        </w:rPr>
        <w:t xml:space="preserve">COI, </w:t>
      </w:r>
      <w:r w:rsidR="00BF3B71" w:rsidRPr="00B80177">
        <w:rPr>
          <w:i/>
        </w:rPr>
        <w:t>Reflexivity</w:t>
      </w:r>
      <w:r w:rsidR="00B80177">
        <w:rPr>
          <w:i/>
        </w:rPr>
        <w:t>,</w:t>
      </w:r>
      <w:r w:rsidR="00BF3B71" w:rsidRPr="00B80177">
        <w:rPr>
          <w:i/>
        </w:rPr>
        <w:t xml:space="preserve"> and the </w:t>
      </w:r>
      <w:r w:rsidR="00F507B3">
        <w:rPr>
          <w:i/>
        </w:rPr>
        <w:t>Nature</w:t>
      </w:r>
      <w:r w:rsidR="00B80177">
        <w:rPr>
          <w:i/>
        </w:rPr>
        <w:t xml:space="preserve"> </w:t>
      </w:r>
      <w:r w:rsidRPr="00B80177">
        <w:rPr>
          <w:i/>
        </w:rPr>
        <w:t xml:space="preserve">of </w:t>
      </w:r>
      <w:r w:rsidR="00BF3B71" w:rsidRPr="00B80177">
        <w:rPr>
          <w:i/>
        </w:rPr>
        <w:t>Ethicists</w:t>
      </w:r>
      <w:r w:rsidR="00B80177">
        <w:rPr>
          <w:i/>
        </w:rPr>
        <w:t>’</w:t>
      </w:r>
      <w:r w:rsidRPr="00B80177">
        <w:rPr>
          <w:i/>
        </w:rPr>
        <w:t xml:space="preserve"> Interests</w:t>
      </w:r>
      <w:r w:rsidR="006E33DB" w:rsidRPr="00B80177">
        <w:rPr>
          <w:i/>
        </w:rPr>
        <w:t xml:space="preserve"> </w:t>
      </w:r>
    </w:p>
    <w:p w14:paraId="08CE42FB" w14:textId="77777777" w:rsidR="00A153ED" w:rsidRDefault="00A153ED" w:rsidP="006E33DB"/>
    <w:p w14:paraId="6BEC3DEB" w14:textId="5E23365C" w:rsidR="00A153ED" w:rsidRPr="00C60733" w:rsidRDefault="00251AE8" w:rsidP="001966D0">
      <w:pPr>
        <w:spacing w:line="480" w:lineRule="auto"/>
        <w:ind w:firstLine="720"/>
      </w:pPr>
      <w:r>
        <w:t xml:space="preserve">Having </w:t>
      </w:r>
      <w:r w:rsidR="003B34EF">
        <w:t xml:space="preserve">had an opportunity to unpack the </w:t>
      </w:r>
      <w:r w:rsidR="00A153ED">
        <w:t>Bero-G</w:t>
      </w:r>
      <w:r w:rsidR="00F507B3">
        <w:t>r</w:t>
      </w:r>
      <w:r w:rsidR="00A153ED">
        <w:t xml:space="preserve">undy distinction between conflict of interest and </w:t>
      </w:r>
      <w:r w:rsidR="00B8461A" w:rsidRPr="00B8461A">
        <w:t>simple interests</w:t>
      </w:r>
      <w:r w:rsidR="00A153ED">
        <w:t xml:space="preserve">, it may be </w:t>
      </w:r>
      <w:r w:rsidR="007147ED">
        <w:t>timely to revisit</w:t>
      </w:r>
      <w:r w:rsidR="00A153ED">
        <w:t xml:space="preserve"> </w:t>
      </w:r>
      <w:r w:rsidR="003B34EF">
        <w:t>the five themes that</w:t>
      </w:r>
      <w:r w:rsidR="00A153ED">
        <w:t xml:space="preserve"> the </w:t>
      </w:r>
      <w:r w:rsidR="00F507B3">
        <w:t>practicing ethicists</w:t>
      </w:r>
      <w:r w:rsidR="00A153ED">
        <w:t xml:space="preserve"> in the </w:t>
      </w:r>
      <w:r w:rsidR="00F507B3">
        <w:t>Frolic-</w:t>
      </w:r>
      <w:r w:rsidR="00A153ED">
        <w:t xml:space="preserve">Chidwick study </w:t>
      </w:r>
      <w:r w:rsidR="00FB7BFE">
        <w:t xml:space="preserve">characterised </w:t>
      </w:r>
      <w:r w:rsidR="00A153ED">
        <w:t>as instances of conflict of interest</w:t>
      </w:r>
      <w:r w:rsidR="003B34EF">
        <w:t xml:space="preserve">. </w:t>
      </w:r>
      <w:r w:rsidR="007147ED">
        <w:t>Succinctly stated</w:t>
      </w:r>
      <w:r w:rsidR="00E76068">
        <w:t>,</w:t>
      </w:r>
      <w:r w:rsidR="003B34EF">
        <w:t xml:space="preserve"> these were: </w:t>
      </w:r>
      <w:r w:rsidR="00A153ED">
        <w:t>“research funding conflicting with research ethics; disclosing ethical issues when ‘due process’ is absent; conflicts between organizational values and the personal values of the</w:t>
      </w:r>
      <w:r>
        <w:t xml:space="preserve"> </w:t>
      </w:r>
      <w:r w:rsidR="00A153ED">
        <w:lastRenderedPageBreak/>
        <w:t>clinical bioethicist; promoting justice within organizations; and balancing competing loyalties and obligations within an organization</w:t>
      </w:r>
      <w:r w:rsidR="003B34EF">
        <w:t>.”</w:t>
      </w:r>
      <w:r w:rsidR="00C60733">
        <w:rPr>
          <w:rStyle w:val="FootnoteReference"/>
        </w:rPr>
        <w:footnoteReference w:id="80"/>
      </w:r>
    </w:p>
    <w:p w14:paraId="61105D0D" w14:textId="77777777" w:rsidR="00AD79E4" w:rsidRDefault="007147ED" w:rsidP="001966D0">
      <w:pPr>
        <w:spacing w:line="480" w:lineRule="auto"/>
        <w:ind w:firstLine="720"/>
      </w:pPr>
      <w:r w:rsidRPr="00C60733">
        <w:t xml:space="preserve">Because the </w:t>
      </w:r>
      <w:r w:rsidR="002975D6">
        <w:t xml:space="preserve">examples </w:t>
      </w:r>
      <w:r w:rsidR="00FB7BFE">
        <w:t xml:space="preserve">included </w:t>
      </w:r>
      <w:r w:rsidR="00C60733">
        <w:t>in th</w:t>
      </w:r>
      <w:r w:rsidR="006E4495">
        <w:t>is</w:t>
      </w:r>
      <w:r w:rsidR="00C60733">
        <w:t xml:space="preserve"> qualitative study </w:t>
      </w:r>
      <w:r w:rsidR="00D705A5">
        <w:t>wer</w:t>
      </w:r>
      <w:r w:rsidR="00775BB7">
        <w:t>e presented as composite cases</w:t>
      </w:r>
      <w:r w:rsidR="0000648D">
        <w:t xml:space="preserve"> (and necessarily lacked the rich detail that would have rendered their respondents identifiable) </w:t>
      </w:r>
      <w:r w:rsidR="00775BB7">
        <w:t>some</w:t>
      </w:r>
      <w:r w:rsidR="00D705A5">
        <w:t xml:space="preserve"> nuanc</w:t>
      </w:r>
      <w:r w:rsidR="00C60733">
        <w:t>e is lost</w:t>
      </w:r>
      <w:r w:rsidR="00D705A5">
        <w:t>. I</w:t>
      </w:r>
      <w:r w:rsidR="00C60733">
        <w:t>t is</w:t>
      </w:r>
      <w:r w:rsidR="002975D6">
        <w:t xml:space="preserve"> interesting to note</w:t>
      </w:r>
      <w:r w:rsidR="00D705A5">
        <w:t>, however,</w:t>
      </w:r>
      <w:r w:rsidR="002975D6">
        <w:t xml:space="preserve"> that </w:t>
      </w:r>
      <w:r w:rsidR="0000585C">
        <w:t>very few</w:t>
      </w:r>
      <w:r w:rsidR="002975D6">
        <w:t xml:space="preserve"> of these</w:t>
      </w:r>
      <w:r w:rsidR="00D705A5">
        <w:t xml:space="preserve"> cases</w:t>
      </w:r>
      <w:r w:rsidR="002975D6">
        <w:t xml:space="preserve">, even on Frolic and Chidwick’s </w:t>
      </w:r>
      <w:r w:rsidR="00F507B3" w:rsidRPr="00F507B3">
        <w:t>inclusive</w:t>
      </w:r>
      <w:r w:rsidR="00F507B3">
        <w:t xml:space="preserve"> </w:t>
      </w:r>
      <w:r w:rsidR="002975D6">
        <w:t xml:space="preserve">understanding, </w:t>
      </w:r>
      <w:r w:rsidR="00861DEE">
        <w:t xml:space="preserve">are </w:t>
      </w:r>
      <w:r w:rsidR="002975D6">
        <w:t xml:space="preserve">helpfully </w:t>
      </w:r>
      <w:r w:rsidR="00172557">
        <w:t>described</w:t>
      </w:r>
      <w:r w:rsidR="00D705A5">
        <w:t xml:space="preserve"> as </w:t>
      </w:r>
      <w:r w:rsidR="00775A56">
        <w:t xml:space="preserve">straightforward </w:t>
      </w:r>
      <w:r w:rsidR="007D2E99">
        <w:t xml:space="preserve">instances </w:t>
      </w:r>
      <w:r w:rsidR="002975D6">
        <w:t>of conflict of interest</w:t>
      </w:r>
      <w:r w:rsidR="00F507B3">
        <w:t xml:space="preserve">; that is, </w:t>
      </w:r>
      <w:r w:rsidR="002975D6">
        <w:t>unless one is to take the</w:t>
      </w:r>
      <w:r w:rsidR="004A0442">
        <w:t xml:space="preserve"> absolutist</w:t>
      </w:r>
      <w:r w:rsidR="00172557">
        <w:t xml:space="preserve"> position </w:t>
      </w:r>
      <w:r w:rsidR="002975D6">
        <w:t xml:space="preserve">that </w:t>
      </w:r>
      <w:r w:rsidR="00CE5FA3">
        <w:t xml:space="preserve">ethicists </w:t>
      </w:r>
      <w:r w:rsidR="00172557">
        <w:t xml:space="preserve">cannot </w:t>
      </w:r>
      <w:r w:rsidR="00D75DF1">
        <w:t xml:space="preserve">exercise unbiased judgement so long as they </w:t>
      </w:r>
      <w:r w:rsidR="00172557">
        <w:t>dra</w:t>
      </w:r>
      <w:r w:rsidR="00CE5FA3">
        <w:t xml:space="preserve">w </w:t>
      </w:r>
      <w:r w:rsidR="00E877FE">
        <w:t xml:space="preserve">salaries </w:t>
      </w:r>
      <w:r w:rsidR="00CE5FA3">
        <w:t>for their work</w:t>
      </w:r>
      <w:r w:rsidR="00172557">
        <w:t>.</w:t>
      </w:r>
      <w:r w:rsidR="00197720">
        <w:t xml:space="preserve"> It may be considered a commonplace that </w:t>
      </w:r>
      <w:r w:rsidR="003233B9">
        <w:t>anyone charged with exerc</w:t>
      </w:r>
      <w:r w:rsidR="00CE0326">
        <w:t xml:space="preserve">ising </w:t>
      </w:r>
      <w:r w:rsidR="003233B9">
        <w:t>discreti</w:t>
      </w:r>
      <w:r w:rsidR="00726A1C">
        <w:t xml:space="preserve">on on behalf of another is </w:t>
      </w:r>
      <w:r w:rsidR="003233B9">
        <w:t xml:space="preserve">conflicted when </w:t>
      </w:r>
      <w:r w:rsidR="00E877FE">
        <w:t xml:space="preserve">her </w:t>
      </w:r>
      <w:r w:rsidR="00CE0326">
        <w:t>analys</w:t>
      </w:r>
      <w:r w:rsidR="00E877FE">
        <w:t>i</w:t>
      </w:r>
      <w:r w:rsidR="00861DEE">
        <w:t>s might attract the disapprobation of</w:t>
      </w:r>
      <w:r w:rsidR="000E4E02">
        <w:t xml:space="preserve"> </w:t>
      </w:r>
      <w:r w:rsidR="003233B9">
        <w:t xml:space="preserve">those who pay </w:t>
      </w:r>
      <w:r w:rsidR="00E877FE">
        <w:t>her</w:t>
      </w:r>
      <w:r w:rsidR="003233B9">
        <w:t xml:space="preserve"> wages</w:t>
      </w:r>
      <w:r w:rsidR="007D2E99">
        <w:t>,</w:t>
      </w:r>
      <w:r w:rsidR="003233B9">
        <w:t xml:space="preserve"> but this critique goes by a little too quickly. </w:t>
      </w:r>
      <w:r w:rsidR="00AD79E4">
        <w:t>It is worthwhile</w:t>
      </w:r>
      <w:r w:rsidR="007D2E99">
        <w:t xml:space="preserve"> </w:t>
      </w:r>
      <w:r w:rsidR="00AD79E4">
        <w:t>to pause for a moment</w:t>
      </w:r>
      <w:r w:rsidR="0000648D">
        <w:t>, therefore,</w:t>
      </w:r>
      <w:r w:rsidR="00AD79E4">
        <w:t xml:space="preserve"> </w:t>
      </w:r>
      <w:r w:rsidR="0000648D">
        <w:t xml:space="preserve">to </w:t>
      </w:r>
      <w:r w:rsidR="007D2E99">
        <w:t xml:space="preserve">look at </w:t>
      </w:r>
      <w:r w:rsidR="00BC41E8">
        <w:t>some</w:t>
      </w:r>
      <w:r w:rsidR="007D2E99">
        <w:t xml:space="preserve"> of </w:t>
      </w:r>
      <w:r w:rsidR="00E877FE">
        <w:t>Frolic and Chidwick’s</w:t>
      </w:r>
      <w:r w:rsidR="007D2E99">
        <w:t xml:space="preserve"> case examples</w:t>
      </w:r>
      <w:r w:rsidR="00AD79E4">
        <w:t xml:space="preserve">, to see what they can illuminate about the pressures faced by the </w:t>
      </w:r>
      <w:r w:rsidR="00775BB7">
        <w:t>practicing healthcare ethicists</w:t>
      </w:r>
      <w:r w:rsidR="00AD79E4">
        <w:t xml:space="preserve"> they surveyed</w:t>
      </w:r>
      <w:r w:rsidR="0000648D">
        <w:t>. Following this it may be possible to ascertain</w:t>
      </w:r>
      <w:r w:rsidR="0000585C">
        <w:t xml:space="preserve"> </w:t>
      </w:r>
      <w:r w:rsidR="007D2E99">
        <w:t xml:space="preserve">whether </w:t>
      </w:r>
      <w:r w:rsidR="00726A1C">
        <w:t>their so-called conflicts were ameliorable with appropriate</w:t>
      </w:r>
      <w:r w:rsidR="00E317E1">
        <w:t xml:space="preserve"> </w:t>
      </w:r>
      <w:r w:rsidR="007D2E99">
        <w:t>management</w:t>
      </w:r>
      <w:r w:rsidR="00775BB7">
        <w:t xml:space="preserve"> strategies</w:t>
      </w:r>
      <w:r w:rsidR="00AD79E4">
        <w:t xml:space="preserve">. </w:t>
      </w:r>
    </w:p>
    <w:p w14:paraId="4BCE9F27" w14:textId="5C898551" w:rsidR="00E94CCB" w:rsidRDefault="0038670D" w:rsidP="001966D0">
      <w:pPr>
        <w:spacing w:line="480" w:lineRule="auto"/>
        <w:ind w:firstLine="720"/>
      </w:pPr>
      <w:r>
        <w:t xml:space="preserve">Frolic and Chidwick’s </w:t>
      </w:r>
      <w:r w:rsidR="00027C5F">
        <w:t>first example</w:t>
      </w:r>
      <w:r w:rsidR="000E4E02">
        <w:t>, which references a tension between the interests of a research funder</w:t>
      </w:r>
      <w:r w:rsidR="00251AE8">
        <w:t xml:space="preserve"> </w:t>
      </w:r>
      <w:r w:rsidR="0085638F" w:rsidRPr="00E877FE">
        <w:t>(</w:t>
      </w:r>
      <w:r w:rsidR="00E94CCB" w:rsidRPr="00E877FE">
        <w:t>and by exten</w:t>
      </w:r>
      <w:r w:rsidR="00251AE8" w:rsidRPr="00E877FE">
        <w:t>sion those of the healthcare institution</w:t>
      </w:r>
      <w:r w:rsidR="0085638F" w:rsidRPr="00E877FE">
        <w:t xml:space="preserve"> which employed her)</w:t>
      </w:r>
      <w:r w:rsidR="00BA19AF">
        <w:t>,</w:t>
      </w:r>
      <w:r w:rsidR="00251AE8" w:rsidRPr="00E877FE">
        <w:t xml:space="preserve"> </w:t>
      </w:r>
      <w:r w:rsidR="000E4E02">
        <w:t xml:space="preserve">and </w:t>
      </w:r>
      <w:r w:rsidR="00830100">
        <w:t xml:space="preserve">generally </w:t>
      </w:r>
      <w:r w:rsidR="000E4E02">
        <w:t>accepted standards of ethics</w:t>
      </w:r>
      <w:r w:rsidR="008A19B1">
        <w:t xml:space="preserve"> in human </w:t>
      </w:r>
      <w:r w:rsidR="00D304A3">
        <w:t xml:space="preserve">subjects </w:t>
      </w:r>
      <w:r w:rsidR="008A19B1">
        <w:t>research</w:t>
      </w:r>
      <w:r>
        <w:t>,</w:t>
      </w:r>
      <w:r w:rsidR="0009131C">
        <w:t xml:space="preserve"> </w:t>
      </w:r>
      <w:r w:rsidR="00085DC0">
        <w:t>a</w:t>
      </w:r>
      <w:r w:rsidR="00BF0BCB">
        <w:t xml:space="preserve">ppears </w:t>
      </w:r>
      <w:r w:rsidR="0044149C">
        <w:t xml:space="preserve">to </w:t>
      </w:r>
      <w:r w:rsidR="00D304A3">
        <w:t>be</w:t>
      </w:r>
      <w:r w:rsidR="00085DC0">
        <w:t xml:space="preserve"> </w:t>
      </w:r>
      <w:r w:rsidR="00122501">
        <w:t xml:space="preserve">a straightforward </w:t>
      </w:r>
      <w:r w:rsidR="007D2E99">
        <w:t>case</w:t>
      </w:r>
      <w:r w:rsidR="004A0442">
        <w:t xml:space="preserve"> </w:t>
      </w:r>
      <w:r w:rsidR="00787D41">
        <w:t xml:space="preserve">of financial conflict </w:t>
      </w:r>
      <w:r w:rsidR="00787D41">
        <w:lastRenderedPageBreak/>
        <w:t xml:space="preserve">of interest (F-COI). </w:t>
      </w:r>
      <w:r w:rsidR="0044149C">
        <w:t xml:space="preserve">The </w:t>
      </w:r>
      <w:r w:rsidR="00E76068">
        <w:t>PHE</w:t>
      </w:r>
      <w:r w:rsidR="0044149C">
        <w:t xml:space="preserve"> was asked </w:t>
      </w:r>
      <w:r w:rsidR="006A5EBA">
        <w:t>by a research ethics b</w:t>
      </w:r>
      <w:r w:rsidR="008A19B1">
        <w:t xml:space="preserve">oard chair to </w:t>
      </w:r>
      <w:r w:rsidR="0044149C">
        <w:t xml:space="preserve">provide an </w:t>
      </w:r>
      <w:r w:rsidR="00BA19AF">
        <w:t>independent</w:t>
      </w:r>
      <w:r w:rsidR="00DE03CF">
        <w:t xml:space="preserve"> </w:t>
      </w:r>
      <w:r w:rsidR="0054357D">
        <w:t xml:space="preserve">ethical </w:t>
      </w:r>
      <w:r w:rsidR="0044149C">
        <w:t xml:space="preserve">analysis of a </w:t>
      </w:r>
      <w:r w:rsidR="0054357D">
        <w:t xml:space="preserve">controversial </w:t>
      </w:r>
      <w:r w:rsidR="0044149C">
        <w:t>research protocol</w:t>
      </w:r>
      <w:r w:rsidR="00A05811">
        <w:t>.</w:t>
      </w:r>
      <w:r w:rsidR="0054357D">
        <w:t xml:space="preserve"> She did so, and the Board</w:t>
      </w:r>
      <w:r w:rsidR="00A05811">
        <w:t>, equipped with her report, voted to reject the</w:t>
      </w:r>
      <w:r w:rsidR="006C4718">
        <w:t xml:space="preserve"> </w:t>
      </w:r>
      <w:r w:rsidR="00C64119">
        <w:t>submission</w:t>
      </w:r>
      <w:r w:rsidR="006C4718">
        <w:t xml:space="preserve">. After the REB </w:t>
      </w:r>
      <w:r w:rsidR="00250E24">
        <w:t>made this</w:t>
      </w:r>
      <w:r w:rsidR="00A05811">
        <w:t xml:space="preserve"> determination</w:t>
      </w:r>
      <w:r w:rsidR="000606E0">
        <w:t>, however,</w:t>
      </w:r>
      <w:r w:rsidR="00405155">
        <w:t xml:space="preserve"> a</w:t>
      </w:r>
      <w:r w:rsidR="000606E0">
        <w:t xml:space="preserve"> hospital </w:t>
      </w:r>
      <w:r w:rsidR="00405155">
        <w:t>administrator informed the ethicist</w:t>
      </w:r>
      <w:r w:rsidR="00A05811">
        <w:t xml:space="preserve"> of the institution’s</w:t>
      </w:r>
      <w:r w:rsidR="00D759CD">
        <w:t xml:space="preserve"> </w:t>
      </w:r>
      <w:r w:rsidR="007E0AB2">
        <w:t xml:space="preserve">financial </w:t>
      </w:r>
      <w:r w:rsidR="00A05811">
        <w:t xml:space="preserve">stake in </w:t>
      </w:r>
      <w:r w:rsidR="00BC41E8">
        <w:t xml:space="preserve">the </w:t>
      </w:r>
      <w:r w:rsidR="00A05811">
        <w:t>study</w:t>
      </w:r>
      <w:r w:rsidR="00405155">
        <w:t xml:space="preserve">, and </w:t>
      </w:r>
      <w:r w:rsidR="000606E0">
        <w:t>insisted</w:t>
      </w:r>
      <w:r w:rsidR="00405155">
        <w:t xml:space="preserve"> </w:t>
      </w:r>
      <w:r w:rsidR="00E94CCB">
        <w:t>that she had exceeded her authority</w:t>
      </w:r>
      <w:r w:rsidR="009C393B">
        <w:t xml:space="preserve"> </w:t>
      </w:r>
      <w:r w:rsidR="00E94CCB">
        <w:t xml:space="preserve">by </w:t>
      </w:r>
      <w:r w:rsidR="0050244F" w:rsidRPr="0050244F">
        <w:t>rendering</w:t>
      </w:r>
      <w:r w:rsidR="0050244F">
        <w:t xml:space="preserve"> an opinion</w:t>
      </w:r>
      <w:r w:rsidR="00E877FE">
        <w:t xml:space="preserve"> on the </w:t>
      </w:r>
      <w:r w:rsidR="007D6910">
        <w:t xml:space="preserve">disposition of </w:t>
      </w:r>
      <w:r w:rsidR="00E877FE">
        <w:t xml:space="preserve">the </w:t>
      </w:r>
      <w:r w:rsidR="007D6910">
        <w:t>trial</w:t>
      </w:r>
      <w:r w:rsidR="0050244F">
        <w:t xml:space="preserve">. </w:t>
      </w:r>
      <w:r w:rsidR="00405155">
        <w:t xml:space="preserve">An ethicist’s </w:t>
      </w:r>
      <w:r w:rsidR="00405155" w:rsidRPr="00405155">
        <w:t>responsibility</w:t>
      </w:r>
      <w:r w:rsidR="0050244F">
        <w:t>, on this leader</w:t>
      </w:r>
      <w:r w:rsidR="0085638F">
        <w:t>’s view, is</w:t>
      </w:r>
      <w:r w:rsidR="0050244F">
        <w:t xml:space="preserve"> </w:t>
      </w:r>
      <w:r w:rsidR="00003671">
        <w:t xml:space="preserve">merely </w:t>
      </w:r>
      <w:r w:rsidR="0050244F">
        <w:t xml:space="preserve">to </w:t>
      </w:r>
      <w:r w:rsidR="00003671">
        <w:t>enumerate</w:t>
      </w:r>
      <w:r w:rsidR="00E94CCB">
        <w:t xml:space="preserve"> </w:t>
      </w:r>
      <w:r w:rsidR="006C4718">
        <w:t xml:space="preserve">the arguments </w:t>
      </w:r>
      <w:r w:rsidR="00405155">
        <w:t xml:space="preserve">for </w:t>
      </w:r>
      <w:r w:rsidR="006C4718">
        <w:t xml:space="preserve">and against </w:t>
      </w:r>
      <w:r w:rsidR="00405155">
        <w:t>a project</w:t>
      </w:r>
      <w:r w:rsidR="007D6910">
        <w:t>. I</w:t>
      </w:r>
      <w:r w:rsidR="00405155">
        <w:t xml:space="preserve">t </w:t>
      </w:r>
      <w:r w:rsidR="0085638F">
        <w:t>i</w:t>
      </w:r>
      <w:r w:rsidR="00405155">
        <w:t>s not to recommend</w:t>
      </w:r>
      <w:r w:rsidR="00BA19AF">
        <w:t>,</w:t>
      </w:r>
      <w:r w:rsidR="00405155">
        <w:t xml:space="preserve"> </w:t>
      </w:r>
      <w:r w:rsidR="005F7646">
        <w:t>or critique</w:t>
      </w:r>
      <w:r w:rsidR="00BA19AF">
        <w:t>,</w:t>
      </w:r>
      <w:r w:rsidR="005F7646">
        <w:t xml:space="preserve"> </w:t>
      </w:r>
      <w:r w:rsidR="00405155">
        <w:t>a particular course of action.</w:t>
      </w:r>
      <w:r w:rsidR="00E94CCB">
        <w:t xml:space="preserve"> </w:t>
      </w:r>
      <w:r w:rsidR="0054357D">
        <w:t xml:space="preserve"> </w:t>
      </w:r>
    </w:p>
    <w:p w14:paraId="50BC766E" w14:textId="0B3C2A43" w:rsidR="007147ED" w:rsidRPr="00C60733" w:rsidRDefault="00787D41" w:rsidP="001966D0">
      <w:pPr>
        <w:spacing w:line="480" w:lineRule="auto"/>
        <w:ind w:firstLine="720"/>
      </w:pPr>
      <w:r>
        <w:t xml:space="preserve">It is </w:t>
      </w:r>
      <w:r w:rsidR="00003671">
        <w:t xml:space="preserve">not </w:t>
      </w:r>
      <w:r w:rsidR="00E317E1">
        <w:t xml:space="preserve">clear </w:t>
      </w:r>
      <w:r w:rsidR="00951C3A">
        <w:t xml:space="preserve">from the </w:t>
      </w:r>
      <w:r w:rsidR="005F7646">
        <w:t xml:space="preserve">narrative whether </w:t>
      </w:r>
      <w:r w:rsidR="00E317E1">
        <w:t>the respondent’</w:t>
      </w:r>
      <w:r w:rsidR="005F7646">
        <w:t xml:space="preserve">s </w:t>
      </w:r>
      <w:r w:rsidR="00E76068">
        <w:t xml:space="preserve">immediate </w:t>
      </w:r>
      <w:r w:rsidR="005F7646">
        <w:t>supervisor,</w:t>
      </w:r>
      <w:r w:rsidR="00003671">
        <w:t xml:space="preserve"> or</w:t>
      </w:r>
      <w:r w:rsidR="005F7646">
        <w:t xml:space="preserve"> other</w:t>
      </w:r>
      <w:r w:rsidR="00E317E1">
        <w:t xml:space="preserve"> in</w:t>
      </w:r>
      <w:r w:rsidR="005F7646">
        <w:t>ternal or external stakeholders (</w:t>
      </w:r>
      <w:r w:rsidR="00951C3A">
        <w:t>aside fro</w:t>
      </w:r>
      <w:r w:rsidR="005F7646">
        <w:t>m the administrator in question)</w:t>
      </w:r>
      <w:r w:rsidR="001966D0">
        <w:t>,</w:t>
      </w:r>
      <w:r>
        <w:t xml:space="preserve"> </w:t>
      </w:r>
      <w:r w:rsidR="005F7646">
        <w:t>exerted</w:t>
      </w:r>
      <w:r w:rsidR="004A2136">
        <w:t xml:space="preserve"> pressure on </w:t>
      </w:r>
      <w:r w:rsidR="007D6910">
        <w:t>t</w:t>
      </w:r>
      <w:r w:rsidR="00BE0E80">
        <w:t>he</w:t>
      </w:r>
      <w:r w:rsidR="007D6910">
        <w:t xml:space="preserve"> bioethicist</w:t>
      </w:r>
      <w:r w:rsidR="00BE0E80">
        <w:t xml:space="preserve"> </w:t>
      </w:r>
      <w:r w:rsidR="004A2136">
        <w:t xml:space="preserve">to approve or </w:t>
      </w:r>
      <w:r w:rsidR="004A0442">
        <w:t xml:space="preserve">to </w:t>
      </w:r>
      <w:r w:rsidR="004A2136">
        <w:t xml:space="preserve">make the case for </w:t>
      </w:r>
      <w:r w:rsidR="0009131C">
        <w:t xml:space="preserve">the </w:t>
      </w:r>
      <w:r w:rsidR="004A2136">
        <w:t>approval of</w:t>
      </w:r>
      <w:r w:rsidR="00BC41E8">
        <w:t xml:space="preserve"> </w:t>
      </w:r>
      <w:r w:rsidR="004A2136">
        <w:t>a projec</w:t>
      </w:r>
      <w:r>
        <w:t xml:space="preserve">t that </w:t>
      </w:r>
      <w:r w:rsidR="00BE0E80">
        <w:t>she deemed ethically problematic</w:t>
      </w:r>
      <w:r w:rsidR="00E317E1">
        <w:t xml:space="preserve">. </w:t>
      </w:r>
      <w:r w:rsidR="00250E24">
        <w:t xml:space="preserve">The </w:t>
      </w:r>
      <w:r w:rsidR="00B77AE6">
        <w:t xml:space="preserve">REB, </w:t>
      </w:r>
      <w:r w:rsidR="00951C3A">
        <w:t>after all</w:t>
      </w:r>
      <w:r w:rsidR="00B77AE6">
        <w:t xml:space="preserve">, </w:t>
      </w:r>
      <w:r w:rsidR="00250E24">
        <w:t xml:space="preserve">took </w:t>
      </w:r>
      <w:r w:rsidR="00B77AE6">
        <w:t>her recommendations</w:t>
      </w:r>
      <w:r w:rsidR="00250E24">
        <w:t xml:space="preserve"> </w:t>
      </w:r>
      <w:r w:rsidR="00085DC0">
        <w:t xml:space="preserve">seriously and </w:t>
      </w:r>
      <w:r w:rsidR="007155F9">
        <w:t xml:space="preserve">subsequently </w:t>
      </w:r>
      <w:r w:rsidR="00250E24">
        <w:t xml:space="preserve">voted to </w:t>
      </w:r>
      <w:r w:rsidR="00951C3A">
        <w:t xml:space="preserve">reject the </w:t>
      </w:r>
      <w:r w:rsidR="00085DC0">
        <w:t>protocol</w:t>
      </w:r>
      <w:r w:rsidR="004E5183">
        <w:t xml:space="preserve">. </w:t>
      </w:r>
      <w:r w:rsidR="00C61D02">
        <w:t xml:space="preserve">If this case is to </w:t>
      </w:r>
      <w:r w:rsidR="00250E24">
        <w:t>qualify as a</w:t>
      </w:r>
      <w:r w:rsidR="00C61D02">
        <w:t xml:space="preserve">n instance of </w:t>
      </w:r>
      <w:r w:rsidR="004E5183">
        <w:t>F-COI</w:t>
      </w:r>
      <w:r w:rsidR="00250E24">
        <w:t xml:space="preserve">, </w:t>
      </w:r>
      <w:r w:rsidR="00C61D02">
        <w:t xml:space="preserve">it seems that </w:t>
      </w:r>
      <w:r w:rsidR="00250E24">
        <w:t>a</w:t>
      </w:r>
      <w:r w:rsidR="00193ED6">
        <w:t xml:space="preserve"> number of distinct and </w:t>
      </w:r>
      <w:r w:rsidR="000606E0">
        <w:t>rebuttable</w:t>
      </w:r>
      <w:r w:rsidR="004A2136">
        <w:t xml:space="preserve"> assumption</w:t>
      </w:r>
      <w:r w:rsidR="004E5183">
        <w:t>s</w:t>
      </w:r>
      <w:r w:rsidR="00C61D02">
        <w:t xml:space="preserve"> </w:t>
      </w:r>
      <w:r w:rsidR="00250E24">
        <w:t xml:space="preserve">need to be </w:t>
      </w:r>
      <w:r w:rsidR="007D6910">
        <w:t>defended</w:t>
      </w:r>
      <w:r w:rsidR="00193ED6">
        <w:t>. These are</w:t>
      </w:r>
      <w:r w:rsidR="004A2136">
        <w:t xml:space="preserve"> </w:t>
      </w:r>
      <w:r w:rsidR="00DA360E">
        <w:t>that</w:t>
      </w:r>
      <w:r w:rsidR="00AB4B9C">
        <w:t xml:space="preserve"> the </w:t>
      </w:r>
      <w:r w:rsidR="004E5183">
        <w:t>ethicist had good reason to believe that</w:t>
      </w:r>
      <w:r w:rsidR="00C61D02">
        <w:t xml:space="preserve"> </w:t>
      </w:r>
      <w:r w:rsidR="004E5183">
        <w:t xml:space="preserve">the </w:t>
      </w:r>
      <w:r w:rsidR="00AB4B9C">
        <w:t xml:space="preserve">interests of the research funders were aligned with those of the healthcare institution; that </w:t>
      </w:r>
      <w:r w:rsidR="00193ED6">
        <w:t>institutional officials were</w:t>
      </w:r>
      <w:r w:rsidR="004A2136">
        <w:t xml:space="preserve"> </w:t>
      </w:r>
      <w:r w:rsidR="00DA360E">
        <w:t>largely</w:t>
      </w:r>
      <w:r w:rsidR="004E5183">
        <w:t xml:space="preserve"> united</w:t>
      </w:r>
      <w:r w:rsidR="00193ED6">
        <w:t xml:space="preserve"> in their desire t</w:t>
      </w:r>
      <w:r w:rsidR="00AB4B9C">
        <w:t xml:space="preserve">o </w:t>
      </w:r>
      <w:r w:rsidR="00193ED6">
        <w:t xml:space="preserve">see the study approved; </w:t>
      </w:r>
      <w:r w:rsidR="00AB4B9C">
        <w:t>that these officials</w:t>
      </w:r>
      <w:r w:rsidR="00193ED6">
        <w:t xml:space="preserve"> were </w:t>
      </w:r>
      <w:r w:rsidR="00AB4B9C">
        <w:t>prepared</w:t>
      </w:r>
      <w:r w:rsidR="004A2136">
        <w:t xml:space="preserve"> to advance an agenda </w:t>
      </w:r>
      <w:r w:rsidR="00193ED6">
        <w:t xml:space="preserve">that could </w:t>
      </w:r>
      <w:r w:rsidR="00C6626D">
        <w:t xml:space="preserve">leave them open to </w:t>
      </w:r>
      <w:r w:rsidR="00C6626D" w:rsidRPr="00C6626D">
        <w:t>reproach</w:t>
      </w:r>
      <w:r w:rsidR="00C6626D">
        <w:t xml:space="preserve"> from </w:t>
      </w:r>
      <w:r w:rsidR="00533607">
        <w:t xml:space="preserve">the </w:t>
      </w:r>
      <w:r w:rsidR="00C6626D">
        <w:t>public</w:t>
      </w:r>
      <w:r w:rsidR="00C61D02">
        <w:t>,</w:t>
      </w:r>
      <w:r w:rsidR="00C6626D">
        <w:t xml:space="preserve"> and </w:t>
      </w:r>
      <w:r w:rsidR="00193ED6">
        <w:t xml:space="preserve">vulnerable to sanction by </w:t>
      </w:r>
      <w:r w:rsidR="00AD0D89">
        <w:t xml:space="preserve">regulatory </w:t>
      </w:r>
      <w:r w:rsidR="00C6626D">
        <w:t>agencies</w:t>
      </w:r>
      <w:r w:rsidR="00193ED6">
        <w:t xml:space="preserve">; that the ethicist was unconfident that her </w:t>
      </w:r>
      <w:r w:rsidR="00C61D02">
        <w:t>independence</w:t>
      </w:r>
      <w:r w:rsidR="00CF7C62">
        <w:t xml:space="preserve"> would</w:t>
      </w:r>
      <w:r w:rsidR="002975D6">
        <w:t xml:space="preserve"> </w:t>
      </w:r>
      <w:r w:rsidR="007D6910">
        <w:t xml:space="preserve">be </w:t>
      </w:r>
      <w:r w:rsidR="00CF7C62">
        <w:t xml:space="preserve">respected </w:t>
      </w:r>
      <w:r w:rsidR="00DA360E">
        <w:t>by her supervisor</w:t>
      </w:r>
      <w:r w:rsidR="00C64119">
        <w:t xml:space="preserve"> or </w:t>
      </w:r>
      <w:r w:rsidR="00C64119">
        <w:lastRenderedPageBreak/>
        <w:t>supervisor</w:t>
      </w:r>
      <w:r w:rsidR="00DA360E">
        <w:t>s</w:t>
      </w:r>
      <w:r w:rsidR="00CF7C62" w:rsidRPr="00BC41E8">
        <w:t>;</w:t>
      </w:r>
      <w:r w:rsidR="00CF7C62">
        <w:t xml:space="preserve"> and, finally, that her failure to endorse the project would be sufficiently objectionable </w:t>
      </w:r>
      <w:r w:rsidR="000606E0">
        <w:t xml:space="preserve">to provoke </w:t>
      </w:r>
      <w:r w:rsidR="00CF7C62">
        <w:t>sanctions</w:t>
      </w:r>
      <w:r w:rsidR="00DE03CF">
        <w:t xml:space="preserve"> against </w:t>
      </w:r>
      <w:r w:rsidR="00A140C9">
        <w:t>her</w:t>
      </w:r>
      <w:r w:rsidR="00CF7C62">
        <w:t>.</w:t>
      </w:r>
      <w:r w:rsidR="007E0AB2">
        <w:t xml:space="preserve"> It should be acknowledged that a</w:t>
      </w:r>
      <w:r w:rsidR="00423E51">
        <w:t xml:space="preserve"> PHE</w:t>
      </w:r>
      <w:r w:rsidR="007E0AB2">
        <w:t xml:space="preserve"> advancing what may be a poorly received position may </w:t>
      </w:r>
      <w:r w:rsidR="00BC41E8">
        <w:t xml:space="preserve">well </w:t>
      </w:r>
      <w:r w:rsidR="007E0AB2">
        <w:t xml:space="preserve">find the independence of her judgement threatened by any of these or similar variables. </w:t>
      </w:r>
      <w:r w:rsidR="00A140C9">
        <w:t>(</w:t>
      </w:r>
      <w:r w:rsidR="007E0AB2">
        <w:t xml:space="preserve">Indeed, it seems reasonable to acknowledge the fact that these sorts of considerations lurk in the background of many cases on which </w:t>
      </w:r>
      <w:r w:rsidR="00DE03CF">
        <w:t>ethicists</w:t>
      </w:r>
      <w:r w:rsidR="007E0AB2">
        <w:t xml:space="preserve"> are invited to comment.</w:t>
      </w:r>
      <w:r w:rsidR="00A140C9">
        <w:t>)</w:t>
      </w:r>
      <w:r w:rsidR="007E0AB2">
        <w:t xml:space="preserve"> </w:t>
      </w:r>
      <w:r w:rsidR="00423E51">
        <w:t>S</w:t>
      </w:r>
      <w:r w:rsidR="007E0AB2">
        <w:t xml:space="preserve">ome practising healthcare ethicists will encounter such pressures more directly and often than others, because </w:t>
      </w:r>
      <w:r w:rsidR="00652161">
        <w:t xml:space="preserve">they have regular access </w:t>
      </w:r>
      <w:r w:rsidR="007E0AB2">
        <w:t>to leadership</w:t>
      </w:r>
      <w:r w:rsidR="00652161">
        <w:t xml:space="preserve"> tables. Those who are only occasional contributors to boardroom discussions may find themselves in especially vulnerable positions if they find themselves without allies on senior management team</w:t>
      </w:r>
      <w:r w:rsidR="00423E51">
        <w:t>s</w:t>
      </w:r>
      <w:r w:rsidR="00652161">
        <w:t xml:space="preserve"> and unfamiliar with the expressive </w:t>
      </w:r>
      <w:r w:rsidR="0019352A">
        <w:t xml:space="preserve">conventions </w:t>
      </w:r>
      <w:r w:rsidR="00652161">
        <w:t xml:space="preserve">and </w:t>
      </w:r>
      <w:r w:rsidR="00353ECF">
        <w:t>group</w:t>
      </w:r>
      <w:r w:rsidR="00652161">
        <w:t xml:space="preserve"> norms </w:t>
      </w:r>
      <w:r w:rsidR="00353ECF">
        <w:t xml:space="preserve">(ethical and otherwise) </w:t>
      </w:r>
      <w:r w:rsidR="00652161">
        <w:t>of high-level institutional committees.</w:t>
      </w:r>
      <w:r w:rsidR="00A91D5B">
        <w:rPr>
          <w:rStyle w:val="FootnoteReference"/>
        </w:rPr>
        <w:footnoteReference w:id="81"/>
      </w:r>
      <w:r w:rsidR="00652161">
        <w:t xml:space="preserve">    </w:t>
      </w:r>
      <w:r w:rsidR="007E0AB2">
        <w:t xml:space="preserve">      </w:t>
      </w:r>
      <w:r w:rsidR="002975D6">
        <w:t xml:space="preserve"> </w:t>
      </w:r>
      <w:r w:rsidR="00C60733">
        <w:t xml:space="preserve">    </w:t>
      </w:r>
    </w:p>
    <w:p w14:paraId="69183CF0" w14:textId="77777777" w:rsidR="006E33DB" w:rsidRDefault="001606FB" w:rsidP="006A5EBA">
      <w:pPr>
        <w:spacing w:line="480" w:lineRule="auto"/>
        <w:ind w:firstLine="720"/>
      </w:pPr>
      <w:r>
        <w:t>It may be prudent for p</w:t>
      </w:r>
      <w:r w:rsidR="003233B9">
        <w:t>ra</w:t>
      </w:r>
      <w:r>
        <w:t>cticing healthcare ethicists to</w:t>
      </w:r>
      <w:r w:rsidR="003233B9">
        <w:t xml:space="preserve"> be attentive to the </w:t>
      </w:r>
      <w:r w:rsidR="008D3C3F">
        <w:t xml:space="preserve">financial realities faced by publically funded systems, </w:t>
      </w:r>
      <w:r>
        <w:t>and the increasing pressure</w:t>
      </w:r>
      <w:r w:rsidR="008D3C3F">
        <w:t>s</w:t>
      </w:r>
      <w:r>
        <w:t xml:space="preserve"> </w:t>
      </w:r>
      <w:r>
        <w:lastRenderedPageBreak/>
        <w:t xml:space="preserve">for hospitals to embrace so-called private-public partnerships may make financial conflicts of interests an even greater threat to institutional integrity than </w:t>
      </w:r>
      <w:r w:rsidR="00614506">
        <w:t>they were in the past</w:t>
      </w:r>
      <w:r w:rsidR="00A140C9">
        <w:t>. W</w:t>
      </w:r>
      <w:r w:rsidR="00B95571">
        <w:t>hat is not clear, however,</w:t>
      </w:r>
      <w:r w:rsidR="00A43B03">
        <w:t xml:space="preserve"> is that </w:t>
      </w:r>
      <w:r w:rsidR="00B95571">
        <w:t>ethicists</w:t>
      </w:r>
      <w:r w:rsidR="008D3C3F">
        <w:t xml:space="preserve"> generally </w:t>
      </w:r>
      <w:r w:rsidR="008335F6">
        <w:t xml:space="preserve">are </w:t>
      </w:r>
      <w:r w:rsidR="00A43B03">
        <w:t xml:space="preserve">expected </w:t>
      </w:r>
      <w:r w:rsidR="00B95571">
        <w:t xml:space="preserve">to </w:t>
      </w:r>
      <w:r w:rsidR="008335F6">
        <w:t>favour</w:t>
      </w:r>
      <w:r w:rsidR="00A43B03">
        <w:t xml:space="preserve"> positions that maximise revenue generation opportunities for their </w:t>
      </w:r>
      <w:r w:rsidR="008D3C3F">
        <w:t xml:space="preserve">employers. </w:t>
      </w:r>
      <w:r w:rsidR="00E20968">
        <w:t>When invited to provide advice on a specific case</w:t>
      </w:r>
      <w:r w:rsidR="00353ECF">
        <w:t>,</w:t>
      </w:r>
      <w:r w:rsidR="00E20968">
        <w:t xml:space="preserve"> a</w:t>
      </w:r>
      <w:r w:rsidR="00652161">
        <w:t xml:space="preserve"> practicing healthcare </w:t>
      </w:r>
      <w:r w:rsidR="00E20968">
        <w:t xml:space="preserve">ethicist </w:t>
      </w:r>
      <w:r w:rsidR="00652161">
        <w:t xml:space="preserve">typically </w:t>
      </w:r>
      <w:r w:rsidR="000E3857">
        <w:t>supplies</w:t>
      </w:r>
      <w:r w:rsidR="00E20968">
        <w:t xml:space="preserve"> an analysis that </w:t>
      </w:r>
      <w:r w:rsidR="00D53815">
        <w:t xml:space="preserve">details </w:t>
      </w:r>
      <w:r w:rsidR="00E20968">
        <w:t xml:space="preserve">the opportunities and risks associated with </w:t>
      </w:r>
      <w:r w:rsidR="00D53815">
        <w:t>the various courses of action being proposed. She may regard some possibilities as so ethically deficient as to be indefensible and</w:t>
      </w:r>
      <w:r w:rsidR="007D6910">
        <w:t>,</w:t>
      </w:r>
      <w:r w:rsidR="00D53815">
        <w:t xml:space="preserve"> </w:t>
      </w:r>
      <w:r w:rsidR="000E3857">
        <w:t xml:space="preserve">if that is the case, she </w:t>
      </w:r>
      <w:r w:rsidR="00D53815">
        <w:t xml:space="preserve">ought to provide compelling reasons for making such claims as well. </w:t>
      </w:r>
      <w:r w:rsidR="00833973">
        <w:t xml:space="preserve">A failure to provide a thorough </w:t>
      </w:r>
      <w:r w:rsidR="00602EE0">
        <w:t xml:space="preserve">and forthright </w:t>
      </w:r>
      <w:r w:rsidR="00833973">
        <w:t xml:space="preserve">analysis </w:t>
      </w:r>
      <w:r w:rsidR="007D6910">
        <w:t xml:space="preserve">has the potential to </w:t>
      </w:r>
      <w:r w:rsidR="00622AC4">
        <w:t>leave</w:t>
      </w:r>
      <w:r w:rsidR="00833973">
        <w:t xml:space="preserve"> the institution vulnerable to more rigorous </w:t>
      </w:r>
      <w:r w:rsidR="00A74285">
        <w:t xml:space="preserve">and potentially damaging </w:t>
      </w:r>
      <w:r w:rsidR="00833973">
        <w:t>external critic</w:t>
      </w:r>
      <w:r w:rsidR="00622AC4">
        <w:t>i</w:t>
      </w:r>
      <w:r w:rsidR="00833973">
        <w:t>s</w:t>
      </w:r>
      <w:r w:rsidR="00622AC4">
        <w:t>m</w:t>
      </w:r>
      <w:r w:rsidR="00833973">
        <w:t xml:space="preserve">, and the </w:t>
      </w:r>
      <w:r w:rsidR="00C36BFF">
        <w:t>ethic</w:t>
      </w:r>
      <w:r w:rsidR="00622AC4">
        <w:t>ist</w:t>
      </w:r>
      <w:r w:rsidR="007D6910">
        <w:t>’</w:t>
      </w:r>
      <w:r w:rsidR="00622AC4">
        <w:t xml:space="preserve">s supervisors would be </w:t>
      </w:r>
      <w:r w:rsidR="000E3857">
        <w:t xml:space="preserve">wise </w:t>
      </w:r>
      <w:r w:rsidR="00C36BFF">
        <w:t xml:space="preserve">to welcome rather than to reject positions that </w:t>
      </w:r>
      <w:r w:rsidR="00622AC4">
        <w:t xml:space="preserve">challenge </w:t>
      </w:r>
      <w:r w:rsidR="00C36BFF">
        <w:t xml:space="preserve">their </w:t>
      </w:r>
      <w:r w:rsidR="00A118B6">
        <w:t>perspectives</w:t>
      </w:r>
      <w:r w:rsidR="00353ECF">
        <w:t>,</w:t>
      </w:r>
      <w:r w:rsidR="00622AC4">
        <w:t xml:space="preserve"> or conflict with their </w:t>
      </w:r>
      <w:r w:rsidR="000E3857">
        <w:t xml:space="preserve">immediate </w:t>
      </w:r>
      <w:r w:rsidR="00622AC4">
        <w:t>interests</w:t>
      </w:r>
      <w:r w:rsidR="00C36BFF">
        <w:t>.</w:t>
      </w:r>
      <w:r w:rsidR="00327D18">
        <w:t xml:space="preserve"> In short, if the institution and the </w:t>
      </w:r>
      <w:r w:rsidR="00952B9C">
        <w:t xml:space="preserve">PHE are clear about how she can best </w:t>
      </w:r>
      <w:r w:rsidR="000E3857">
        <w:t>perform her role (which typically will mean that she has considered</w:t>
      </w:r>
      <w:r w:rsidR="00952B9C">
        <w:t xml:space="preserve"> the interests of </w:t>
      </w:r>
      <w:r w:rsidR="00602EE0">
        <w:t xml:space="preserve">all parties </w:t>
      </w:r>
      <w:r w:rsidR="000E3857">
        <w:t xml:space="preserve">including </w:t>
      </w:r>
      <w:r w:rsidR="00602EE0">
        <w:t xml:space="preserve">the institution and </w:t>
      </w:r>
      <w:r w:rsidR="00952B9C">
        <w:t>its financial interests</w:t>
      </w:r>
      <w:r w:rsidR="00421C95">
        <w:rPr>
          <w:rStyle w:val="FootnoteReference"/>
        </w:rPr>
        <w:footnoteReference w:id="82"/>
      </w:r>
      <w:r w:rsidR="000E3857">
        <w:t>)</w:t>
      </w:r>
      <w:r w:rsidR="00952B9C">
        <w:t xml:space="preserve">, the impact of the conflict </w:t>
      </w:r>
      <w:r w:rsidR="000E3857">
        <w:t>will be</w:t>
      </w:r>
      <w:r w:rsidR="00952B9C">
        <w:t xml:space="preserve"> substantially </w:t>
      </w:r>
      <w:r w:rsidR="00952B9C" w:rsidRPr="00952B9C">
        <w:t>diminished</w:t>
      </w:r>
      <w:r w:rsidR="00952B9C">
        <w:t xml:space="preserve">. </w:t>
      </w:r>
      <w:r w:rsidR="000E3857">
        <w:t>The ethicist would</w:t>
      </w:r>
      <w:r w:rsidR="00952B9C">
        <w:t xml:space="preserve"> not be harming her employers by mounting a vigorous </w:t>
      </w:r>
      <w:r w:rsidR="000E3857">
        <w:t>dissent</w:t>
      </w:r>
      <w:r w:rsidR="00CB2EDB">
        <w:t xml:space="preserve"> to a preferred course of </w:t>
      </w:r>
      <w:r w:rsidR="00CB2EDB">
        <w:lastRenderedPageBreak/>
        <w:t>action</w:t>
      </w:r>
      <w:r w:rsidR="000E3857">
        <w:t xml:space="preserve">. On the contrary, she would be </w:t>
      </w:r>
      <w:r w:rsidR="00952B9C">
        <w:t xml:space="preserve">supplying them with the resources </w:t>
      </w:r>
      <w:r w:rsidR="000E3857">
        <w:t xml:space="preserve">needed </w:t>
      </w:r>
      <w:r w:rsidR="00952B9C">
        <w:t>to come to an informed decision, even if</w:t>
      </w:r>
      <w:r w:rsidR="00927080">
        <w:t xml:space="preserve"> that decision </w:t>
      </w:r>
      <w:r w:rsidR="007D6910">
        <w:t xml:space="preserve">were </w:t>
      </w:r>
      <w:r w:rsidR="00927080">
        <w:t xml:space="preserve">one </w:t>
      </w:r>
      <w:r w:rsidR="008F37B0">
        <w:t xml:space="preserve">that </w:t>
      </w:r>
      <w:r w:rsidR="00927080">
        <w:t>she personally would be inclined to disavow.</w:t>
      </w:r>
      <w:r w:rsidR="00952B9C">
        <w:t xml:space="preserve"> </w:t>
      </w:r>
      <w:r w:rsidR="00843E6F">
        <w:t xml:space="preserve">The </w:t>
      </w:r>
      <w:r w:rsidR="00602EE0">
        <w:t xml:space="preserve">bioethicist who was the study </w:t>
      </w:r>
      <w:r w:rsidR="00843E6F">
        <w:t>respondent at the centre of the research ethics case</w:t>
      </w:r>
      <w:r w:rsidR="00A90FCE">
        <w:t xml:space="preserve"> came</w:t>
      </w:r>
      <w:r w:rsidR="008F37B0">
        <w:t xml:space="preserve"> close to appreciating this insight when she </w:t>
      </w:r>
      <w:r w:rsidR="00A90FCE">
        <w:t>noted that</w:t>
      </w:r>
      <w:r w:rsidR="00843E6F">
        <w:t>,</w:t>
      </w:r>
      <w:r w:rsidR="00A90FCE">
        <w:t xml:space="preserve"> “[t]his was a conflict between my professional obligations as a bioethicist to render honest ethical analysis, versus saying what my institution wanted to hear.”</w:t>
      </w:r>
      <w:r w:rsidR="00843E6F">
        <w:rPr>
          <w:rStyle w:val="FootnoteReference"/>
        </w:rPr>
        <w:footnoteReference w:id="83"/>
      </w:r>
      <w:r w:rsidR="00A90FCE">
        <w:t xml:space="preserve">    </w:t>
      </w:r>
      <w:r w:rsidR="008F37B0">
        <w:t xml:space="preserve">  </w:t>
      </w:r>
    </w:p>
    <w:p w14:paraId="61E6C15D" w14:textId="6FC3821A" w:rsidR="00756D08" w:rsidRDefault="00521740" w:rsidP="001966D0">
      <w:pPr>
        <w:spacing w:line="480" w:lineRule="auto"/>
        <w:ind w:firstLine="720"/>
      </w:pPr>
      <w:r>
        <w:t xml:space="preserve">The other cases that fell within the ambit of Frolic and Chidwick’s naturalised conception of COI </w:t>
      </w:r>
      <w:r w:rsidR="00C61D02">
        <w:t xml:space="preserve">are even less clear-cut than the first. These cases concerned ethicists who </w:t>
      </w:r>
      <w:r w:rsidR="00353ECF">
        <w:t>seemed to be</w:t>
      </w:r>
      <w:r w:rsidR="00C61D02">
        <w:t xml:space="preserve"> genuinely perplexed about key aspects of the</w:t>
      </w:r>
      <w:r w:rsidR="00602EE0">
        <w:t>ir</w:t>
      </w:r>
      <w:r w:rsidR="00C61D02">
        <w:t xml:space="preserve"> role</w:t>
      </w:r>
      <w:r w:rsidR="004437AD">
        <w:t>s</w:t>
      </w:r>
      <w:r w:rsidR="00C61D02">
        <w:t>. They were uncertain about who their client or client</w:t>
      </w:r>
      <w:r w:rsidR="00756D08">
        <w:t xml:space="preserve">s might be, and </w:t>
      </w:r>
      <w:r w:rsidR="00353ECF">
        <w:t xml:space="preserve">were </w:t>
      </w:r>
      <w:r w:rsidR="00756D08">
        <w:t>equally conflicted</w:t>
      </w:r>
      <w:r w:rsidR="00C61D02">
        <w:t xml:space="preserve"> about the nature of the service they were to provide (ally, advocate, whistle-blower, </w:t>
      </w:r>
      <w:r w:rsidR="00323B00">
        <w:t xml:space="preserve">or </w:t>
      </w:r>
      <w:r w:rsidR="00C61D02">
        <w:t>wi</w:t>
      </w:r>
      <w:r w:rsidR="00D44ECE">
        <w:t>n</w:t>
      </w:r>
      <w:r w:rsidR="00C61D02">
        <w:t>dow-dressing</w:t>
      </w:r>
      <w:r w:rsidR="001E4E61">
        <w:t>?</w:t>
      </w:r>
      <w:r w:rsidR="00C61D02">
        <w:t xml:space="preserve">). Without clarity </w:t>
      </w:r>
      <w:r w:rsidR="00353ECF">
        <w:t xml:space="preserve">on such fundamental </w:t>
      </w:r>
      <w:r w:rsidR="005449DD">
        <w:t xml:space="preserve">issues </w:t>
      </w:r>
      <w:r w:rsidR="00C61D02">
        <w:t xml:space="preserve">the opportunities for boundary crossings and burnout are </w:t>
      </w:r>
      <w:r w:rsidR="005449DD">
        <w:t>plentiful</w:t>
      </w:r>
      <w:r w:rsidR="00C61D02">
        <w:t xml:space="preserve">. It is hardly surprising, therefore, that many invoked the language of moral distress and </w:t>
      </w:r>
      <w:r w:rsidR="006A5EBA">
        <w:t>th</w:t>
      </w:r>
      <w:r w:rsidR="00C61D02">
        <w:t>a</w:t>
      </w:r>
      <w:r w:rsidR="006A5EBA">
        <w:t>t</w:t>
      </w:r>
      <w:r w:rsidR="00C61D02">
        <w:t xml:space="preserve"> half </w:t>
      </w:r>
      <w:r w:rsidR="002B6684">
        <w:t xml:space="preserve">of the respondents </w:t>
      </w:r>
      <w:r w:rsidR="00C61D02">
        <w:t>indicated that they had changed employers or had left the field entirely</w:t>
      </w:r>
      <w:r w:rsidR="002B6684">
        <w:t xml:space="preserve"> owing to the challenges they faced</w:t>
      </w:r>
      <w:r w:rsidR="00C61D02">
        <w:t>.</w:t>
      </w:r>
    </w:p>
    <w:p w14:paraId="6C95087D" w14:textId="77777777" w:rsidR="0096138F" w:rsidRDefault="00756D08" w:rsidP="00C61D02">
      <w:pPr>
        <w:spacing w:line="480" w:lineRule="auto"/>
      </w:pPr>
      <w:r>
        <w:t>The particulars of the cases differ significantly, but anchoring the analysis in the ethicists’ own words may be helpful in illustrating what Frolic and Chidwick</w:t>
      </w:r>
      <w:r w:rsidR="005449DD">
        <w:t xml:space="preserve">, </w:t>
      </w:r>
      <w:r w:rsidR="006C5205">
        <w:t>adopting</w:t>
      </w:r>
      <w:r w:rsidR="005449DD">
        <w:t xml:space="preserve"> the usage of </w:t>
      </w:r>
      <w:r w:rsidR="006C5205">
        <w:t xml:space="preserve">Andrew </w:t>
      </w:r>
      <w:r w:rsidR="005449DD">
        <w:t>Stark,</w:t>
      </w:r>
      <w:r>
        <w:t xml:space="preserve"> d</w:t>
      </w:r>
      <w:r w:rsidR="00601AA0">
        <w:t>escribed as</w:t>
      </w:r>
      <w:r>
        <w:t xml:space="preserve"> “in</w:t>
      </w:r>
      <w:r w:rsidR="006C5205">
        <w:t>-</w:t>
      </w:r>
      <w:r>
        <w:t>role” conflicts of interest</w:t>
      </w:r>
      <w:r w:rsidR="00174639">
        <w:t>; that is, th</w:t>
      </w:r>
      <w:r w:rsidR="006C5205">
        <w:t xml:space="preserve">ose related not to external interests that conflict with the ethicists’ </w:t>
      </w:r>
      <w:r w:rsidR="006C5205">
        <w:lastRenderedPageBreak/>
        <w:t xml:space="preserve">professional duties, but conflicts that </w:t>
      </w:r>
      <w:r w:rsidR="00174639">
        <w:t>were described as</w:t>
      </w:r>
      <w:r w:rsidR="00286758">
        <w:t xml:space="preserve"> competing obligations that were</w:t>
      </w:r>
      <w:r w:rsidR="006C5205">
        <w:t xml:space="preserve"> “intrinsic to the professional’s role.”</w:t>
      </w:r>
      <w:r w:rsidR="006C5205">
        <w:rPr>
          <w:rStyle w:val="FootnoteReference"/>
        </w:rPr>
        <w:footnoteReference w:id="84"/>
      </w:r>
      <w:r w:rsidR="00C61D02">
        <w:t xml:space="preserve"> </w:t>
      </w:r>
      <w:r w:rsidR="00AE047B">
        <w:t xml:space="preserve">One PHE, frustrated by her administration’s failure to </w:t>
      </w:r>
      <w:r w:rsidR="00EB4140">
        <w:t xml:space="preserve">discipline </w:t>
      </w:r>
      <w:r w:rsidR="005449DD">
        <w:t xml:space="preserve">a group of </w:t>
      </w:r>
      <w:r w:rsidR="00EB4140">
        <w:t>s</w:t>
      </w:r>
      <w:r w:rsidR="005449DD">
        <w:t>urgeons</w:t>
      </w:r>
      <w:r w:rsidR="00EB4140">
        <w:t xml:space="preserve"> for poor performance and </w:t>
      </w:r>
      <w:r w:rsidR="005449DD">
        <w:t xml:space="preserve">for failing </w:t>
      </w:r>
      <w:r w:rsidR="00561509">
        <w:t>subsequently</w:t>
      </w:r>
      <w:r w:rsidR="00EB4140">
        <w:t xml:space="preserve"> </w:t>
      </w:r>
      <w:r w:rsidR="00561509">
        <w:t xml:space="preserve">to </w:t>
      </w:r>
      <w:r w:rsidR="00EB4140">
        <w:t xml:space="preserve">disclose the full extent of their risky practice </w:t>
      </w:r>
      <w:r w:rsidR="00174639">
        <w:t>stated</w:t>
      </w:r>
      <w:r w:rsidR="00AE047B">
        <w:t>, “[a]ll of my attempts at internal advocacy have been blocked or silenced. Some people think that as the ethicist I should be whistle-blowing and going to the media.”</w:t>
      </w:r>
      <w:r w:rsidR="002A7262">
        <w:rPr>
          <w:rStyle w:val="FootnoteReference"/>
        </w:rPr>
        <w:footnoteReference w:id="85"/>
      </w:r>
      <w:r w:rsidR="00AE047B">
        <w:t xml:space="preserve"> Another </w:t>
      </w:r>
      <w:r w:rsidR="006D2393">
        <w:t>ethicist, frustrated by a hierarchical climate</w:t>
      </w:r>
      <w:r w:rsidR="008E74CE">
        <w:t xml:space="preserve">, opaque priority-setting standards, </w:t>
      </w:r>
      <w:r w:rsidR="006D2393">
        <w:t>and a callous approach to human resource management,</w:t>
      </w:r>
      <w:r w:rsidR="00AD4678">
        <w:t xml:space="preserve"> found herself confronted by an angry chief executive officer when she </w:t>
      </w:r>
      <w:r w:rsidR="004437AD">
        <w:t xml:space="preserve">attempted to </w:t>
      </w:r>
      <w:r w:rsidR="000F17B6">
        <w:t xml:space="preserve">communicate her concerns </w:t>
      </w:r>
      <w:r w:rsidR="00174639">
        <w:t xml:space="preserve">directly </w:t>
      </w:r>
      <w:r w:rsidR="000F17B6">
        <w:t xml:space="preserve">to the hospital’s </w:t>
      </w:r>
      <w:r w:rsidR="005449DD">
        <w:t>b</w:t>
      </w:r>
      <w:r w:rsidR="000F17B6">
        <w:t xml:space="preserve">oard of </w:t>
      </w:r>
      <w:r w:rsidR="00174639">
        <w:t>governor</w:t>
      </w:r>
      <w:r w:rsidR="000F17B6">
        <w:t>s</w:t>
      </w:r>
      <w:r w:rsidR="00286758">
        <w:t xml:space="preserve">: “It was made clear to me that I was not going to be fired this time, but I should never go </w:t>
      </w:r>
      <w:r w:rsidR="00CB2EDB">
        <w:t>t</w:t>
      </w:r>
      <w:r w:rsidR="00286758">
        <w:t>o the Board directly with anything negative</w:t>
      </w:r>
      <w:r w:rsidR="00561509">
        <w:t xml:space="preserve"> in the future</w:t>
      </w:r>
      <w:r w:rsidR="00286758">
        <w:t>.”</w:t>
      </w:r>
      <w:r w:rsidR="00286758">
        <w:rPr>
          <w:rStyle w:val="FootnoteReference"/>
        </w:rPr>
        <w:footnoteReference w:id="86"/>
      </w:r>
      <w:r w:rsidR="00602EE0">
        <w:t xml:space="preserve"> Yet another </w:t>
      </w:r>
      <w:r w:rsidR="004D1562">
        <w:t xml:space="preserve">ethicist </w:t>
      </w:r>
      <w:r w:rsidR="00602EE0">
        <w:t xml:space="preserve">found herself torn between an obligation to protect confidentiality </w:t>
      </w:r>
      <w:r w:rsidR="004D1562">
        <w:t>and a</w:t>
      </w:r>
      <w:r w:rsidR="00602EE0">
        <w:t xml:space="preserve"> desire to </w:t>
      </w:r>
      <w:r w:rsidR="004D1562">
        <w:t>shield a colleague from embarrassment</w:t>
      </w:r>
      <w:r w:rsidR="00174639">
        <w:t>; and i</w:t>
      </w:r>
      <w:r w:rsidR="004437AD">
        <w:t>n the final case, a</w:t>
      </w:r>
      <w:r w:rsidR="007D677C">
        <w:t xml:space="preserve"> PHE</w:t>
      </w:r>
      <w:r w:rsidR="004437AD">
        <w:t xml:space="preserve"> </w:t>
      </w:r>
      <w:r w:rsidR="007101E9">
        <w:t xml:space="preserve">found herself torn between an impulse toward cost containment and the competing intuition that her job involved “advocating for patient needs first” </w:t>
      </w:r>
      <w:r w:rsidR="002F490A">
        <w:t>by</w:t>
      </w:r>
      <w:r w:rsidR="007101E9">
        <w:t xml:space="preserve"> alerting her employer “that the hospital had to get its act together </w:t>
      </w:r>
      <w:r w:rsidR="005D7B39">
        <w:t>to create an appropriate process for dealing with uninsured patients.”</w:t>
      </w:r>
      <w:r w:rsidR="005D7B39">
        <w:rPr>
          <w:rStyle w:val="FootnoteReference"/>
        </w:rPr>
        <w:footnoteReference w:id="87"/>
      </w:r>
      <w:r w:rsidR="007D677C">
        <w:t xml:space="preserve"> The outcome of </w:t>
      </w:r>
      <w:r w:rsidR="00F7620D">
        <w:t>her</w:t>
      </w:r>
      <w:r w:rsidR="007D677C">
        <w:t xml:space="preserve"> decision to prioritise </w:t>
      </w:r>
      <w:r w:rsidR="00F71908">
        <w:t xml:space="preserve">the </w:t>
      </w:r>
      <w:r w:rsidR="00F71908">
        <w:lastRenderedPageBreak/>
        <w:t xml:space="preserve">needs of </w:t>
      </w:r>
      <w:r w:rsidR="007D677C">
        <w:t>patient</w:t>
      </w:r>
      <w:r w:rsidR="00F71908">
        <w:t xml:space="preserve">s </w:t>
      </w:r>
      <w:r w:rsidR="007D677C">
        <w:t>was a gradual</w:t>
      </w:r>
      <w:r w:rsidR="002F490A">
        <w:t xml:space="preserve"> </w:t>
      </w:r>
      <w:r w:rsidR="007D677C">
        <w:t>but</w:t>
      </w:r>
      <w:r w:rsidR="002F490A">
        <w:t>, on her view,</w:t>
      </w:r>
      <w:r w:rsidR="007D677C">
        <w:t xml:space="preserve"> </w:t>
      </w:r>
      <w:r w:rsidR="002F490A">
        <w:t>purposeful</w:t>
      </w:r>
      <w:r w:rsidR="007D677C">
        <w:t>, re</w:t>
      </w:r>
      <w:r w:rsidR="002F490A">
        <w:t>organization</w:t>
      </w:r>
      <w:r w:rsidR="007D677C">
        <w:t xml:space="preserve"> of </w:t>
      </w:r>
      <w:r w:rsidR="002F490A">
        <w:t>her</w:t>
      </w:r>
      <w:r w:rsidR="007D677C">
        <w:t xml:space="preserve"> responsibilities, so that she </w:t>
      </w:r>
      <w:r w:rsidR="00F7620D">
        <w:t>was</w:t>
      </w:r>
      <w:r w:rsidR="007D677C">
        <w:t xml:space="preserve"> </w:t>
      </w:r>
      <w:r w:rsidR="00F7620D">
        <w:t xml:space="preserve">assigned </w:t>
      </w:r>
      <w:r w:rsidR="007D677C">
        <w:t xml:space="preserve">greater responsibility for research ethics work and </w:t>
      </w:r>
      <w:r w:rsidR="002F490A">
        <w:t xml:space="preserve">was consequently </w:t>
      </w:r>
      <w:r w:rsidR="007D677C">
        <w:t xml:space="preserve">less available for clinical ethics consultation. </w:t>
      </w:r>
      <w:r w:rsidR="00CB2EDB">
        <w:t>In other words, the institution did not discipline her directly</w:t>
      </w:r>
      <w:r w:rsidR="004A33BC">
        <w:t>,</w:t>
      </w:r>
      <w:r w:rsidR="00CB2EDB">
        <w:t xml:space="preserve"> but her leadership team found</w:t>
      </w:r>
      <w:r w:rsidR="00E3272C">
        <w:t xml:space="preserve"> </w:t>
      </w:r>
      <w:r w:rsidR="00CB2EDB">
        <w:t xml:space="preserve">a way to keep her </w:t>
      </w:r>
      <w:r w:rsidR="004A33BC">
        <w:t>clear of</w:t>
      </w:r>
      <w:r w:rsidR="00CB2EDB">
        <w:t xml:space="preserve"> the areas where her contributions were likely to be </w:t>
      </w:r>
      <w:r w:rsidR="008427F7">
        <w:t>perceived as problematic</w:t>
      </w:r>
      <w:r w:rsidR="00CB2EDB">
        <w:t>.</w:t>
      </w:r>
      <w:r w:rsidR="00457478">
        <w:rPr>
          <w:rStyle w:val="FootnoteReference"/>
        </w:rPr>
        <w:footnoteReference w:id="88"/>
      </w:r>
      <w:r w:rsidR="00CB2EDB">
        <w:t xml:space="preserve"> </w:t>
      </w:r>
      <w:r w:rsidR="007D677C">
        <w:t xml:space="preserve"> </w:t>
      </w:r>
    </w:p>
    <w:p w14:paraId="2C739F58" w14:textId="77777777" w:rsidR="00C61D02" w:rsidRDefault="007D677C" w:rsidP="00C61D02">
      <w:pPr>
        <w:spacing w:line="480" w:lineRule="auto"/>
      </w:pPr>
      <w:r>
        <w:t xml:space="preserve">  </w:t>
      </w:r>
      <w:r w:rsidR="007101E9">
        <w:t xml:space="preserve"> </w:t>
      </w:r>
      <w:r w:rsidR="00174639">
        <w:t xml:space="preserve"> </w:t>
      </w:r>
    </w:p>
    <w:p w14:paraId="6AB4B73A" w14:textId="77777777" w:rsidR="00C61D02" w:rsidRPr="008B1B6A" w:rsidRDefault="007D677C" w:rsidP="008B1B6A">
      <w:pPr>
        <w:rPr>
          <w:i/>
        </w:rPr>
      </w:pPr>
      <w:r w:rsidRPr="008B1B6A">
        <w:rPr>
          <w:i/>
        </w:rPr>
        <w:t>Stark’s contrasts</w:t>
      </w:r>
      <w:r w:rsidR="008B1B6A" w:rsidRPr="008B1B6A">
        <w:rPr>
          <w:i/>
        </w:rPr>
        <w:t>: Intrinsic COI and the character of professional identity</w:t>
      </w:r>
      <w:r w:rsidR="00C61D02" w:rsidRPr="008B1B6A">
        <w:rPr>
          <w:i/>
        </w:rPr>
        <w:t xml:space="preserve">       </w:t>
      </w:r>
    </w:p>
    <w:p w14:paraId="31E6181E" w14:textId="77777777" w:rsidR="00D75DF1" w:rsidRDefault="00D75DF1" w:rsidP="008B1B6A"/>
    <w:p w14:paraId="63380DE3" w14:textId="77777777" w:rsidR="00F428E3" w:rsidRDefault="00304A6C" w:rsidP="001966D0">
      <w:pPr>
        <w:spacing w:line="480" w:lineRule="auto"/>
        <w:ind w:firstLine="720"/>
      </w:pPr>
      <w:r>
        <w:t>The idea that a professional might face multiple and competing demands on her time and expertise makes intuitiv</w:t>
      </w:r>
      <w:r w:rsidR="008A2E28">
        <w:t xml:space="preserve">e sense, but not all instances of conflicting responsibilities </w:t>
      </w:r>
      <w:r w:rsidR="00C75FC4">
        <w:t xml:space="preserve">- </w:t>
      </w:r>
      <w:r w:rsidR="008A2E28">
        <w:t>what Frolic and Chidwick sometimes describe as competing interests</w:t>
      </w:r>
      <w:r w:rsidR="00C75FC4">
        <w:t xml:space="preserve"> - </w:t>
      </w:r>
      <w:r w:rsidR="008A2E28">
        <w:t xml:space="preserve">present </w:t>
      </w:r>
      <w:r w:rsidR="009F03E8">
        <w:t xml:space="preserve">the </w:t>
      </w:r>
      <w:r w:rsidR="004E658D">
        <w:t>sort</w:t>
      </w:r>
      <w:r w:rsidR="009F03E8">
        <w:t xml:space="preserve"> of</w:t>
      </w:r>
      <w:r w:rsidR="008A2E28">
        <w:t xml:space="preserve"> challenge to independent judgement that signals a </w:t>
      </w:r>
      <w:r w:rsidR="00F428E3">
        <w:t>straightforward conflict of interest</w:t>
      </w:r>
      <w:r w:rsidR="008A2E28">
        <w:t xml:space="preserve"> </w:t>
      </w:r>
      <w:r w:rsidR="00F428E3">
        <w:t xml:space="preserve">or even an intrinsic conflict </w:t>
      </w:r>
      <w:r w:rsidR="00F7620D">
        <w:t xml:space="preserve">of responsibilities </w:t>
      </w:r>
      <w:r w:rsidR="00F428E3">
        <w:t xml:space="preserve">in Stark’s sense. An intrinsic </w:t>
      </w:r>
      <w:r w:rsidR="00B6474D">
        <w:t>conflict</w:t>
      </w:r>
      <w:r w:rsidR="00F428E3">
        <w:t xml:space="preserve">, on his understanding, is generally precipitated </w:t>
      </w:r>
      <w:r w:rsidR="008F6C1B">
        <w:t>by one of</w:t>
      </w:r>
      <w:r w:rsidR="00F428E3">
        <w:t xml:space="preserve"> two </w:t>
      </w:r>
      <w:r w:rsidR="005A10DC">
        <w:t xml:space="preserve">distinct </w:t>
      </w:r>
      <w:r w:rsidR="008F6C1B">
        <w:t>types of</w:t>
      </w:r>
      <w:r w:rsidR="00F428E3">
        <w:t xml:space="preserve"> circumstances:</w:t>
      </w:r>
    </w:p>
    <w:p w14:paraId="7879B93E" w14:textId="77777777" w:rsidR="00F428E3" w:rsidRDefault="00F428E3" w:rsidP="001966D0">
      <w:pPr>
        <w:ind w:left="720"/>
      </w:pPr>
      <w:r>
        <w:t xml:space="preserve">Some </w:t>
      </w:r>
      <w:r w:rsidR="009E3725">
        <w:t xml:space="preserve">[Type 1] </w:t>
      </w:r>
      <w:r w:rsidR="008427F7">
        <w:t>a</w:t>
      </w:r>
      <w:r>
        <w:t>rise because the prof</w:t>
      </w:r>
      <w:r w:rsidR="008F6C1B">
        <w:t xml:space="preserve">essional occupies more than one role </w:t>
      </w:r>
      <w:r>
        <w:t>with</w:t>
      </w:r>
      <w:r w:rsidR="008F6C1B">
        <w:t xml:space="preserve"> respect to the same principal, such that the existence of the second role impairs her capacity to exercise the first. Others </w:t>
      </w:r>
      <w:r w:rsidR="009E3725">
        <w:t xml:space="preserve">[Type 2] </w:t>
      </w:r>
      <w:r w:rsidR="008F6C1B">
        <w:t>occur because the professional must exercise the same role with respect to more than one principal, such that the presence of a second principal impairs her capacity to exercise her role on behalf of the first.</w:t>
      </w:r>
      <w:r w:rsidR="008F6C1B">
        <w:rPr>
          <w:rStyle w:val="FootnoteReference"/>
        </w:rPr>
        <w:footnoteReference w:id="89"/>
      </w:r>
      <w:r w:rsidR="008F6C1B">
        <w:t xml:space="preserve">  </w:t>
      </w:r>
      <w:r>
        <w:t xml:space="preserve"> </w:t>
      </w:r>
    </w:p>
    <w:p w14:paraId="70C4826C" w14:textId="77777777" w:rsidR="00304A6C" w:rsidRPr="00A1485A" w:rsidRDefault="00F428E3" w:rsidP="001C79C8">
      <w:r>
        <w:lastRenderedPageBreak/>
        <w:t xml:space="preserve">  </w:t>
      </w:r>
      <w:r w:rsidR="008A2E28">
        <w:t xml:space="preserve"> </w:t>
      </w:r>
      <w:r w:rsidR="00304A6C">
        <w:t xml:space="preserve"> </w:t>
      </w:r>
    </w:p>
    <w:p w14:paraId="3DCC4FA9" w14:textId="77777777" w:rsidR="00386FD0" w:rsidRDefault="001C79C8" w:rsidP="001966D0">
      <w:pPr>
        <w:spacing w:line="480" w:lineRule="auto"/>
        <w:ind w:firstLine="720"/>
      </w:pPr>
      <w:r>
        <w:t xml:space="preserve">Although the terminology which identifies it varies, </w:t>
      </w:r>
      <w:r w:rsidR="00386FD0">
        <w:t xml:space="preserve">references to </w:t>
      </w:r>
      <w:r>
        <w:t>i</w:t>
      </w:r>
      <w:r w:rsidR="00F71908">
        <w:t xml:space="preserve">ntrinsic conflicts of </w:t>
      </w:r>
      <w:r w:rsidR="00B6474D">
        <w:t>responsibilities</w:t>
      </w:r>
      <w:r w:rsidR="00F71908">
        <w:t xml:space="preserve"> are familiar </w:t>
      </w:r>
      <w:r w:rsidR="00AE22A3">
        <w:t>features</w:t>
      </w:r>
      <w:r w:rsidR="00F71908">
        <w:t xml:space="preserve"> of the ethics </w:t>
      </w:r>
      <w:r>
        <w:t xml:space="preserve">codes or value </w:t>
      </w:r>
      <w:r w:rsidR="00F71908">
        <w:t xml:space="preserve">statements of </w:t>
      </w:r>
      <w:r>
        <w:t xml:space="preserve">many </w:t>
      </w:r>
      <w:r w:rsidR="00F71908">
        <w:t>professional colleges</w:t>
      </w:r>
      <w:r w:rsidR="009E3725">
        <w:t xml:space="preserve">, and examples </w:t>
      </w:r>
      <w:r w:rsidR="00AE22A3">
        <w:t>of what I have labelled Type 1 and Type 2 are easily</w:t>
      </w:r>
      <w:r w:rsidR="009E3725">
        <w:t xml:space="preserve"> generated</w:t>
      </w:r>
      <w:r>
        <w:t xml:space="preserve">. </w:t>
      </w:r>
      <w:r w:rsidR="009E3725">
        <w:t>A</w:t>
      </w:r>
      <w:r w:rsidR="004A33BC">
        <w:t>n oncologist</w:t>
      </w:r>
      <w:r w:rsidR="009E3725">
        <w:t xml:space="preserve"> who is responsible for directing a </w:t>
      </w:r>
      <w:r w:rsidR="00B96ED2">
        <w:t xml:space="preserve">particular </w:t>
      </w:r>
      <w:r w:rsidR="009E3725">
        <w:t xml:space="preserve">patient’s </w:t>
      </w:r>
      <w:r w:rsidR="003510AE">
        <w:t>cancer treatment</w:t>
      </w:r>
      <w:r w:rsidR="009E3725">
        <w:t xml:space="preserve"> may also </w:t>
      </w:r>
      <w:r w:rsidR="00751390">
        <w:t xml:space="preserve">be </w:t>
      </w:r>
      <w:r w:rsidR="009E3725">
        <w:t>the principal investigator o</w:t>
      </w:r>
      <w:r w:rsidR="00336AC4">
        <w:t>n</w:t>
      </w:r>
      <w:r w:rsidR="009E3725">
        <w:t xml:space="preserve"> a </w:t>
      </w:r>
      <w:r w:rsidR="003D5A51">
        <w:t xml:space="preserve">randomised </w:t>
      </w:r>
      <w:r w:rsidR="008427F7">
        <w:t>c</w:t>
      </w:r>
      <w:r w:rsidR="004E658D">
        <w:t>ontrolled</w:t>
      </w:r>
      <w:r w:rsidR="008427F7">
        <w:t xml:space="preserve"> </w:t>
      </w:r>
      <w:r w:rsidR="009E3725">
        <w:t>trial</w:t>
      </w:r>
      <w:r w:rsidR="00AE22A3">
        <w:t xml:space="preserve"> for which </w:t>
      </w:r>
      <w:r w:rsidR="008768C9">
        <w:t>that patient</w:t>
      </w:r>
      <w:r w:rsidR="00AE22A3">
        <w:t xml:space="preserve"> is eligible</w:t>
      </w:r>
      <w:r w:rsidR="008768C9">
        <w:t xml:space="preserve">. In a case like this the </w:t>
      </w:r>
      <w:r w:rsidR="004A33BC">
        <w:t>physician</w:t>
      </w:r>
      <w:r w:rsidR="00AE22A3">
        <w:t xml:space="preserve"> typically will be obliged to manage h</w:t>
      </w:r>
      <w:r w:rsidR="008768C9">
        <w:t>er</w:t>
      </w:r>
      <w:r w:rsidR="00AE22A3">
        <w:t xml:space="preserve"> Type 1 conflict by recusing herself from </w:t>
      </w:r>
      <w:r w:rsidR="00D16073">
        <w:t xml:space="preserve">some </w:t>
      </w:r>
      <w:r w:rsidR="00AE22A3">
        <w:t xml:space="preserve">study-related activities such as obtaining consent </w:t>
      </w:r>
      <w:r w:rsidR="003D5A51">
        <w:t>for</w:t>
      </w:r>
      <w:r w:rsidR="00AE22A3">
        <w:t xml:space="preserve"> s</w:t>
      </w:r>
      <w:r w:rsidR="00336AC4">
        <w:t>ubject</w:t>
      </w:r>
      <w:r w:rsidR="00AE22A3">
        <w:t xml:space="preserve"> </w:t>
      </w:r>
      <w:r w:rsidR="00E02707">
        <w:t>enrolment</w:t>
      </w:r>
      <w:r w:rsidR="00636980">
        <w:t>, or for determining whether</w:t>
      </w:r>
      <w:r w:rsidR="004E658D">
        <w:t xml:space="preserve"> participants’ adverse events are related to study participation</w:t>
      </w:r>
      <w:r w:rsidR="00AE22A3">
        <w:t>.</w:t>
      </w:r>
      <w:r w:rsidR="00014247">
        <w:t xml:space="preserve"> This is not only because the dual-role may generate confusion for </w:t>
      </w:r>
      <w:r w:rsidR="008768C9">
        <w:t xml:space="preserve">the </w:t>
      </w:r>
      <w:r w:rsidR="00014247">
        <w:t>patient</w:t>
      </w:r>
      <w:r w:rsidR="00336AC4">
        <w:t>-participant</w:t>
      </w:r>
      <w:r w:rsidR="008768C9">
        <w:t xml:space="preserve"> </w:t>
      </w:r>
      <w:r w:rsidR="00014247">
        <w:t xml:space="preserve">who </w:t>
      </w:r>
      <w:r w:rsidR="008768C9">
        <w:t xml:space="preserve">is </w:t>
      </w:r>
      <w:r w:rsidR="00B6474D">
        <w:t xml:space="preserve">apt </w:t>
      </w:r>
      <w:r w:rsidR="00014247">
        <w:t xml:space="preserve">to conflate the </w:t>
      </w:r>
      <w:r w:rsidR="00B6474D">
        <w:t>goals</w:t>
      </w:r>
      <w:r w:rsidR="00014247">
        <w:t xml:space="preserve"> of clinical care and research, but because it is difficult for </w:t>
      </w:r>
      <w:r w:rsidR="008768C9">
        <w:t xml:space="preserve">the </w:t>
      </w:r>
      <w:r w:rsidR="00336AC4">
        <w:t>oncologist</w:t>
      </w:r>
      <w:r w:rsidR="00014247">
        <w:t xml:space="preserve"> to prioritize and manage these</w:t>
      </w:r>
      <w:r w:rsidR="008768C9">
        <w:t xml:space="preserve">, </w:t>
      </w:r>
      <w:r w:rsidR="00014247">
        <w:t>often conflicting</w:t>
      </w:r>
      <w:r w:rsidR="008768C9">
        <w:t xml:space="preserve">, </w:t>
      </w:r>
      <w:r w:rsidR="00014247">
        <w:t xml:space="preserve">aims </w:t>
      </w:r>
      <w:r w:rsidR="00A557D7">
        <w:t>as well</w:t>
      </w:r>
      <w:r w:rsidR="008768C9">
        <w:t>.</w:t>
      </w:r>
      <w:r w:rsidR="003510AE">
        <w:t xml:space="preserve"> As a treating </w:t>
      </w:r>
      <w:r w:rsidR="00336AC4">
        <w:t>clinician</w:t>
      </w:r>
      <w:r w:rsidR="00E02707">
        <w:t xml:space="preserve"> it may be unpalatable</w:t>
      </w:r>
      <w:r w:rsidR="003510AE">
        <w:t xml:space="preserve"> for the professional to accept that her patient could be </w:t>
      </w:r>
      <w:r w:rsidR="004E658D">
        <w:t>ma</w:t>
      </w:r>
      <w:r w:rsidR="00E02707">
        <w:t>de worse off by enrolling in the</w:t>
      </w:r>
      <w:r w:rsidR="004E658D">
        <w:t xml:space="preserve"> trial (perhaps by being </w:t>
      </w:r>
      <w:r w:rsidR="003510AE">
        <w:t>randomised to a control arm which offers no access to a promising novel agent</w:t>
      </w:r>
      <w:r w:rsidR="00336AC4">
        <w:t>,</w:t>
      </w:r>
      <w:r w:rsidR="004E658D">
        <w:t xml:space="preserve"> or by expos</w:t>
      </w:r>
      <w:r w:rsidR="00336AC4">
        <w:t>ing</w:t>
      </w:r>
      <w:r w:rsidR="004E658D">
        <w:t xml:space="preserve"> </w:t>
      </w:r>
      <w:r w:rsidR="00336AC4">
        <w:t xml:space="preserve">him </w:t>
      </w:r>
      <w:r w:rsidR="004E658D">
        <w:t>to as yet unknown drug-related toxicities)</w:t>
      </w:r>
      <w:r w:rsidR="003510AE">
        <w:t xml:space="preserve">, but as a researcher </w:t>
      </w:r>
      <w:r w:rsidR="00D16073">
        <w:t>the oncologist’s</w:t>
      </w:r>
      <w:r w:rsidR="003510AE">
        <w:t xml:space="preserve">  </w:t>
      </w:r>
      <w:r w:rsidR="00D16073">
        <w:t xml:space="preserve">primary obligation will be to preserve </w:t>
      </w:r>
      <w:r w:rsidR="003510AE">
        <w:t xml:space="preserve">the scientific integrity of the trial, even if that means </w:t>
      </w:r>
      <w:r w:rsidR="003510AE">
        <w:lastRenderedPageBreak/>
        <w:t>that some participants will be subjected to study-related procedures without a</w:t>
      </w:r>
      <w:r w:rsidR="004D653F">
        <w:t>ny</w:t>
      </w:r>
      <w:r w:rsidR="003510AE">
        <w:t xml:space="preserve"> prospect of benefit.</w:t>
      </w:r>
      <w:r w:rsidR="00A557D7">
        <w:rPr>
          <w:rStyle w:val="FootnoteReference"/>
        </w:rPr>
        <w:footnoteReference w:id="90"/>
      </w:r>
      <w:r w:rsidR="004B5232">
        <w:t xml:space="preserve"> </w:t>
      </w:r>
    </w:p>
    <w:p w14:paraId="6218EBEC" w14:textId="77777777" w:rsidR="009E3725" w:rsidRDefault="00B959CD" w:rsidP="001966D0">
      <w:pPr>
        <w:spacing w:line="480" w:lineRule="auto"/>
        <w:ind w:firstLine="720"/>
      </w:pPr>
      <w:r>
        <w:t>A non-medical, but immediately recognizable</w:t>
      </w:r>
      <w:r w:rsidR="00B22178">
        <w:t>,</w:t>
      </w:r>
      <w:r>
        <w:t xml:space="preserve"> example of a Type 2 conflict</w:t>
      </w:r>
      <w:r w:rsidR="003510AE">
        <w:t xml:space="preserve"> (where the professional occupies the same role with respect to two or more </w:t>
      </w:r>
      <w:r w:rsidR="00FE3846">
        <w:t>parties</w:t>
      </w:r>
      <w:r w:rsidR="003510AE">
        <w:t>)</w:t>
      </w:r>
      <w:r>
        <w:t xml:space="preserve"> </w:t>
      </w:r>
      <w:r w:rsidR="00E02707">
        <w:t>is</w:t>
      </w:r>
      <w:r>
        <w:t xml:space="preserve"> the </w:t>
      </w:r>
      <w:r w:rsidR="00370C60">
        <w:t xml:space="preserve">case of a </w:t>
      </w:r>
      <w:r>
        <w:t xml:space="preserve">lawyer </w:t>
      </w:r>
      <w:r w:rsidR="00B22178">
        <w:t>approached</w:t>
      </w:r>
      <w:r>
        <w:t xml:space="preserve"> to represent parties on opposite sides of a legal </w:t>
      </w:r>
      <w:r w:rsidR="00E862FD">
        <w:t>transaction</w:t>
      </w:r>
      <w:r>
        <w:t xml:space="preserve"> such as a divorce </w:t>
      </w:r>
      <w:r w:rsidR="00DC44FC">
        <w:t xml:space="preserve">settlement </w:t>
      </w:r>
      <w:r>
        <w:t xml:space="preserve">or a real estate </w:t>
      </w:r>
      <w:r w:rsidR="00E862FD">
        <w:t>conveyance</w:t>
      </w:r>
      <w:r>
        <w:t xml:space="preserve">. </w:t>
      </w:r>
      <w:r w:rsidR="003E4535">
        <w:t>Providing r</w:t>
      </w:r>
      <w:r w:rsidR="00D80D78">
        <w:t>epresentation f</w:t>
      </w:r>
      <w:r w:rsidR="003E4535">
        <w:t>or</w:t>
      </w:r>
      <w:r w:rsidR="00D80D78">
        <w:t xml:space="preserve"> both </w:t>
      </w:r>
      <w:r w:rsidR="003D5A51">
        <w:t>principals</w:t>
      </w:r>
      <w:r w:rsidR="00D80D78">
        <w:t xml:space="preserve"> may be unproblematic</w:t>
      </w:r>
      <w:r w:rsidR="00DC44FC">
        <w:t>,</w:t>
      </w:r>
      <w:r w:rsidR="00D80D78">
        <w:t xml:space="preserve"> so long as the conflict is disclosed and the parties agree to the dual-representation</w:t>
      </w:r>
      <w:r w:rsidR="00E02707">
        <w:t xml:space="preserve"> </w:t>
      </w:r>
      <w:r w:rsidR="00D80D78">
        <w:t>but</w:t>
      </w:r>
      <w:r w:rsidR="00E02707">
        <w:t>,</w:t>
      </w:r>
      <w:r w:rsidR="00D80D78">
        <w:t xml:space="preserve"> as many lawyers and clients have learned, these arrangements swiftly can become untenable if the parties’ interests cease to align and an amicable arrangement devolves into a legal contest. </w:t>
      </w:r>
      <w:r w:rsidR="00E02707">
        <w:t xml:space="preserve">Should this occur </w:t>
      </w:r>
      <w:r w:rsidR="00D80D78">
        <w:t xml:space="preserve">at least one party </w:t>
      </w:r>
      <w:r w:rsidR="00E02707">
        <w:t xml:space="preserve">will need to </w:t>
      </w:r>
      <w:r w:rsidR="00D80D78">
        <w:t>seek alternate representation</w:t>
      </w:r>
      <w:r w:rsidR="00FB4F93">
        <w:t>,</w:t>
      </w:r>
      <w:r w:rsidR="00D80D78">
        <w:t xml:space="preserve"> and a lawyer who is inattentive to this possibility may fin</w:t>
      </w:r>
      <w:r w:rsidR="00C76574">
        <w:t xml:space="preserve">d herself subject to </w:t>
      </w:r>
      <w:r w:rsidR="00D80D78">
        <w:t>disciplinary action.</w:t>
      </w:r>
      <w:r w:rsidR="00EA5DF0">
        <w:rPr>
          <w:rStyle w:val="FootnoteReference"/>
        </w:rPr>
        <w:footnoteReference w:id="91"/>
      </w:r>
      <w:r w:rsidR="00D80D78">
        <w:t xml:space="preserve">      </w:t>
      </w:r>
      <w:r w:rsidR="00014247">
        <w:t xml:space="preserve">  </w:t>
      </w:r>
      <w:r w:rsidR="00AE22A3">
        <w:t xml:space="preserve">    </w:t>
      </w:r>
      <w:r w:rsidR="009E3725">
        <w:t xml:space="preserve">  </w:t>
      </w:r>
    </w:p>
    <w:p w14:paraId="711F9B4B" w14:textId="77777777" w:rsidR="004859D2" w:rsidRDefault="00D86C5B" w:rsidP="001966D0">
      <w:pPr>
        <w:spacing w:line="480" w:lineRule="auto"/>
        <w:ind w:firstLine="720"/>
      </w:pPr>
      <w:r>
        <w:lastRenderedPageBreak/>
        <w:t xml:space="preserve">One of the practicing healthcare ethicists in the Frolic-Chidwick study offered an especially poignant glimpse into </w:t>
      </w:r>
      <w:r w:rsidR="00FB4F93">
        <w:t xml:space="preserve">her </w:t>
      </w:r>
      <w:r>
        <w:t>struggle</w:t>
      </w:r>
      <w:r w:rsidR="00FB4F93">
        <w:t>s</w:t>
      </w:r>
      <w:r>
        <w:t xml:space="preserve"> </w:t>
      </w:r>
      <w:r w:rsidR="00FB4F93">
        <w:t xml:space="preserve">related to </w:t>
      </w:r>
      <w:r w:rsidR="00E862FD">
        <w:t>intrinsic conflicts of interest</w:t>
      </w:r>
      <w:r>
        <w:t>. Although this ethic</w:t>
      </w:r>
      <w:r w:rsidR="004859D2">
        <w:t>ist did not describe a specific conflict in the context of a</w:t>
      </w:r>
      <w:r>
        <w:t xml:space="preserve"> c</w:t>
      </w:r>
      <w:r w:rsidR="00617335">
        <w:t>hallenging</w:t>
      </w:r>
      <w:r>
        <w:t xml:space="preserve"> case, it </w:t>
      </w:r>
      <w:r w:rsidR="00617335">
        <w:t xml:space="preserve">was evident that </w:t>
      </w:r>
      <w:r w:rsidR="00F7620D">
        <w:t xml:space="preserve">her </w:t>
      </w:r>
      <w:r w:rsidR="00617335">
        <w:t>professional interactions were</w:t>
      </w:r>
      <w:r w:rsidR="00F7620D">
        <w:t xml:space="preserve"> </w:t>
      </w:r>
      <w:r>
        <w:t>f</w:t>
      </w:r>
      <w:r w:rsidR="00F7620D">
        <w:t xml:space="preserve">requently </w:t>
      </w:r>
      <w:r>
        <w:t>strained</w:t>
      </w:r>
      <w:r w:rsidR="004859D2">
        <w:t xml:space="preserve"> by </w:t>
      </w:r>
      <w:r w:rsidR="00FB4F93">
        <w:t>the effort to manage the</w:t>
      </w:r>
      <w:r w:rsidR="006020D4">
        <w:t xml:space="preserve"> </w:t>
      </w:r>
      <w:r w:rsidR="004859D2">
        <w:t>competing interests and obligations</w:t>
      </w:r>
      <w:r w:rsidR="00FB4F93">
        <w:t xml:space="preserve"> that were intrinsic to her role</w:t>
      </w:r>
      <w:r w:rsidR="004859D2">
        <w:t>:</w:t>
      </w:r>
    </w:p>
    <w:p w14:paraId="64956EED" w14:textId="77777777" w:rsidR="00D86C5B" w:rsidRDefault="00D86C5B" w:rsidP="001966D0">
      <w:pPr>
        <w:ind w:left="720"/>
      </w:pPr>
      <w:r>
        <w:t>I do not feel like these relationsh</w:t>
      </w:r>
      <w:r w:rsidR="004859D2">
        <w:t xml:space="preserve">ips or loyalties have ever been </w:t>
      </w:r>
      <w:r>
        <w:t>adequately sorted out in my hospital, so there is a dang</w:t>
      </w:r>
      <w:r w:rsidR="004859D2">
        <w:t xml:space="preserve">er of being co-opted by </w:t>
      </w:r>
      <w:r>
        <w:t xml:space="preserve">one party or another. I am often asked to affirm </w:t>
      </w:r>
      <w:r w:rsidR="004859D2">
        <w:t xml:space="preserve">decisions health care providers </w:t>
      </w:r>
      <w:r>
        <w:t xml:space="preserve">have made. They will </w:t>
      </w:r>
      <w:r w:rsidR="004859D2">
        <w:t>say, “This</w:t>
      </w:r>
      <w:r>
        <w:t xml:space="preserve"> is what I think I</w:t>
      </w:r>
      <w:r w:rsidR="004859D2">
        <w:t xml:space="preserve"> should do in this case, do you </w:t>
      </w:r>
      <w:r>
        <w:t>see anything that I have missed?’’ It is a good question, an important</w:t>
      </w:r>
      <w:r w:rsidR="004859D2">
        <w:t xml:space="preserve"> question </w:t>
      </w:r>
      <w:r>
        <w:t>and one people should be asking. But it can b</w:t>
      </w:r>
      <w:r w:rsidR="004859D2">
        <w:t xml:space="preserve">e tempting to just affirm their </w:t>
      </w:r>
      <w:r>
        <w:t>decisions, rather than ask the deeper question</w:t>
      </w:r>
      <w:r w:rsidR="004859D2">
        <w:t xml:space="preserve">s like, “What does the patient </w:t>
      </w:r>
      <w:r>
        <w:t>want?’’ This is not always the question people want to hear, they often just want</w:t>
      </w:r>
      <w:r w:rsidR="004859D2">
        <w:t xml:space="preserve"> </w:t>
      </w:r>
      <w:r>
        <w:t>you to say they are right. And the truth is, given</w:t>
      </w:r>
      <w:r w:rsidR="004859D2">
        <w:t xml:space="preserve"> the complexity of these cases, </w:t>
      </w:r>
      <w:r>
        <w:t xml:space="preserve">you can often find good reasons for doing </w:t>
      </w:r>
      <w:r w:rsidR="004859D2">
        <w:t xml:space="preserve">one thing or another, but it is </w:t>
      </w:r>
      <w:r>
        <w:t>dangerous for the ethicist to serve the function of justifying people’s actions</w:t>
      </w:r>
      <w:r w:rsidR="0055168B">
        <w:t>.</w:t>
      </w:r>
      <w:r w:rsidR="002A6673">
        <w:rPr>
          <w:rStyle w:val="FootnoteReference"/>
        </w:rPr>
        <w:footnoteReference w:id="92"/>
      </w:r>
    </w:p>
    <w:p w14:paraId="53CD5C7A" w14:textId="77777777" w:rsidR="009E3725" w:rsidRDefault="009E3725" w:rsidP="004859D2"/>
    <w:p w14:paraId="0861A11F" w14:textId="3DF42CF2" w:rsidR="00A85A26" w:rsidRDefault="00B22178" w:rsidP="000F49E6">
      <w:pPr>
        <w:spacing w:line="480" w:lineRule="auto"/>
        <w:ind w:firstLine="720"/>
      </w:pPr>
      <w:r>
        <w:t>This PHE didn’t supply sufficient detail to allow the reader to characterise her conflicts with precision, but her recognition of a need to sort out “relationships or loyalties”</w:t>
      </w:r>
      <w:r w:rsidR="00C249D3">
        <w:t xml:space="preserve"> </w:t>
      </w:r>
      <w:r w:rsidR="00E91D67">
        <w:t xml:space="preserve">is </w:t>
      </w:r>
      <w:r w:rsidR="00C249D3">
        <w:t>an invitation to look for Type 1 and 2 conflicts that may make an ethicist’s employment challenging. Type 2 conflicts</w:t>
      </w:r>
      <w:r w:rsidR="00E91D67">
        <w:t xml:space="preserve"> (where the bioethicist performs the same function with respect to two or more parties)</w:t>
      </w:r>
      <w:r w:rsidR="00C249D3">
        <w:t xml:space="preserve"> may </w:t>
      </w:r>
      <w:r w:rsidR="00E91D67">
        <w:t xml:space="preserve">present </w:t>
      </w:r>
      <w:r w:rsidR="00C249D3">
        <w:t xml:space="preserve">the most obvious risks to integrity, and the worry about a </w:t>
      </w:r>
      <w:r w:rsidR="0081273B">
        <w:t>conflict</w:t>
      </w:r>
      <w:r w:rsidR="00C249D3">
        <w:t xml:space="preserve"> between the health care provider</w:t>
      </w:r>
      <w:r w:rsidR="00456703">
        <w:t>’s (or providers</w:t>
      </w:r>
      <w:r w:rsidR="00C249D3">
        <w:t>’</w:t>
      </w:r>
      <w:r w:rsidR="00456703">
        <w:t>)</w:t>
      </w:r>
      <w:r w:rsidR="00C249D3">
        <w:t xml:space="preserve"> point</w:t>
      </w:r>
      <w:r w:rsidR="00C708FF">
        <w:t>(s)</w:t>
      </w:r>
      <w:r w:rsidR="00C249D3">
        <w:t xml:space="preserve"> of view and </w:t>
      </w:r>
      <w:r w:rsidR="00057FB3">
        <w:t xml:space="preserve">that of </w:t>
      </w:r>
      <w:r w:rsidR="00C249D3">
        <w:t>a particular</w:t>
      </w:r>
      <w:r w:rsidR="00057FB3">
        <w:t xml:space="preserve"> </w:t>
      </w:r>
      <w:r w:rsidR="00057FB3">
        <w:lastRenderedPageBreak/>
        <w:t xml:space="preserve">patient </w:t>
      </w:r>
      <w:r w:rsidR="002F7C33">
        <w:t>(</w:t>
      </w:r>
      <w:r w:rsidR="00C708FF">
        <w:t>or patient proxy</w:t>
      </w:r>
      <w:r w:rsidR="002F7C33">
        <w:t>)</w:t>
      </w:r>
      <w:r w:rsidR="00C708FF">
        <w:t xml:space="preserve"> </w:t>
      </w:r>
      <w:r w:rsidR="00C249D3">
        <w:t xml:space="preserve">is one </w:t>
      </w:r>
      <w:r w:rsidR="006E264F">
        <w:t xml:space="preserve">to which </w:t>
      </w:r>
      <w:r w:rsidR="00C249D3">
        <w:t xml:space="preserve">anyone </w:t>
      </w:r>
      <w:r w:rsidR="00057FB3">
        <w:t>offering</w:t>
      </w:r>
      <w:r w:rsidR="00C249D3">
        <w:t xml:space="preserve"> </w:t>
      </w:r>
      <w:r w:rsidR="00057FB3">
        <w:t xml:space="preserve">clinical ethics consultation </w:t>
      </w:r>
      <w:r w:rsidR="006E264F">
        <w:t>should be attuned</w:t>
      </w:r>
      <w:r w:rsidR="00057FB3">
        <w:t>.</w:t>
      </w:r>
      <w:r w:rsidR="00C249D3">
        <w:t xml:space="preserve"> </w:t>
      </w:r>
      <w:r w:rsidR="00057FB3">
        <w:t>Because PHEs typically offer their services to healthcare practitioners, patients, families, leadership teams</w:t>
      </w:r>
      <w:r w:rsidR="00CF56D2">
        <w:t>,</w:t>
      </w:r>
      <w:r w:rsidR="00057FB3">
        <w:t xml:space="preserve"> </w:t>
      </w:r>
      <w:r w:rsidR="00CF56D2">
        <w:t>and even researchers</w:t>
      </w:r>
      <w:r w:rsidR="00FB4F93">
        <w:t>,</w:t>
      </w:r>
      <w:r w:rsidR="00CF56D2">
        <w:t xml:space="preserve"> </w:t>
      </w:r>
      <w:r w:rsidR="00057FB3">
        <w:t xml:space="preserve">there is ample opportunity for them to find themselves “occupying the same role with respect to more than one principal.” </w:t>
      </w:r>
      <w:r w:rsidR="0081273B">
        <w:t xml:space="preserve">If we </w:t>
      </w:r>
      <w:r w:rsidR="002F7C33">
        <w:t xml:space="preserve">revisit </w:t>
      </w:r>
      <w:r w:rsidR="0081273B">
        <w:t>the case of Mr Beaton, we can easily imagine a healthcare team and family</w:t>
      </w:r>
      <w:r w:rsidR="006167BF">
        <w:t xml:space="preserve"> divided about the benefits and burdens of </w:t>
      </w:r>
      <w:r w:rsidR="006E264F">
        <w:t>ongoing nutritional support in the context of his advancing dementia</w:t>
      </w:r>
      <w:r w:rsidR="006020D4">
        <w:t xml:space="preserve"> and attendant frailties</w:t>
      </w:r>
      <w:r w:rsidR="006167BF">
        <w:t>.</w:t>
      </w:r>
      <w:r w:rsidR="002F7C33">
        <w:rPr>
          <w:rStyle w:val="FootnoteReference"/>
        </w:rPr>
        <w:footnoteReference w:id="93"/>
      </w:r>
      <w:r w:rsidR="006167BF">
        <w:t xml:space="preserve"> The number of parties claiming to have standing in the case may be</w:t>
      </w:r>
      <w:r w:rsidR="00616922">
        <w:t xml:space="preserve"> great </w:t>
      </w:r>
      <w:r w:rsidR="006167BF">
        <w:t>and</w:t>
      </w:r>
      <w:r w:rsidR="006E264F">
        <w:t>,</w:t>
      </w:r>
      <w:r w:rsidR="006167BF">
        <w:t xml:space="preserve"> while the PHE’s involvement will </w:t>
      </w:r>
      <w:r w:rsidR="00C6332E">
        <w:t xml:space="preserve">likely </w:t>
      </w:r>
      <w:r w:rsidR="006167BF">
        <w:t xml:space="preserve">have been precipitated by a request from one (or more) of them, she </w:t>
      </w:r>
      <w:r w:rsidR="006020D4">
        <w:t>will</w:t>
      </w:r>
      <w:r w:rsidR="006167BF">
        <w:t xml:space="preserve"> not </w:t>
      </w:r>
      <w:r w:rsidR="00A85A26">
        <w:t xml:space="preserve">owe a special duty to a </w:t>
      </w:r>
      <w:r w:rsidR="00CF56D2">
        <w:t xml:space="preserve">particular </w:t>
      </w:r>
      <w:r w:rsidR="006167BF">
        <w:t>requestor de</w:t>
      </w:r>
      <w:r w:rsidR="00C6332E">
        <w:t xml:space="preserve">spite the fact that this party’s perspective </w:t>
      </w:r>
      <w:r w:rsidR="006020D4">
        <w:t xml:space="preserve">has </w:t>
      </w:r>
      <w:r w:rsidR="00C6332E">
        <w:t>provide</w:t>
      </w:r>
      <w:r w:rsidR="006020D4">
        <w:t>d</w:t>
      </w:r>
      <w:r w:rsidR="00C6332E">
        <w:t xml:space="preserve"> her first glimpse into the narrative that will become part of her case analysis.</w:t>
      </w:r>
      <w:r w:rsidR="00CF56D2">
        <w:t xml:space="preserve"> </w:t>
      </w:r>
      <w:r w:rsidR="00616922">
        <w:t xml:space="preserve">This is a feature of clinical ethics consultation that can be easily </w:t>
      </w:r>
      <w:r w:rsidR="00FA0752">
        <w:t xml:space="preserve">be </w:t>
      </w:r>
      <w:r w:rsidR="00616922">
        <w:t>overlooke</w:t>
      </w:r>
      <w:r w:rsidR="00452652">
        <w:t xml:space="preserve">d by participants, </w:t>
      </w:r>
      <w:r w:rsidR="00616922">
        <w:t xml:space="preserve">and inexperienced or </w:t>
      </w:r>
      <w:r w:rsidR="00456703">
        <w:t>inadequately prepared</w:t>
      </w:r>
      <w:r w:rsidR="00616922">
        <w:t xml:space="preserve"> consultants</w:t>
      </w:r>
      <w:r w:rsidR="00D070E7">
        <w:t>. I</w:t>
      </w:r>
      <w:r w:rsidR="00452652">
        <w:t>t may be</w:t>
      </w:r>
      <w:r w:rsidR="00616922">
        <w:t xml:space="preserve"> tempting </w:t>
      </w:r>
      <w:r w:rsidR="00452652">
        <w:t xml:space="preserve">simply </w:t>
      </w:r>
      <w:r w:rsidR="00616922">
        <w:t xml:space="preserve">to </w:t>
      </w:r>
      <w:r w:rsidR="00D070E7">
        <w:t xml:space="preserve">address the </w:t>
      </w:r>
      <w:r w:rsidR="00452652">
        <w:t xml:space="preserve">enquiry </w:t>
      </w:r>
      <w:r w:rsidR="00616922">
        <w:t xml:space="preserve">that is posed </w:t>
      </w:r>
      <w:r w:rsidR="00D070E7">
        <w:t xml:space="preserve">by the party who initiates the ethicist’s involvement when that question itself ought to prompt further exploration. </w:t>
      </w:r>
      <w:r w:rsidR="00452652">
        <w:t>As was intimated earlier</w:t>
      </w:r>
      <w:r w:rsidR="00D070E7">
        <w:t xml:space="preserve">, the appropriateness of </w:t>
      </w:r>
      <w:r w:rsidR="00452652">
        <w:t xml:space="preserve">feeding </w:t>
      </w:r>
      <w:r w:rsidR="00D070E7">
        <w:t>Mr Beaton</w:t>
      </w:r>
      <w:r w:rsidR="00452652">
        <w:t xml:space="preserve"> may be the p</w:t>
      </w:r>
      <w:r w:rsidR="00542D95">
        <w:t xml:space="preserve">resenting </w:t>
      </w:r>
      <w:r w:rsidR="00FA0752">
        <w:t>problem</w:t>
      </w:r>
      <w:r w:rsidR="00135AE2">
        <w:t>,</w:t>
      </w:r>
      <w:r w:rsidR="00542D95">
        <w:t xml:space="preserve"> but it </w:t>
      </w:r>
      <w:r w:rsidR="00452652">
        <w:t xml:space="preserve">will need to be located in a larger </w:t>
      </w:r>
      <w:r w:rsidR="00135AE2">
        <w:t>conversation</w:t>
      </w:r>
      <w:r w:rsidR="00452652">
        <w:t xml:space="preserve"> </w:t>
      </w:r>
      <w:r w:rsidR="00135AE2">
        <w:t>that attempts to unpack</w:t>
      </w:r>
      <w:r w:rsidR="00FA0752">
        <w:t xml:space="preserve"> </w:t>
      </w:r>
      <w:r w:rsidR="00452652">
        <w:t xml:space="preserve">the patient’s and </w:t>
      </w:r>
      <w:r w:rsidR="00542D95">
        <w:t>providers’ values</w:t>
      </w:r>
      <w:r w:rsidR="00135AE2">
        <w:t>. I</w:t>
      </w:r>
      <w:r w:rsidR="00542D95">
        <w:t>f these conflict</w:t>
      </w:r>
      <w:r w:rsidR="00135AE2">
        <w:t>,</w:t>
      </w:r>
      <w:r w:rsidR="00542D95">
        <w:t xml:space="preserve"> or are</w:t>
      </w:r>
      <w:r w:rsidR="00FA0752">
        <w:t xml:space="preserve"> unclear</w:t>
      </w:r>
      <w:r w:rsidR="00135AE2">
        <w:t>,</w:t>
      </w:r>
      <w:r w:rsidR="00542D95">
        <w:t xml:space="preserve"> then the PHE will </w:t>
      </w:r>
      <w:r w:rsidR="00F7565B">
        <w:t xml:space="preserve">be obliged to </w:t>
      </w:r>
      <w:r w:rsidR="00FA0752">
        <w:t xml:space="preserve">seek </w:t>
      </w:r>
      <w:r w:rsidR="00FA0752">
        <w:lastRenderedPageBreak/>
        <w:t>opportunities to reconcile</w:t>
      </w:r>
      <w:r w:rsidR="00542D95">
        <w:t xml:space="preserve"> </w:t>
      </w:r>
      <w:r w:rsidR="00FA0752">
        <w:t>these</w:t>
      </w:r>
      <w:r w:rsidR="00542D95">
        <w:t xml:space="preserve"> co</w:t>
      </w:r>
      <w:r w:rsidR="00FA0752">
        <w:t>mpeting</w:t>
      </w:r>
      <w:r w:rsidR="00542D95">
        <w:t xml:space="preserve"> interests</w:t>
      </w:r>
      <w:r w:rsidR="00135AE2">
        <w:t xml:space="preserve"> and points of view</w:t>
      </w:r>
      <w:r w:rsidR="00542D95">
        <w:t>. G</w:t>
      </w:r>
      <w:r w:rsidR="00452652">
        <w:t xml:space="preserve">oals of care </w:t>
      </w:r>
      <w:r w:rsidR="00542D95">
        <w:t xml:space="preserve">conversations </w:t>
      </w:r>
      <w:r w:rsidR="00452652">
        <w:t>that</w:t>
      </w:r>
      <w:r w:rsidR="00542D95">
        <w:t xml:space="preserve"> begin in a request for an ethicist’s involvement are almost never resolved by reference to </w:t>
      </w:r>
      <w:r w:rsidR="004A50D9">
        <w:t>uncontroversial</w:t>
      </w:r>
      <w:r w:rsidR="00542D95">
        <w:t xml:space="preserve"> rules</w:t>
      </w:r>
      <w:r w:rsidR="00F7565B">
        <w:t xml:space="preserve"> (to </w:t>
      </w:r>
      <w:r w:rsidR="00754A83">
        <w:t>anticipate</w:t>
      </w:r>
      <w:r w:rsidR="00F7565B">
        <w:t xml:space="preserve"> language that will be explored more fully in subsequent chapters, the key questions often involve theoretical rather than empirical disagreement)</w:t>
      </w:r>
      <w:r w:rsidR="004A50D9">
        <w:t xml:space="preserve">, and the way that the ethicist contributes to case deliberations may well be scrutinized for </w:t>
      </w:r>
      <w:r w:rsidR="00135AE2">
        <w:t>evidence of bias</w:t>
      </w:r>
      <w:r w:rsidR="004A50D9">
        <w:t xml:space="preserve"> or conflicting commitments</w:t>
      </w:r>
      <w:r w:rsidR="00542D95">
        <w:t xml:space="preserve">.     </w:t>
      </w:r>
      <w:r w:rsidR="00452652">
        <w:t xml:space="preserve">    </w:t>
      </w:r>
      <w:r w:rsidR="00D070E7">
        <w:t xml:space="preserve">      </w:t>
      </w:r>
    </w:p>
    <w:p w14:paraId="246ECBD9" w14:textId="77777777" w:rsidR="0047710E" w:rsidRDefault="00A85A26" w:rsidP="000F49E6">
      <w:pPr>
        <w:spacing w:line="480" w:lineRule="auto"/>
        <w:ind w:firstLine="720"/>
      </w:pPr>
      <w:r>
        <w:t>Mr Beaton’s case</w:t>
      </w:r>
      <w:r w:rsidR="00C6332E">
        <w:t xml:space="preserve"> </w:t>
      </w:r>
      <w:r>
        <w:t>may also generate</w:t>
      </w:r>
      <w:r w:rsidR="00C6332E">
        <w:t xml:space="preserve"> </w:t>
      </w:r>
      <w:r>
        <w:t>a</w:t>
      </w:r>
      <w:r w:rsidR="00392E06">
        <w:t xml:space="preserve"> Type 1</w:t>
      </w:r>
      <w:r w:rsidR="00C6332E">
        <w:t xml:space="preserve"> conflict</w:t>
      </w:r>
      <w:r>
        <w:t xml:space="preserve"> for the PHE, although this </w:t>
      </w:r>
      <w:r w:rsidR="000A6086">
        <w:t xml:space="preserve">possibility </w:t>
      </w:r>
      <w:r>
        <w:t>may be less straightforward for her and for others to discern. A</w:t>
      </w:r>
      <w:r w:rsidR="00C708FF">
        <w:t xml:space="preserve">s a reminder, </w:t>
      </w:r>
      <w:r w:rsidR="00795ED6">
        <w:t xml:space="preserve">Stark suggests that </w:t>
      </w:r>
      <w:r w:rsidR="00C708FF">
        <w:t>a</w:t>
      </w:r>
      <w:r>
        <w:t xml:space="preserve"> Type 1 conflict </w:t>
      </w:r>
      <w:r w:rsidR="00C708FF">
        <w:t xml:space="preserve">is generated when “the professional occupies more than one role with respect to the same principal, such that the existence of the second role impairs her capacity to exercise the first.” </w:t>
      </w:r>
      <w:r w:rsidR="00402552">
        <w:t xml:space="preserve">The </w:t>
      </w:r>
      <w:r w:rsidR="00795ED6">
        <w:t xml:space="preserve">practicing </w:t>
      </w:r>
      <w:r w:rsidR="00402552">
        <w:t xml:space="preserve">ethicist, for example, </w:t>
      </w:r>
      <w:r w:rsidR="00DE3A25">
        <w:t xml:space="preserve">may </w:t>
      </w:r>
      <w:r w:rsidR="00402552">
        <w:t xml:space="preserve">be engaged in the development of institutional policy and procedures </w:t>
      </w:r>
      <w:r w:rsidR="00795ED6">
        <w:t>that</w:t>
      </w:r>
      <w:r w:rsidR="00636980">
        <w:t xml:space="preserve"> are</w:t>
      </w:r>
      <w:r w:rsidR="00402552">
        <w:t xml:space="preserve"> direct</w:t>
      </w:r>
      <w:r w:rsidR="00636980">
        <w:t xml:space="preserve">ly applicable </w:t>
      </w:r>
      <w:r w:rsidR="00402552">
        <w:t>to this patient’s case. The</w:t>
      </w:r>
      <w:r w:rsidR="00392E06">
        <w:t xml:space="preserve">se policies may, for example, </w:t>
      </w:r>
      <w:r w:rsidR="00795ED6">
        <w:t>offer direction with respect</w:t>
      </w:r>
      <w:r w:rsidR="00392E06">
        <w:t xml:space="preserve"> to the allocation of institutional resources, or </w:t>
      </w:r>
      <w:r w:rsidR="00795ED6">
        <w:t xml:space="preserve">establish </w:t>
      </w:r>
      <w:r w:rsidR="00392E06">
        <w:t xml:space="preserve">criteria that </w:t>
      </w:r>
      <w:r w:rsidR="00456703">
        <w:t>influence</w:t>
      </w:r>
      <w:r w:rsidR="00392E06">
        <w:t xml:space="preserve"> discharge decisions. </w:t>
      </w:r>
      <w:r w:rsidR="0047710E">
        <w:t>Unfortunately, a policy which is designed to address the needs of patients throughout the institution, or across the healthcare system,</w:t>
      </w:r>
      <w:r w:rsidR="00754A83">
        <w:t xml:space="preserve"> may not lead to</w:t>
      </w:r>
      <w:r w:rsidR="0047710E">
        <w:t xml:space="preserve"> a desirable outcome in a particular patient’s case. As one of the participants in the Frolic-Chidwick study </w:t>
      </w:r>
      <w:r w:rsidR="00754A83">
        <w:t xml:space="preserve">discovered, advocating for compassionate approach in a specific patient’s circumstance may entail a conflict with the interests of other patients.   </w:t>
      </w:r>
      <w:r w:rsidR="0047710E">
        <w:t xml:space="preserve">  </w:t>
      </w:r>
    </w:p>
    <w:p w14:paraId="498F1667" w14:textId="1E2E0C1B" w:rsidR="00C708FF" w:rsidRDefault="00392E06" w:rsidP="000F49E6">
      <w:pPr>
        <w:spacing w:line="480" w:lineRule="auto"/>
        <w:ind w:firstLine="720"/>
      </w:pPr>
      <w:r>
        <w:lastRenderedPageBreak/>
        <w:t xml:space="preserve">Another possible source of </w:t>
      </w:r>
      <w:r w:rsidR="00754A83">
        <w:t xml:space="preserve">Type 1 </w:t>
      </w:r>
      <w:r>
        <w:t>conflict is a variation o</w:t>
      </w:r>
      <w:r w:rsidR="00DE3A25">
        <w:t>n</w:t>
      </w:r>
      <w:r>
        <w:t xml:space="preserve"> the one faced by the physician-investigator. Bioethicists are encouraged </w:t>
      </w:r>
      <w:r w:rsidR="00E77FE6">
        <w:t>by their peers</w:t>
      </w:r>
      <w:r w:rsidR="00754A83">
        <w:t>,</w:t>
      </w:r>
      <w:r w:rsidR="00E77FE6">
        <w:t xml:space="preserve"> and </w:t>
      </w:r>
      <w:r w:rsidR="00754A83">
        <w:t xml:space="preserve">often </w:t>
      </w:r>
      <w:r w:rsidR="00E77FE6">
        <w:t>by their employers</w:t>
      </w:r>
      <w:r w:rsidR="008E2A7F">
        <w:t>,</w:t>
      </w:r>
      <w:r w:rsidR="00E77FE6">
        <w:t xml:space="preserve"> to </w:t>
      </w:r>
      <w:r w:rsidR="00626F70">
        <w:t xml:space="preserve">make scholarly </w:t>
      </w:r>
      <w:r w:rsidR="00E77FE6">
        <w:t>contribut</w:t>
      </w:r>
      <w:r w:rsidR="00626F70">
        <w:t>ions</w:t>
      </w:r>
      <w:r w:rsidR="00E77FE6">
        <w:t xml:space="preserve"> to the</w:t>
      </w:r>
      <w:r w:rsidR="00636980">
        <w:t>ir</w:t>
      </w:r>
      <w:r w:rsidR="008C672E">
        <w:t xml:space="preserve"> </w:t>
      </w:r>
      <w:r w:rsidR="00E77FE6">
        <w:t xml:space="preserve">field but these contributions may take the form of case studies which use their professional experiences, including patient narratives, as the subject of their </w:t>
      </w:r>
      <w:r w:rsidR="008C672E">
        <w:t>analyses</w:t>
      </w:r>
      <w:r w:rsidR="00E77FE6">
        <w:t xml:space="preserve">. </w:t>
      </w:r>
      <w:r w:rsidR="00B27847">
        <w:t xml:space="preserve">Although many published </w:t>
      </w:r>
      <w:r w:rsidR="004A4B10">
        <w:t>accounts consist of composite cases, and it is not yet routine</w:t>
      </w:r>
      <w:r w:rsidR="00B27847">
        <w:t xml:space="preserve"> for PHEs to seek consent from individual participants</w:t>
      </w:r>
      <w:r w:rsidR="004A4B10">
        <w:t xml:space="preserve"> when they wish to use</w:t>
      </w:r>
      <w:r w:rsidR="00B27847">
        <w:t xml:space="preserve"> their stories, it is worth reflecting on the way that a</w:t>
      </w:r>
      <w:r w:rsidR="008C672E">
        <w:t xml:space="preserve"> practicing healthcare</w:t>
      </w:r>
      <w:r w:rsidR="00B27847">
        <w:t xml:space="preserve"> ethicist’s interest in her academic sta</w:t>
      </w:r>
      <w:r w:rsidR="008C672E">
        <w:t>tus</w:t>
      </w:r>
      <w:r w:rsidR="00B27847">
        <w:t xml:space="preserve"> might influence her </w:t>
      </w:r>
      <w:r w:rsidR="004268A9">
        <w:t>conduct</w:t>
      </w:r>
      <w:r w:rsidR="00B27847">
        <w:t xml:space="preserve"> in </w:t>
      </w:r>
      <w:r w:rsidR="004A4B10">
        <w:t>particular cases</w:t>
      </w:r>
      <w:r w:rsidR="00626F70">
        <w:t xml:space="preserve"> and her clients’ perceptions of her role</w:t>
      </w:r>
      <w:r w:rsidR="004A4B10">
        <w:t>.</w:t>
      </w:r>
      <w:r w:rsidR="00B27847">
        <w:t xml:space="preserve">      </w:t>
      </w:r>
      <w:r w:rsidR="00E77FE6">
        <w:t xml:space="preserve">   </w:t>
      </w:r>
      <w:r>
        <w:t xml:space="preserve">     </w:t>
      </w:r>
      <w:r w:rsidR="00402552">
        <w:t xml:space="preserve">   </w:t>
      </w:r>
    </w:p>
    <w:p w14:paraId="115B4DB4" w14:textId="77777777" w:rsidR="0096138F" w:rsidRDefault="009F6D1E" w:rsidP="000F49E6">
      <w:pPr>
        <w:spacing w:line="480" w:lineRule="auto"/>
        <w:ind w:firstLine="720"/>
      </w:pPr>
      <w:r>
        <w:t>That th</w:t>
      </w:r>
      <w:r w:rsidR="004A4B10">
        <w:t>ese are</w:t>
      </w:r>
      <w:r>
        <w:t xml:space="preserve"> not chronic or disabling source</w:t>
      </w:r>
      <w:r w:rsidR="004A4B10">
        <w:t>s</w:t>
      </w:r>
      <w:r>
        <w:t xml:space="preserve"> of unease is </w:t>
      </w:r>
      <w:r w:rsidR="008C672E">
        <w:t xml:space="preserve">a subject </w:t>
      </w:r>
      <w:r>
        <w:t xml:space="preserve">worthy of </w:t>
      </w:r>
      <w:r w:rsidR="008C672E">
        <w:t xml:space="preserve">further </w:t>
      </w:r>
      <w:r>
        <w:t>investigation. It may be hypothesized that</w:t>
      </w:r>
      <w:r w:rsidR="002465E6">
        <w:t xml:space="preserve"> time spent in health care environments results in a gradual process of </w:t>
      </w:r>
      <w:r w:rsidR="0094740C">
        <w:t>enculturat</w:t>
      </w:r>
      <w:r w:rsidR="002465E6">
        <w:t xml:space="preserve">ion that makes PHEs largely oblivious to </w:t>
      </w:r>
      <w:r w:rsidR="0094740C">
        <w:t xml:space="preserve">their biases and blind spots, or it may be </w:t>
      </w:r>
      <w:r w:rsidR="008C672E">
        <w:t>the case that many</w:t>
      </w:r>
      <w:r w:rsidR="00097BD1">
        <w:t xml:space="preserve"> have found </w:t>
      </w:r>
      <w:r w:rsidR="0094740C">
        <w:t>strateg</w:t>
      </w:r>
      <w:r w:rsidR="008C672E">
        <w:t>ies</w:t>
      </w:r>
      <w:r w:rsidR="0094740C">
        <w:t xml:space="preserve"> or system</w:t>
      </w:r>
      <w:r w:rsidR="008C672E">
        <w:t>s</w:t>
      </w:r>
      <w:r w:rsidR="0094740C">
        <w:t xml:space="preserve"> that </w:t>
      </w:r>
      <w:r w:rsidR="008C672E">
        <w:t xml:space="preserve">generally </w:t>
      </w:r>
      <w:r w:rsidR="0094740C">
        <w:t>allow them to prioritise competing claims</w:t>
      </w:r>
      <w:r w:rsidR="008C672E">
        <w:t xml:space="preserve"> without difficulty</w:t>
      </w:r>
      <w:r w:rsidR="0094740C">
        <w:t>.</w:t>
      </w:r>
      <w:r w:rsidR="000415DB">
        <w:t xml:space="preserve"> </w:t>
      </w:r>
      <w:r w:rsidR="00DE3A25">
        <w:t xml:space="preserve">The </w:t>
      </w:r>
      <w:r w:rsidR="000415DB">
        <w:t>next chapter will permit a fuller elaboration</w:t>
      </w:r>
      <w:r w:rsidR="00DE3A25">
        <w:t xml:space="preserve"> of these challenges to integrity</w:t>
      </w:r>
      <w:r w:rsidR="00975E7D">
        <w:t xml:space="preserve"> (and potential management strategies)</w:t>
      </w:r>
      <w:r w:rsidR="00DE3A25">
        <w:t xml:space="preserve">, but </w:t>
      </w:r>
      <w:r w:rsidR="000415DB">
        <w:t xml:space="preserve">before tackling what we might </w:t>
      </w:r>
      <w:r w:rsidR="001468B3">
        <w:t xml:space="preserve">provisionally </w:t>
      </w:r>
      <w:r w:rsidR="000415DB">
        <w:t xml:space="preserve">call the politics of bioethics, </w:t>
      </w:r>
      <w:r w:rsidR="00DE3A25">
        <w:t xml:space="preserve">it may be helpful to </w:t>
      </w:r>
      <w:r w:rsidR="008C672E">
        <w:t>revisit</w:t>
      </w:r>
      <w:r w:rsidR="00DE3A25">
        <w:t xml:space="preserve"> Stark’s analysis of COI one more time. </w:t>
      </w:r>
      <w:r w:rsidR="000415DB">
        <w:t xml:space="preserve">His discussion of fiduciary obligation and agency relationships may </w:t>
      </w:r>
      <w:r w:rsidR="00636980">
        <w:t>offer</w:t>
      </w:r>
      <w:r w:rsidR="00975E7D">
        <w:t xml:space="preserve"> insights that can advance </w:t>
      </w:r>
      <w:r w:rsidR="000415DB">
        <w:t xml:space="preserve">the effort to disentangle some of these difficulties.    </w:t>
      </w:r>
    </w:p>
    <w:p w14:paraId="76C0B586" w14:textId="77777777" w:rsidR="0094740C" w:rsidRDefault="00DE3A25" w:rsidP="000F49E6">
      <w:pPr>
        <w:spacing w:line="480" w:lineRule="auto"/>
        <w:ind w:firstLine="720"/>
      </w:pPr>
      <w:r>
        <w:t xml:space="preserve"> </w:t>
      </w:r>
    </w:p>
    <w:p w14:paraId="5A00CC4A" w14:textId="77777777" w:rsidR="0094740C" w:rsidRPr="00975E7D" w:rsidRDefault="000415DB" w:rsidP="001D702E">
      <w:pPr>
        <w:spacing w:line="480" w:lineRule="auto"/>
        <w:rPr>
          <w:i/>
        </w:rPr>
      </w:pPr>
      <w:r w:rsidRPr="00975E7D">
        <w:rPr>
          <w:i/>
        </w:rPr>
        <w:lastRenderedPageBreak/>
        <w:t>Agency</w:t>
      </w:r>
      <w:r w:rsidR="00975E7D" w:rsidRPr="00975E7D">
        <w:rPr>
          <w:i/>
        </w:rPr>
        <w:t xml:space="preserve"> relationships and ethical obligations</w:t>
      </w:r>
    </w:p>
    <w:p w14:paraId="6BAA2166" w14:textId="77777777" w:rsidR="00396400" w:rsidRDefault="00437F22" w:rsidP="000F49E6">
      <w:pPr>
        <w:spacing w:line="480" w:lineRule="auto"/>
        <w:ind w:firstLine="720"/>
      </w:pPr>
      <w:r>
        <w:t xml:space="preserve">A quick review of the preceding sections may be in order. </w:t>
      </w:r>
      <w:r w:rsidR="00B27E10">
        <w:t>A</w:t>
      </w:r>
      <w:r w:rsidR="002F11FA">
        <w:t>ccording to the standard view, a</w:t>
      </w:r>
      <w:r w:rsidR="00B27E10">
        <w:t>t t</w:t>
      </w:r>
      <w:r w:rsidR="00975E7D">
        <w:t xml:space="preserve">he </w:t>
      </w:r>
      <w:r w:rsidR="00B27E10">
        <w:t>heart</w:t>
      </w:r>
      <w:r w:rsidR="00975E7D">
        <w:t xml:space="preserve"> of a conflict of interest is a tension between a professional’s duties to her client</w:t>
      </w:r>
      <w:r w:rsidR="002C0AB1">
        <w:t>,</w:t>
      </w:r>
      <w:r w:rsidR="00975E7D">
        <w:t xml:space="preserve"> or clients</w:t>
      </w:r>
      <w:r w:rsidR="002C0AB1">
        <w:t>,</w:t>
      </w:r>
      <w:r w:rsidR="00975E7D">
        <w:t xml:space="preserve"> and secondary</w:t>
      </w:r>
      <w:r w:rsidR="008A07DC">
        <w:t xml:space="preserve"> or</w:t>
      </w:r>
      <w:r w:rsidR="00975E7D">
        <w:t xml:space="preserve"> </w:t>
      </w:r>
      <w:r w:rsidR="002C0AB1">
        <w:t>“</w:t>
      </w:r>
      <w:r w:rsidR="00975E7D">
        <w:t>meddlesome interests</w:t>
      </w:r>
      <w:r w:rsidR="00E37EF5">
        <w:t>,</w:t>
      </w:r>
      <w:r w:rsidR="002C0AB1">
        <w:t>”</w:t>
      </w:r>
      <w:r w:rsidR="008A07DC">
        <w:rPr>
          <w:rStyle w:val="FootnoteReference"/>
        </w:rPr>
        <w:footnoteReference w:id="94"/>
      </w:r>
      <w:r w:rsidR="00975E7D">
        <w:t xml:space="preserve"> that interfere with th</w:t>
      </w:r>
      <w:r w:rsidR="00B27E10">
        <w:t>at</w:t>
      </w:r>
      <w:r w:rsidR="00975E7D">
        <w:t xml:space="preserve"> professional’s exercise of </w:t>
      </w:r>
      <w:r w:rsidR="002C0AB1">
        <w:t xml:space="preserve">judgement. While PHEs may not be immune to these </w:t>
      </w:r>
      <w:r w:rsidR="001D4176">
        <w:t>difficulties</w:t>
      </w:r>
      <w:r w:rsidR="00396400">
        <w:t xml:space="preserve">, Frolic and Chidwick’s investigation suggests that </w:t>
      </w:r>
      <w:r w:rsidR="009C5BA6">
        <w:t>intrinsic conflicts</w:t>
      </w:r>
      <w:r w:rsidR="00B27E10">
        <w:t>, those</w:t>
      </w:r>
      <w:r w:rsidR="009C5BA6">
        <w:t xml:space="preserve"> </w:t>
      </w:r>
      <w:r w:rsidR="00396400">
        <w:t>related to ethicists’ multiple</w:t>
      </w:r>
      <w:r w:rsidR="00B27E10">
        <w:t>,</w:t>
      </w:r>
      <w:r w:rsidR="00396400">
        <w:t xml:space="preserve"> </w:t>
      </w:r>
      <w:r w:rsidR="00B27E10">
        <w:t xml:space="preserve">and </w:t>
      </w:r>
      <w:r w:rsidR="002F11FA">
        <w:t>sometimes</w:t>
      </w:r>
      <w:r w:rsidR="00B27E10">
        <w:t xml:space="preserve"> conflicting, </w:t>
      </w:r>
      <w:r w:rsidR="00396400">
        <w:t xml:space="preserve">roles </w:t>
      </w:r>
      <w:r w:rsidR="004C006C">
        <w:t>constitute</w:t>
      </w:r>
      <w:r w:rsidR="00396400">
        <w:t xml:space="preserve"> a far </w:t>
      </w:r>
      <w:r w:rsidR="00396400" w:rsidRPr="00396400">
        <w:t>greater source of concern</w:t>
      </w:r>
      <w:r w:rsidR="004C006C">
        <w:t xml:space="preserve"> </w:t>
      </w:r>
      <w:r w:rsidR="00396400">
        <w:t>than ex</w:t>
      </w:r>
      <w:r w:rsidR="009C5BA6">
        <w:t>trinsic conflicts of interest</w:t>
      </w:r>
      <w:r w:rsidR="00396400">
        <w:t xml:space="preserve"> </w:t>
      </w:r>
      <w:r w:rsidR="00396400" w:rsidRPr="00396400">
        <w:t xml:space="preserve">such as a desire for financial gain or </w:t>
      </w:r>
      <w:r w:rsidR="002F11FA">
        <w:t xml:space="preserve">for </w:t>
      </w:r>
      <w:r w:rsidR="00396400" w:rsidRPr="00396400">
        <w:t>career advancement</w:t>
      </w:r>
      <w:r w:rsidR="00396400">
        <w:t xml:space="preserve">. </w:t>
      </w:r>
    </w:p>
    <w:p w14:paraId="78D0432F" w14:textId="77777777" w:rsidR="00E37EF5" w:rsidRDefault="00CF56D2" w:rsidP="000F49E6">
      <w:pPr>
        <w:spacing w:line="480" w:lineRule="auto"/>
        <w:ind w:firstLine="720"/>
      </w:pPr>
      <w:r>
        <w:t xml:space="preserve">It may be an error to suppose that the potential for external conflicts of interest is a less significant threat to the independent judgement of PHEs than intrinsic conflicts, but this is </w:t>
      </w:r>
      <w:r w:rsidR="009E0008">
        <w:t xml:space="preserve">not </w:t>
      </w:r>
      <w:r>
        <w:t xml:space="preserve">a matter that needs to be settled </w:t>
      </w:r>
      <w:r w:rsidR="001B511D">
        <w:t xml:space="preserve">in order to make progress on </w:t>
      </w:r>
      <w:r w:rsidR="004D653F">
        <w:t xml:space="preserve">efforts to understand </w:t>
      </w:r>
      <w:r w:rsidR="001B511D">
        <w:t>the nature and extent of the field’s COI-related shortcoming</w:t>
      </w:r>
      <w:r w:rsidR="009E0008">
        <w:t>s</w:t>
      </w:r>
      <w:r w:rsidR="001B511D">
        <w:t xml:space="preserve">. Stark offers an intriguing observation when he suggests that </w:t>
      </w:r>
      <w:r w:rsidR="00867DA1">
        <w:t>“[i]n Tolsto</w:t>
      </w:r>
      <w:r w:rsidR="001B511D">
        <w:t>yan fashion,</w:t>
      </w:r>
      <w:r w:rsidR="001C1A18">
        <w:t xml:space="preserve"> </w:t>
      </w:r>
      <w:r w:rsidR="001B511D">
        <w:t>conflicts of interest arising from out-of-role sources are all alike, but every profession experiences in-role conflicts in its own way</w:t>
      </w:r>
      <w:r>
        <w:t>.</w:t>
      </w:r>
      <w:r w:rsidR="001B511D">
        <w:t>”</w:t>
      </w:r>
      <w:r w:rsidR="001B511D">
        <w:rPr>
          <w:rStyle w:val="FootnoteReference"/>
        </w:rPr>
        <w:footnoteReference w:id="95"/>
      </w:r>
      <w:r>
        <w:t xml:space="preserve"> </w:t>
      </w:r>
      <w:r w:rsidR="003C3F64">
        <w:t xml:space="preserve">One of </w:t>
      </w:r>
      <w:r w:rsidR="002F11FA">
        <w:t xml:space="preserve">the </w:t>
      </w:r>
      <w:r w:rsidR="003C3F64">
        <w:t xml:space="preserve">sources of this variability </w:t>
      </w:r>
      <w:r w:rsidR="00641B94">
        <w:t>appears to lie</w:t>
      </w:r>
      <w:r w:rsidR="00F2677C">
        <w:t xml:space="preserve"> in </w:t>
      </w:r>
      <w:r w:rsidR="003C3F64">
        <w:t xml:space="preserve">the relationship </w:t>
      </w:r>
      <w:r w:rsidR="000270B9">
        <w:t xml:space="preserve">of particular </w:t>
      </w:r>
      <w:r w:rsidR="000270B9">
        <w:lastRenderedPageBreak/>
        <w:t xml:space="preserve">professions </w:t>
      </w:r>
      <w:r w:rsidR="003C3F64">
        <w:t xml:space="preserve">to </w:t>
      </w:r>
      <w:r w:rsidR="000270B9">
        <w:t>t</w:t>
      </w:r>
      <w:r w:rsidR="003C3F64">
        <w:t>he</w:t>
      </w:r>
      <w:r w:rsidR="000270B9">
        <w:t>i</w:t>
      </w:r>
      <w:r w:rsidR="003C3F64">
        <w:t>r principal(s)</w:t>
      </w:r>
      <w:r w:rsidR="00B87982">
        <w:t xml:space="preserve"> or</w:t>
      </w:r>
      <w:r w:rsidR="003C3F64">
        <w:t xml:space="preserve"> </w:t>
      </w:r>
      <w:r w:rsidR="002F11FA">
        <w:t xml:space="preserve">to </w:t>
      </w:r>
      <w:r w:rsidR="003C3F64">
        <w:t xml:space="preserve">the party </w:t>
      </w:r>
      <w:r w:rsidR="008E2A7F">
        <w:t>(</w:t>
      </w:r>
      <w:r w:rsidR="003C3F64">
        <w:t>or parties</w:t>
      </w:r>
      <w:r w:rsidR="008E2A7F">
        <w:t>)</w:t>
      </w:r>
      <w:r w:rsidR="003C3F64">
        <w:t xml:space="preserve"> </w:t>
      </w:r>
      <w:r w:rsidR="000270B9">
        <w:t>that they serve</w:t>
      </w:r>
      <w:r w:rsidR="003C3F64">
        <w:t xml:space="preserve">. Lawyers, as we have seen, need to be clear with respect to the duties </w:t>
      </w:r>
      <w:r w:rsidR="00B87982">
        <w:t xml:space="preserve">that </w:t>
      </w:r>
      <w:r w:rsidR="003C3F64">
        <w:t xml:space="preserve">they owe </w:t>
      </w:r>
      <w:r w:rsidR="003353D8">
        <w:t xml:space="preserve">to </w:t>
      </w:r>
      <w:r w:rsidR="003C3F64">
        <w:t xml:space="preserve">their </w:t>
      </w:r>
      <w:r w:rsidR="000270B9">
        <w:t xml:space="preserve">individual </w:t>
      </w:r>
      <w:r w:rsidR="003C3F64">
        <w:t xml:space="preserve">clients. A failure to </w:t>
      </w:r>
      <w:r w:rsidR="000270B9">
        <w:t>understand and meet these</w:t>
      </w:r>
      <w:r w:rsidR="003353D8">
        <w:t xml:space="preserve"> obligations can have grave consequences for all who </w:t>
      </w:r>
      <w:r w:rsidR="00BF7D7D">
        <w:t xml:space="preserve">are </w:t>
      </w:r>
      <w:r w:rsidR="003353D8">
        <w:t>implicated</w:t>
      </w:r>
      <w:r w:rsidR="000270B9">
        <w:t>,</w:t>
      </w:r>
      <w:r w:rsidR="003353D8">
        <w:t xml:space="preserve"> and recusal may be the only ethically defensible management strategy</w:t>
      </w:r>
      <w:r w:rsidR="00E37EF5">
        <w:t xml:space="preserve"> for the lawyer </w:t>
      </w:r>
      <w:r w:rsidR="00641B94">
        <w:t xml:space="preserve">who finds herself </w:t>
      </w:r>
      <w:r w:rsidR="00E37EF5">
        <w:t xml:space="preserve">representing clients who </w:t>
      </w:r>
      <w:r w:rsidR="00641B94">
        <w:t xml:space="preserve">have </w:t>
      </w:r>
      <w:r w:rsidR="00E37EF5">
        <w:t>develop</w:t>
      </w:r>
      <w:r w:rsidR="00641B94">
        <w:t>ed</w:t>
      </w:r>
      <w:r w:rsidR="00E37EF5">
        <w:t xml:space="preserve"> irreconcilable and competing interests</w:t>
      </w:r>
      <w:r w:rsidR="003353D8">
        <w:t xml:space="preserve">. </w:t>
      </w:r>
      <w:r w:rsidR="008E2A7F">
        <w:t xml:space="preserve">This </w:t>
      </w:r>
      <w:r w:rsidR="00084A7C">
        <w:t xml:space="preserve">response to COI makes sense in such cases </w:t>
      </w:r>
      <w:r w:rsidR="008E2A7F">
        <w:t xml:space="preserve">because lawyers have fiduciary obligations specifically to these clients. They </w:t>
      </w:r>
      <w:r w:rsidR="00084A7C">
        <w:t>are in a so-called agency relationship</w:t>
      </w:r>
      <w:r w:rsidR="008E2A7F">
        <w:t xml:space="preserve"> and</w:t>
      </w:r>
      <w:r w:rsidR="00084A7C">
        <w:t>, therefore,</w:t>
      </w:r>
      <w:r w:rsidR="008E2A7F">
        <w:t xml:space="preserve"> are obliged to protect their </w:t>
      </w:r>
      <w:r w:rsidR="00084A7C">
        <w:t xml:space="preserve">principals’ </w:t>
      </w:r>
      <w:r w:rsidR="008E2A7F">
        <w:t>interests against the competing claims of other parties.</w:t>
      </w:r>
    </w:p>
    <w:p w14:paraId="68AE4919" w14:textId="77777777" w:rsidR="006F7CFF" w:rsidRDefault="000270B9" w:rsidP="000F49E6">
      <w:pPr>
        <w:spacing w:line="480" w:lineRule="auto"/>
        <w:ind w:firstLine="720"/>
      </w:pPr>
      <w:r>
        <w:t xml:space="preserve">Not all professionals, however, stand in a special or fiduciary relation to their principals. In fact, Stark suggests that some professionals – specifically, journalists, critics, judges, and public officials – </w:t>
      </w:r>
      <w:r w:rsidR="00515CA8">
        <w:t>“</w:t>
      </w:r>
      <w:r>
        <w:t xml:space="preserve">owe </w:t>
      </w:r>
      <w:r w:rsidR="00515CA8">
        <w:t>their professional responsibilities to the public</w:t>
      </w:r>
      <w:r w:rsidR="00BF7D7D">
        <w:t>.</w:t>
      </w:r>
      <w:r w:rsidR="00515CA8">
        <w:t>”</w:t>
      </w:r>
      <w:r w:rsidR="00515CA8">
        <w:rPr>
          <w:rStyle w:val="FootnoteReference"/>
        </w:rPr>
        <w:footnoteReference w:id="96"/>
      </w:r>
      <w:r>
        <w:t xml:space="preserve"> </w:t>
      </w:r>
      <w:r w:rsidR="00F2677C">
        <w:t>To elaborate further, he asserts that “judges bear a primary obligation to the public for whom they work to do justice; to faithfully interpret, clarify, improve, and rationalize the law.”</w:t>
      </w:r>
      <w:r w:rsidR="00F2677C">
        <w:rPr>
          <w:rStyle w:val="FootnoteReference"/>
        </w:rPr>
        <w:footnoteReference w:id="97"/>
      </w:r>
      <w:r w:rsidR="00F2677C">
        <w:t xml:space="preserve"> </w:t>
      </w:r>
      <w:r w:rsidR="00B87982">
        <w:t>He concedes the point that t</w:t>
      </w:r>
      <w:r w:rsidR="00641B94">
        <w:t>hey</w:t>
      </w:r>
      <w:r w:rsidR="006F7CFF">
        <w:t xml:space="preserve"> may owe</w:t>
      </w:r>
      <w:r w:rsidR="00641B94">
        <w:t xml:space="preserve"> additional duties to particular litigants (</w:t>
      </w:r>
      <w:r w:rsidR="00630F90">
        <w:t xml:space="preserve">two of </w:t>
      </w:r>
      <w:r w:rsidR="00B87982">
        <w:t xml:space="preserve">the </w:t>
      </w:r>
      <w:r w:rsidR="00641B94">
        <w:t>examples he offers are the duties to settle cases expeditiously, and to preserve confidentiality)</w:t>
      </w:r>
      <w:r w:rsidR="006F7CFF">
        <w:t>,</w:t>
      </w:r>
      <w:r w:rsidR="00641B94">
        <w:t xml:space="preserve"> but</w:t>
      </w:r>
      <w:r w:rsidR="006F7CFF">
        <w:t xml:space="preserve"> it is important to notice</w:t>
      </w:r>
      <w:r w:rsidR="00641B94">
        <w:t xml:space="preserve"> that</w:t>
      </w:r>
      <w:r w:rsidR="008E2A7F">
        <w:t xml:space="preserve"> under this conception </w:t>
      </w:r>
      <w:r w:rsidR="00641B94">
        <w:t xml:space="preserve">any </w:t>
      </w:r>
      <w:r w:rsidR="00B87982">
        <w:t xml:space="preserve">intrinsic </w:t>
      </w:r>
      <w:r w:rsidR="00641B94">
        <w:t>conflicts</w:t>
      </w:r>
      <w:r w:rsidR="00B87982">
        <w:t xml:space="preserve"> that</w:t>
      </w:r>
      <w:r w:rsidR="00787E93">
        <w:t xml:space="preserve"> </w:t>
      </w:r>
      <w:r w:rsidR="00641B94">
        <w:lastRenderedPageBreak/>
        <w:t xml:space="preserve">arise </w:t>
      </w:r>
      <w:r w:rsidR="00B87982">
        <w:t xml:space="preserve">as the judge performs her duties </w:t>
      </w:r>
      <w:r w:rsidR="00641B94">
        <w:t xml:space="preserve">must be resolved in a manner which gives priority to </w:t>
      </w:r>
      <w:r w:rsidR="006F7CFF">
        <w:t>the public’s interest.</w:t>
      </w:r>
    </w:p>
    <w:p w14:paraId="01373AFF" w14:textId="77777777" w:rsidR="00433538" w:rsidRDefault="00084A7C" w:rsidP="000F49E6">
      <w:pPr>
        <w:spacing w:line="480" w:lineRule="auto"/>
        <w:ind w:firstLine="720"/>
      </w:pPr>
      <w:r>
        <w:t>How one is to know w</w:t>
      </w:r>
      <w:r w:rsidR="00B87982">
        <w:t>hat the public’s interest</w:t>
      </w:r>
      <w:r w:rsidR="00210468">
        <w:t xml:space="preserve"> consists in</w:t>
      </w:r>
      <w:r w:rsidR="00B87982">
        <w:t xml:space="preserve"> </w:t>
      </w:r>
      <w:r>
        <w:t xml:space="preserve">with respect to a particular case </w:t>
      </w:r>
      <w:r w:rsidR="00B87982">
        <w:t>is</w:t>
      </w:r>
      <w:r w:rsidR="00210468">
        <w:t>, of course,</w:t>
      </w:r>
      <w:r w:rsidR="00B87982">
        <w:t xml:space="preserve"> an intriguing question, and it too is likely to attract considerable controversy</w:t>
      </w:r>
      <w:r w:rsidR="00C5295A">
        <w:t>.</w:t>
      </w:r>
      <w:r w:rsidR="00A323BB">
        <w:t xml:space="preserve"> </w:t>
      </w:r>
      <w:r w:rsidR="00210468">
        <w:t xml:space="preserve">Stark signals that prospect when he </w:t>
      </w:r>
      <w:r w:rsidR="00252772">
        <w:t>offers th</w:t>
      </w:r>
      <w:r w:rsidR="00DB21AE">
        <w:t xml:space="preserve">e </w:t>
      </w:r>
      <w:r w:rsidR="00252772">
        <w:t xml:space="preserve">bracing </w:t>
      </w:r>
      <w:r>
        <w:t>suggestion</w:t>
      </w:r>
      <w:r w:rsidR="00252772">
        <w:t xml:space="preserve"> that there </w:t>
      </w:r>
      <w:r w:rsidR="00DB21AE">
        <w:t>may be no “empirical reality for journalists and judges…</w:t>
      </w:r>
      <w:r w:rsidR="00C5295A">
        <w:t xml:space="preserve"> </w:t>
      </w:r>
      <w:r w:rsidR="00DB21AE">
        <w:t>[that] "is always knowable, accessible, or beyond contestation”</w:t>
      </w:r>
      <w:r w:rsidR="00867A10">
        <w:t xml:space="preserve"> against which one can test the independence of their judgements.</w:t>
      </w:r>
      <w:r w:rsidR="00DB21AE">
        <w:rPr>
          <w:rStyle w:val="FootnoteReference"/>
        </w:rPr>
        <w:footnoteReference w:id="98"/>
      </w:r>
      <w:r w:rsidR="00867A10">
        <w:t xml:space="preserve"> Moreover, if</w:t>
      </w:r>
      <w:r w:rsidR="008D22A2">
        <w:t xml:space="preserve"> an external observer is </w:t>
      </w:r>
      <w:r w:rsidR="00A323BB">
        <w:t xml:space="preserve">to </w:t>
      </w:r>
      <w:r w:rsidR="008D22A2">
        <w:t xml:space="preserve">accuse these </w:t>
      </w:r>
      <w:r w:rsidR="00A323BB">
        <w:t xml:space="preserve">types of </w:t>
      </w:r>
      <w:r w:rsidR="008D22A2">
        <w:t>professionals of impaired judgement owing to an intrinsic conflict of interest</w:t>
      </w:r>
      <w:r w:rsidR="00A323BB">
        <w:t>,</w:t>
      </w:r>
      <w:r w:rsidR="008D22A2">
        <w:t xml:space="preserve"> </w:t>
      </w:r>
      <w:r w:rsidR="00A323BB">
        <w:t>the solution cannot simply be to eliminate the conflict by recusal or to manage it via disclosure</w:t>
      </w:r>
      <w:r w:rsidR="008D22A2">
        <w:t>.</w:t>
      </w:r>
      <w:r w:rsidR="00A323BB">
        <w:t xml:space="preserve"> The confl</w:t>
      </w:r>
      <w:r w:rsidR="00636980">
        <w:t>ict, if that is the descriptor</w:t>
      </w:r>
      <w:r w:rsidR="00A323BB">
        <w:t xml:space="preserve"> that best captures the dilemma, is an inescapable aspect of the role. </w:t>
      </w:r>
      <w:r w:rsidR="00433538">
        <w:t xml:space="preserve">The judge will need to be attentive to all of the interests that are implicated </w:t>
      </w:r>
      <w:r>
        <w:t>in the case</w:t>
      </w:r>
      <w:r w:rsidR="00636980">
        <w:t>s that come</w:t>
      </w:r>
      <w:r>
        <w:t xml:space="preserve"> </w:t>
      </w:r>
      <w:r w:rsidR="00433538">
        <w:t xml:space="preserve">before her and none should be permitted to undermine her duties to the community as a whole. </w:t>
      </w:r>
    </w:p>
    <w:p w14:paraId="3EDF063A" w14:textId="77777777" w:rsidR="00252772" w:rsidRDefault="00887217" w:rsidP="000F49E6">
      <w:pPr>
        <w:spacing w:line="480" w:lineRule="auto"/>
        <w:ind w:firstLine="720"/>
      </w:pPr>
      <w:r>
        <w:t>PHEs, for better or worse, appear to be candidates for inclusion in Stark’s small set of peculiarly</w:t>
      </w:r>
      <w:r w:rsidR="00433538">
        <w:t xml:space="preserve">, </w:t>
      </w:r>
      <w:r>
        <w:t>and perhaps precariously</w:t>
      </w:r>
      <w:r w:rsidR="00433538">
        <w:t>,</w:t>
      </w:r>
      <w:r>
        <w:t xml:space="preserve"> situated professionals. Like journalists, literary critics, and judges, they do not act as agents of the individuals who seek their services. The </w:t>
      </w:r>
      <w:r w:rsidR="00662BEA">
        <w:t xml:space="preserve">most important duty that </w:t>
      </w:r>
      <w:r>
        <w:t>they owe,</w:t>
      </w:r>
      <w:r w:rsidR="00662BEA">
        <w:t xml:space="preserve"> that is, </w:t>
      </w:r>
      <w:r>
        <w:t>the duty to exercise t</w:t>
      </w:r>
      <w:r w:rsidR="00A97A0E">
        <w:t>heir judgement in a manner that is</w:t>
      </w:r>
      <w:r>
        <w:t xml:space="preserve"> </w:t>
      </w:r>
      <w:r w:rsidR="00A97A0E">
        <w:t>unbiased</w:t>
      </w:r>
      <w:r w:rsidR="00662BEA">
        <w:t>, well-informed,</w:t>
      </w:r>
      <w:r w:rsidR="00A97A0E">
        <w:t xml:space="preserve"> and fair-minded, </w:t>
      </w:r>
      <w:r w:rsidR="00662BEA">
        <w:t xml:space="preserve">is a </w:t>
      </w:r>
      <w:r w:rsidR="00084A7C">
        <w:t>dut</w:t>
      </w:r>
      <w:r w:rsidR="00662BEA">
        <w:t>y</w:t>
      </w:r>
      <w:r w:rsidR="00A97A0E">
        <w:t xml:space="preserve"> owed to the community they serve (however that community </w:t>
      </w:r>
      <w:r w:rsidR="00A97A0E">
        <w:lastRenderedPageBreak/>
        <w:t xml:space="preserve">may be defined). </w:t>
      </w:r>
      <w:r w:rsidR="00EB1411">
        <w:t>And, as is the case with</w:t>
      </w:r>
      <w:r w:rsidR="00A97A0E">
        <w:t xml:space="preserve"> journalists, critics, and judges, the diagnosis and cure for </w:t>
      </w:r>
      <w:r w:rsidR="00EB1411">
        <w:t xml:space="preserve">what ails individual practitioners, or the whole of the practice, </w:t>
      </w:r>
      <w:r w:rsidR="00A97A0E">
        <w:t xml:space="preserve">will not </w:t>
      </w:r>
      <w:r w:rsidR="00662BEA">
        <w:t>easily be settled</w:t>
      </w:r>
      <w:r w:rsidR="00A97A0E">
        <w:t xml:space="preserve"> via appeal to </w:t>
      </w:r>
      <w:r w:rsidR="000437FC">
        <w:t xml:space="preserve">uncontroversial, </w:t>
      </w:r>
      <w:r w:rsidR="00EB1411">
        <w:t>ext</w:t>
      </w:r>
      <w:r w:rsidR="00662BEA">
        <w:t>rinsic</w:t>
      </w:r>
      <w:r w:rsidR="00EB1411">
        <w:t xml:space="preserve"> </w:t>
      </w:r>
      <w:r w:rsidR="00A97A0E">
        <w:t>standards</w:t>
      </w:r>
      <w:r w:rsidR="00EB1411">
        <w:t>. PHEs will need to offer an account of what they do that makes sense of a range of acceptable bioethical world views while permitting the outside scrutiny</w:t>
      </w:r>
      <w:r w:rsidR="001C127B">
        <w:t xml:space="preserve"> that is</w:t>
      </w:r>
      <w:r w:rsidR="00EB1411">
        <w:t xml:space="preserve"> nec</w:t>
      </w:r>
      <w:r w:rsidR="001C127B">
        <w:t xml:space="preserve">essary to </w:t>
      </w:r>
      <w:r w:rsidR="00A15FE3">
        <w:t>tackle</w:t>
      </w:r>
      <w:r w:rsidR="001C127B">
        <w:t xml:space="preserve"> the charges of partiality, politicization, and incoherence with which th</w:t>
      </w:r>
      <w:r w:rsidR="00A15FE3">
        <w:t>is project</w:t>
      </w:r>
      <w:r w:rsidR="001C127B">
        <w:t xml:space="preserve"> began</w:t>
      </w:r>
      <w:r w:rsidR="00EB1411">
        <w:t>.</w:t>
      </w:r>
    </w:p>
    <w:p w14:paraId="0CFEC4C1" w14:textId="77777777" w:rsidR="006F1DEF" w:rsidRDefault="00630F90">
      <w:pPr>
        <w:rPr>
          <w:b/>
        </w:rPr>
      </w:pPr>
      <w:r>
        <w:t xml:space="preserve"> </w:t>
      </w:r>
      <w:r w:rsidR="00210468">
        <w:t xml:space="preserve"> </w:t>
      </w:r>
      <w:r w:rsidR="006F7CFF">
        <w:t xml:space="preserve"> </w:t>
      </w:r>
      <w:r w:rsidR="006F1DEF">
        <w:rPr>
          <w:b/>
        </w:rPr>
        <w:br w:type="page"/>
      </w:r>
    </w:p>
    <w:p w14:paraId="24CECB59" w14:textId="77777777" w:rsidR="006F1DEF" w:rsidRPr="00CC74B5" w:rsidRDefault="00052E09" w:rsidP="006F1DEF">
      <w:pPr>
        <w:ind w:left="720" w:hanging="720"/>
        <w:rPr>
          <w:u w:val="single"/>
        </w:rPr>
      </w:pPr>
      <w:r w:rsidRPr="00CC74B5">
        <w:rPr>
          <w:u w:val="single"/>
        </w:rPr>
        <w:lastRenderedPageBreak/>
        <w:t>Chapter 3</w:t>
      </w:r>
      <w:r w:rsidR="006F1DEF" w:rsidRPr="00CC74B5">
        <w:rPr>
          <w:u w:val="single"/>
        </w:rPr>
        <w:t xml:space="preserve">: </w:t>
      </w:r>
      <w:r w:rsidR="00156C4C" w:rsidRPr="00CC74B5">
        <w:rPr>
          <w:u w:val="single"/>
        </w:rPr>
        <w:t>Scrutinizing</w:t>
      </w:r>
      <w:r w:rsidR="007D25C2" w:rsidRPr="00CC74B5">
        <w:rPr>
          <w:u w:val="single"/>
        </w:rPr>
        <w:t xml:space="preserve"> the</w:t>
      </w:r>
      <w:r w:rsidR="006F1DEF" w:rsidRPr="00CC74B5">
        <w:rPr>
          <w:u w:val="single"/>
        </w:rPr>
        <w:t xml:space="preserve"> Standing of Principles: </w:t>
      </w:r>
      <w:r w:rsidR="007D25C2" w:rsidRPr="00CC74B5">
        <w:rPr>
          <w:u w:val="single"/>
        </w:rPr>
        <w:t>On t</w:t>
      </w:r>
      <w:r w:rsidR="006F1DEF" w:rsidRPr="00CC74B5">
        <w:rPr>
          <w:u w:val="single"/>
        </w:rPr>
        <w:t>he Politics of Bioethics</w:t>
      </w:r>
      <w:r w:rsidR="00006607" w:rsidRPr="00CC74B5">
        <w:rPr>
          <w:u w:val="single"/>
        </w:rPr>
        <w:t xml:space="preserve"> </w:t>
      </w:r>
    </w:p>
    <w:p w14:paraId="2C5BE7C1" w14:textId="77777777" w:rsidR="00AE22A3" w:rsidRPr="006F1DEF" w:rsidRDefault="00AE22A3" w:rsidP="00531491">
      <w:pPr>
        <w:spacing w:line="480" w:lineRule="auto"/>
      </w:pPr>
    </w:p>
    <w:p w14:paraId="5CD6A975" w14:textId="2DB890F0" w:rsidR="00CD4078" w:rsidRDefault="007D25C2" w:rsidP="000F49E6">
      <w:pPr>
        <w:pStyle w:val="Body1"/>
        <w:spacing w:line="480" w:lineRule="auto"/>
        <w:ind w:firstLine="720"/>
        <w:rPr>
          <w:rFonts w:ascii="Times New Roman" w:hAnsi="Times New Roman" w:cs="Times New Roman"/>
          <w:lang w:val="en-GB"/>
        </w:rPr>
      </w:pPr>
      <w:r>
        <w:rPr>
          <w:rFonts w:ascii="Times New Roman" w:hAnsi="Times New Roman" w:cs="Times New Roman"/>
          <w:lang w:val="en-GB"/>
        </w:rPr>
        <w:t>The preceding chapter concluded with the suggestion t</w:t>
      </w:r>
      <w:r w:rsidR="005A13D0">
        <w:rPr>
          <w:rFonts w:ascii="Times New Roman" w:hAnsi="Times New Roman" w:cs="Times New Roman"/>
          <w:lang w:val="en-GB"/>
        </w:rPr>
        <w:t>hat the greatest threats to the integrity of pr</w:t>
      </w:r>
      <w:r w:rsidR="00C76574">
        <w:rPr>
          <w:rFonts w:ascii="Times New Roman" w:hAnsi="Times New Roman" w:cs="Times New Roman"/>
          <w:lang w:val="en-GB"/>
        </w:rPr>
        <w:t>acticing healthcare ethicists may</w:t>
      </w:r>
      <w:r w:rsidR="00170CDA">
        <w:rPr>
          <w:rFonts w:ascii="Times New Roman" w:hAnsi="Times New Roman" w:cs="Times New Roman"/>
          <w:lang w:val="en-GB"/>
        </w:rPr>
        <w:t xml:space="preserve"> </w:t>
      </w:r>
      <w:r w:rsidR="000E505E">
        <w:rPr>
          <w:rFonts w:ascii="Times New Roman" w:hAnsi="Times New Roman" w:cs="Times New Roman"/>
          <w:lang w:val="en-GB"/>
        </w:rPr>
        <w:t xml:space="preserve">not </w:t>
      </w:r>
      <w:r w:rsidR="00170CDA">
        <w:rPr>
          <w:rFonts w:ascii="Times New Roman" w:hAnsi="Times New Roman" w:cs="Times New Roman"/>
          <w:lang w:val="en-GB"/>
        </w:rPr>
        <w:t>be</w:t>
      </w:r>
      <w:r w:rsidR="005A13D0">
        <w:rPr>
          <w:rFonts w:ascii="Times New Roman" w:hAnsi="Times New Roman" w:cs="Times New Roman"/>
          <w:lang w:val="en-GB"/>
        </w:rPr>
        <w:t xml:space="preserve"> the temptat</w:t>
      </w:r>
      <w:r w:rsidR="009A602E">
        <w:rPr>
          <w:rFonts w:ascii="Times New Roman" w:hAnsi="Times New Roman" w:cs="Times New Roman"/>
          <w:lang w:val="en-GB"/>
        </w:rPr>
        <w:t xml:space="preserve">ions associated with extrinsic conflicts of interest </w:t>
      </w:r>
      <w:r w:rsidR="005A13D0">
        <w:rPr>
          <w:rFonts w:ascii="Times New Roman" w:hAnsi="Times New Roman" w:cs="Times New Roman"/>
          <w:lang w:val="en-GB"/>
        </w:rPr>
        <w:t xml:space="preserve">(such as </w:t>
      </w:r>
      <w:r w:rsidR="00171117">
        <w:rPr>
          <w:rFonts w:ascii="Times New Roman" w:hAnsi="Times New Roman" w:cs="Times New Roman"/>
          <w:lang w:val="en-GB"/>
        </w:rPr>
        <w:t xml:space="preserve">the </w:t>
      </w:r>
      <w:r w:rsidR="009A602E">
        <w:rPr>
          <w:rFonts w:ascii="Times New Roman" w:hAnsi="Times New Roman" w:cs="Times New Roman"/>
          <w:lang w:val="en-GB"/>
        </w:rPr>
        <w:t xml:space="preserve">inducements that come in the form of </w:t>
      </w:r>
      <w:r w:rsidR="005A13D0">
        <w:rPr>
          <w:rFonts w:ascii="Times New Roman" w:hAnsi="Times New Roman" w:cs="Times New Roman"/>
          <w:lang w:val="en-GB"/>
        </w:rPr>
        <w:t>contracts with pharmaceutical companies or even the promise</w:t>
      </w:r>
      <w:r w:rsidR="00A82C31">
        <w:rPr>
          <w:rFonts w:ascii="Times New Roman" w:hAnsi="Times New Roman" w:cs="Times New Roman"/>
          <w:lang w:val="en-GB"/>
        </w:rPr>
        <w:t>s</w:t>
      </w:r>
      <w:r w:rsidR="005A13D0">
        <w:rPr>
          <w:rFonts w:ascii="Times New Roman" w:hAnsi="Times New Roman" w:cs="Times New Roman"/>
          <w:lang w:val="en-GB"/>
        </w:rPr>
        <w:t xml:space="preserve"> of secure salaries)</w:t>
      </w:r>
      <w:r w:rsidR="00FB07E9">
        <w:rPr>
          <w:rFonts w:ascii="Times New Roman" w:hAnsi="Times New Roman" w:cs="Times New Roman"/>
          <w:lang w:val="en-GB"/>
        </w:rPr>
        <w:t>,</w:t>
      </w:r>
      <w:r w:rsidR="000E505E">
        <w:rPr>
          <w:rFonts w:ascii="Times New Roman" w:hAnsi="Times New Roman" w:cs="Times New Roman"/>
          <w:lang w:val="en-GB"/>
        </w:rPr>
        <w:t xml:space="preserve"> but</w:t>
      </w:r>
      <w:r w:rsidR="00373D11">
        <w:rPr>
          <w:rFonts w:ascii="Times New Roman" w:hAnsi="Times New Roman" w:cs="Times New Roman"/>
          <w:lang w:val="en-GB"/>
        </w:rPr>
        <w:t xml:space="preserve"> </w:t>
      </w:r>
      <w:r w:rsidR="001D79CA">
        <w:rPr>
          <w:rFonts w:ascii="Times New Roman" w:hAnsi="Times New Roman" w:cs="Times New Roman"/>
          <w:lang w:val="en-GB"/>
        </w:rPr>
        <w:t xml:space="preserve">instead </w:t>
      </w:r>
      <w:r w:rsidR="000E505E">
        <w:rPr>
          <w:rFonts w:ascii="Times New Roman" w:hAnsi="Times New Roman" w:cs="Times New Roman"/>
          <w:lang w:val="en-GB"/>
        </w:rPr>
        <w:t>come in the form of</w:t>
      </w:r>
      <w:r w:rsidR="00373D11">
        <w:rPr>
          <w:rFonts w:ascii="Times New Roman" w:hAnsi="Times New Roman" w:cs="Times New Roman"/>
          <w:lang w:val="en-GB"/>
        </w:rPr>
        <w:t xml:space="preserve"> intrac</w:t>
      </w:r>
      <w:r w:rsidR="000E505E">
        <w:rPr>
          <w:rFonts w:ascii="Times New Roman" w:hAnsi="Times New Roman" w:cs="Times New Roman"/>
          <w:lang w:val="en-GB"/>
        </w:rPr>
        <w:t>table, perhaps inescapable, challenges associated with the nature of the role (at least as it is often structure</w:t>
      </w:r>
      <w:r w:rsidR="003052D9">
        <w:rPr>
          <w:rFonts w:ascii="Times New Roman" w:hAnsi="Times New Roman" w:cs="Times New Roman"/>
          <w:lang w:val="en-GB"/>
        </w:rPr>
        <w:t>d</w:t>
      </w:r>
      <w:r w:rsidR="000E505E">
        <w:rPr>
          <w:rFonts w:ascii="Times New Roman" w:hAnsi="Times New Roman" w:cs="Times New Roman"/>
          <w:lang w:val="en-GB"/>
        </w:rPr>
        <w:t>)</w:t>
      </w:r>
      <w:r w:rsidR="00373D11">
        <w:rPr>
          <w:rFonts w:ascii="Times New Roman" w:hAnsi="Times New Roman" w:cs="Times New Roman"/>
          <w:lang w:val="en-GB"/>
        </w:rPr>
        <w:t xml:space="preserve">. </w:t>
      </w:r>
      <w:r w:rsidR="009A6296">
        <w:rPr>
          <w:rFonts w:ascii="Times New Roman" w:hAnsi="Times New Roman" w:cs="Times New Roman"/>
          <w:lang w:val="en-GB"/>
        </w:rPr>
        <w:t>Although s</w:t>
      </w:r>
      <w:r w:rsidR="00373D11">
        <w:rPr>
          <w:rFonts w:ascii="Times New Roman" w:hAnsi="Times New Roman" w:cs="Times New Roman"/>
          <w:lang w:val="en-GB"/>
        </w:rPr>
        <w:t>ome ethicists may see themselves as ch</w:t>
      </w:r>
      <w:r w:rsidR="009A602E">
        <w:rPr>
          <w:rFonts w:ascii="Times New Roman" w:hAnsi="Times New Roman" w:cs="Times New Roman"/>
          <w:lang w:val="en-GB"/>
        </w:rPr>
        <w:t>ampions</w:t>
      </w:r>
      <w:r w:rsidR="00373D11">
        <w:rPr>
          <w:rFonts w:ascii="Times New Roman" w:hAnsi="Times New Roman" w:cs="Times New Roman"/>
          <w:lang w:val="en-GB"/>
        </w:rPr>
        <w:t xml:space="preserve"> of underdo</w:t>
      </w:r>
      <w:r w:rsidR="00C52105">
        <w:rPr>
          <w:rFonts w:ascii="Times New Roman" w:hAnsi="Times New Roman" w:cs="Times New Roman"/>
          <w:lang w:val="en-GB"/>
        </w:rPr>
        <w:t>gs in the healthcare encounter (</w:t>
      </w:r>
      <w:r w:rsidR="00662BEA">
        <w:rPr>
          <w:rFonts w:ascii="Times New Roman" w:hAnsi="Times New Roman" w:cs="Times New Roman"/>
          <w:lang w:val="en-GB"/>
        </w:rPr>
        <w:t>such as</w:t>
      </w:r>
      <w:r w:rsidR="00373D11">
        <w:rPr>
          <w:rFonts w:ascii="Times New Roman" w:hAnsi="Times New Roman" w:cs="Times New Roman"/>
          <w:lang w:val="en-GB"/>
        </w:rPr>
        <w:t xml:space="preserve"> patients who are vulnerably situated o</w:t>
      </w:r>
      <w:r w:rsidR="00487091">
        <w:rPr>
          <w:rFonts w:ascii="Times New Roman" w:hAnsi="Times New Roman" w:cs="Times New Roman"/>
          <w:lang w:val="en-GB"/>
        </w:rPr>
        <w:t>wing to a tragic</w:t>
      </w:r>
      <w:r w:rsidR="00373D11">
        <w:rPr>
          <w:rFonts w:ascii="Times New Roman" w:hAnsi="Times New Roman" w:cs="Times New Roman"/>
          <w:lang w:val="en-GB"/>
        </w:rPr>
        <w:t xml:space="preserve"> combination</w:t>
      </w:r>
      <w:r w:rsidR="000E505E">
        <w:rPr>
          <w:rFonts w:ascii="Times New Roman" w:hAnsi="Times New Roman" w:cs="Times New Roman"/>
          <w:lang w:val="en-GB"/>
        </w:rPr>
        <w:t>s</w:t>
      </w:r>
      <w:r w:rsidR="00373D11">
        <w:rPr>
          <w:rFonts w:ascii="Times New Roman" w:hAnsi="Times New Roman" w:cs="Times New Roman"/>
          <w:lang w:val="en-GB"/>
        </w:rPr>
        <w:t xml:space="preserve"> of v</w:t>
      </w:r>
      <w:r w:rsidR="00C52105">
        <w:rPr>
          <w:rFonts w:ascii="Times New Roman" w:hAnsi="Times New Roman" w:cs="Times New Roman"/>
          <w:lang w:val="en-GB"/>
        </w:rPr>
        <w:t>ariables such as</w:t>
      </w:r>
      <w:r w:rsidR="00315F36">
        <w:rPr>
          <w:rFonts w:ascii="Times New Roman" w:hAnsi="Times New Roman" w:cs="Times New Roman"/>
          <w:lang w:val="en-GB"/>
        </w:rPr>
        <w:t xml:space="preserve"> illness, socio-economic status</w:t>
      </w:r>
      <w:r w:rsidR="00373D11">
        <w:rPr>
          <w:rFonts w:ascii="Times New Roman" w:hAnsi="Times New Roman" w:cs="Times New Roman"/>
          <w:lang w:val="en-GB"/>
        </w:rPr>
        <w:t>,</w:t>
      </w:r>
      <w:r w:rsidR="00636980">
        <w:rPr>
          <w:rFonts w:ascii="Times New Roman" w:hAnsi="Times New Roman" w:cs="Times New Roman"/>
          <w:lang w:val="en-GB"/>
        </w:rPr>
        <w:t xml:space="preserve"> or</w:t>
      </w:r>
      <w:r w:rsidR="00C52105">
        <w:rPr>
          <w:rFonts w:ascii="Times New Roman" w:hAnsi="Times New Roman" w:cs="Times New Roman"/>
          <w:lang w:val="en-GB"/>
        </w:rPr>
        <w:t xml:space="preserve"> addiction),</w:t>
      </w:r>
      <w:r w:rsidR="00373D11">
        <w:rPr>
          <w:rFonts w:ascii="Times New Roman" w:hAnsi="Times New Roman" w:cs="Times New Roman"/>
          <w:lang w:val="en-GB"/>
        </w:rPr>
        <w:t xml:space="preserve"> </w:t>
      </w:r>
      <w:r w:rsidR="00C52105">
        <w:rPr>
          <w:rFonts w:ascii="Times New Roman" w:hAnsi="Times New Roman" w:cs="Times New Roman"/>
          <w:lang w:val="en-GB"/>
        </w:rPr>
        <w:t>it must be a</w:t>
      </w:r>
      <w:r w:rsidR="009A6296">
        <w:rPr>
          <w:rFonts w:ascii="Times New Roman" w:hAnsi="Times New Roman" w:cs="Times New Roman"/>
          <w:lang w:val="en-GB"/>
        </w:rPr>
        <w:t>cknowledged</w:t>
      </w:r>
      <w:r w:rsidR="009A602E">
        <w:rPr>
          <w:rFonts w:ascii="Times New Roman" w:hAnsi="Times New Roman" w:cs="Times New Roman"/>
          <w:lang w:val="en-GB"/>
        </w:rPr>
        <w:t xml:space="preserve"> that even </w:t>
      </w:r>
      <w:r w:rsidR="00487091">
        <w:rPr>
          <w:rFonts w:ascii="Times New Roman" w:hAnsi="Times New Roman" w:cs="Times New Roman"/>
          <w:lang w:val="en-GB"/>
        </w:rPr>
        <w:t>a PHE</w:t>
      </w:r>
      <w:r w:rsidR="009A602E">
        <w:rPr>
          <w:rFonts w:ascii="Times New Roman" w:hAnsi="Times New Roman" w:cs="Times New Roman"/>
          <w:lang w:val="en-GB"/>
        </w:rPr>
        <w:t xml:space="preserve"> who hold</w:t>
      </w:r>
      <w:r w:rsidR="00487091">
        <w:rPr>
          <w:rFonts w:ascii="Times New Roman" w:hAnsi="Times New Roman" w:cs="Times New Roman"/>
          <w:lang w:val="en-GB"/>
        </w:rPr>
        <w:t>s</w:t>
      </w:r>
      <w:r w:rsidR="009A602E">
        <w:rPr>
          <w:rFonts w:ascii="Times New Roman" w:hAnsi="Times New Roman" w:cs="Times New Roman"/>
          <w:lang w:val="en-GB"/>
        </w:rPr>
        <w:t xml:space="preserve"> that view will have difficulty defending a conception of the role that li</w:t>
      </w:r>
      <w:r w:rsidR="00EE49B3">
        <w:rPr>
          <w:rFonts w:ascii="Times New Roman" w:hAnsi="Times New Roman" w:cs="Times New Roman"/>
          <w:lang w:val="en-GB"/>
        </w:rPr>
        <w:t>mits</w:t>
      </w:r>
      <w:r w:rsidR="00487091">
        <w:rPr>
          <w:rFonts w:ascii="Times New Roman" w:hAnsi="Times New Roman" w:cs="Times New Roman"/>
          <w:lang w:val="en-GB"/>
        </w:rPr>
        <w:t xml:space="preserve"> he</w:t>
      </w:r>
      <w:r w:rsidR="00EE49B3">
        <w:rPr>
          <w:rFonts w:ascii="Times New Roman" w:hAnsi="Times New Roman" w:cs="Times New Roman"/>
          <w:lang w:val="en-GB"/>
        </w:rPr>
        <w:t xml:space="preserve">r sphere of </w:t>
      </w:r>
      <w:r w:rsidR="009A6296">
        <w:rPr>
          <w:rFonts w:ascii="Times New Roman" w:hAnsi="Times New Roman" w:cs="Times New Roman"/>
          <w:lang w:val="en-GB"/>
        </w:rPr>
        <w:t>responsibility</w:t>
      </w:r>
      <w:r w:rsidR="009A602E">
        <w:rPr>
          <w:rFonts w:ascii="Times New Roman" w:hAnsi="Times New Roman" w:cs="Times New Roman"/>
          <w:lang w:val="en-GB"/>
        </w:rPr>
        <w:t xml:space="preserve"> to the interests of a single patient</w:t>
      </w:r>
      <w:r w:rsidR="007F1F2A">
        <w:rPr>
          <w:rFonts w:ascii="Times New Roman" w:hAnsi="Times New Roman" w:cs="Times New Roman"/>
          <w:lang w:val="en-GB"/>
        </w:rPr>
        <w:t xml:space="preserve"> or patient population</w:t>
      </w:r>
      <w:r w:rsidR="00EE49B3">
        <w:rPr>
          <w:rFonts w:ascii="Times New Roman" w:hAnsi="Times New Roman" w:cs="Times New Roman"/>
          <w:lang w:val="en-GB"/>
        </w:rPr>
        <w:t xml:space="preserve">. If </w:t>
      </w:r>
      <w:r w:rsidR="00487091">
        <w:rPr>
          <w:rFonts w:ascii="Times New Roman" w:hAnsi="Times New Roman" w:cs="Times New Roman"/>
          <w:lang w:val="en-GB"/>
        </w:rPr>
        <w:t>ethicists are</w:t>
      </w:r>
      <w:r w:rsidR="001D79CA">
        <w:rPr>
          <w:rFonts w:ascii="Times New Roman" w:hAnsi="Times New Roman" w:cs="Times New Roman"/>
          <w:lang w:val="en-GB"/>
        </w:rPr>
        <w:t>, however,</w:t>
      </w:r>
      <w:r w:rsidR="00487091">
        <w:rPr>
          <w:rFonts w:ascii="Times New Roman" w:hAnsi="Times New Roman" w:cs="Times New Roman"/>
          <w:lang w:val="en-GB"/>
        </w:rPr>
        <w:t xml:space="preserve"> not agents of particular parties but are </w:t>
      </w:r>
      <w:r w:rsidR="009A6296">
        <w:rPr>
          <w:rFonts w:ascii="Times New Roman" w:hAnsi="Times New Roman" w:cs="Times New Roman"/>
          <w:lang w:val="en-GB"/>
        </w:rPr>
        <w:t>accountable</w:t>
      </w:r>
      <w:r w:rsidR="00487091">
        <w:rPr>
          <w:rFonts w:ascii="Times New Roman" w:hAnsi="Times New Roman" w:cs="Times New Roman"/>
          <w:lang w:val="en-GB"/>
        </w:rPr>
        <w:t xml:space="preserve"> to</w:t>
      </w:r>
      <w:r w:rsidR="009A6296">
        <w:rPr>
          <w:rFonts w:ascii="Times New Roman" w:hAnsi="Times New Roman" w:cs="Times New Roman"/>
          <w:lang w:val="en-GB"/>
        </w:rPr>
        <w:t xml:space="preserve"> a wider</w:t>
      </w:r>
      <w:r w:rsidR="00487091">
        <w:rPr>
          <w:rFonts w:ascii="Times New Roman" w:hAnsi="Times New Roman" w:cs="Times New Roman"/>
          <w:lang w:val="en-GB"/>
        </w:rPr>
        <w:t xml:space="preserve"> community (like </w:t>
      </w:r>
      <w:r w:rsidR="00EE49B3">
        <w:rPr>
          <w:rFonts w:ascii="Times New Roman" w:hAnsi="Times New Roman" w:cs="Times New Roman"/>
          <w:lang w:val="en-GB"/>
        </w:rPr>
        <w:t xml:space="preserve">Stark’s </w:t>
      </w:r>
      <w:r w:rsidR="00487091">
        <w:rPr>
          <w:rFonts w:ascii="Times New Roman" w:hAnsi="Times New Roman" w:cs="Times New Roman"/>
          <w:lang w:val="en-GB"/>
        </w:rPr>
        <w:t xml:space="preserve">judges, critics, and journalists) they will need to find, or </w:t>
      </w:r>
      <w:r w:rsidR="009A6296">
        <w:rPr>
          <w:rFonts w:ascii="Times New Roman" w:hAnsi="Times New Roman" w:cs="Times New Roman"/>
          <w:lang w:val="en-GB"/>
        </w:rPr>
        <w:t>produce</w:t>
      </w:r>
      <w:r w:rsidR="00487091">
        <w:rPr>
          <w:rFonts w:ascii="Times New Roman" w:hAnsi="Times New Roman" w:cs="Times New Roman"/>
          <w:lang w:val="en-GB"/>
        </w:rPr>
        <w:t xml:space="preserve"> for themselves, a</w:t>
      </w:r>
      <w:r w:rsidR="009A6296">
        <w:rPr>
          <w:rFonts w:ascii="Times New Roman" w:hAnsi="Times New Roman" w:cs="Times New Roman"/>
          <w:lang w:val="en-GB"/>
        </w:rPr>
        <w:t xml:space="preserve"> conception</w:t>
      </w:r>
      <w:r w:rsidR="00487091">
        <w:rPr>
          <w:rFonts w:ascii="Times New Roman" w:hAnsi="Times New Roman" w:cs="Times New Roman"/>
          <w:lang w:val="en-GB"/>
        </w:rPr>
        <w:t xml:space="preserve"> of the role that informs their deliberations and allows them </w:t>
      </w:r>
      <w:r w:rsidR="00B05B63">
        <w:rPr>
          <w:rFonts w:ascii="Times New Roman" w:hAnsi="Times New Roman" w:cs="Times New Roman"/>
          <w:lang w:val="en-GB"/>
        </w:rPr>
        <w:t>to contribute productively to the challenges presented by complex cases</w:t>
      </w:r>
      <w:r w:rsidR="005A13D0">
        <w:rPr>
          <w:rFonts w:ascii="Times New Roman" w:hAnsi="Times New Roman" w:cs="Times New Roman"/>
          <w:lang w:val="en-GB"/>
        </w:rPr>
        <w:t>.</w:t>
      </w:r>
      <w:r w:rsidR="00B05B63">
        <w:rPr>
          <w:rFonts w:ascii="Times New Roman" w:hAnsi="Times New Roman" w:cs="Times New Roman"/>
          <w:lang w:val="en-GB"/>
        </w:rPr>
        <w:t xml:space="preserve"> </w:t>
      </w:r>
      <w:r w:rsidR="00D44ECE">
        <w:rPr>
          <w:rFonts w:ascii="Times New Roman" w:hAnsi="Times New Roman" w:cs="Times New Roman"/>
          <w:lang w:val="en-GB"/>
        </w:rPr>
        <w:t>PHE</w:t>
      </w:r>
      <w:r w:rsidR="00B05B63">
        <w:rPr>
          <w:rFonts w:ascii="Times New Roman" w:hAnsi="Times New Roman" w:cs="Times New Roman"/>
          <w:lang w:val="en-GB"/>
        </w:rPr>
        <w:t xml:space="preserve">s, unlike judges, may not </w:t>
      </w:r>
      <w:r w:rsidR="004D653F">
        <w:rPr>
          <w:rFonts w:ascii="Times New Roman" w:hAnsi="Times New Roman" w:cs="Times New Roman"/>
          <w:lang w:val="en-GB"/>
        </w:rPr>
        <w:t xml:space="preserve">(and </w:t>
      </w:r>
      <w:r w:rsidR="00636980">
        <w:rPr>
          <w:rFonts w:ascii="Times New Roman" w:hAnsi="Times New Roman" w:cs="Times New Roman"/>
          <w:lang w:val="en-GB"/>
        </w:rPr>
        <w:t xml:space="preserve">generally </w:t>
      </w:r>
      <w:r w:rsidR="004D653F">
        <w:rPr>
          <w:rFonts w:ascii="Times New Roman" w:hAnsi="Times New Roman" w:cs="Times New Roman"/>
          <w:lang w:val="en-GB"/>
        </w:rPr>
        <w:t xml:space="preserve">ought not) </w:t>
      </w:r>
      <w:r w:rsidR="00B05B63">
        <w:rPr>
          <w:rFonts w:ascii="Times New Roman" w:hAnsi="Times New Roman" w:cs="Times New Roman"/>
          <w:lang w:val="en-GB"/>
        </w:rPr>
        <w:t>have the authority to render binding d</w:t>
      </w:r>
      <w:r w:rsidR="00E10810">
        <w:rPr>
          <w:rFonts w:ascii="Times New Roman" w:hAnsi="Times New Roman" w:cs="Times New Roman"/>
          <w:lang w:val="en-GB"/>
        </w:rPr>
        <w:t xml:space="preserve">ecisions, but framing </w:t>
      </w:r>
      <w:r w:rsidR="00E94C26">
        <w:rPr>
          <w:rFonts w:ascii="Times New Roman" w:hAnsi="Times New Roman" w:cs="Times New Roman"/>
          <w:lang w:val="en-GB"/>
        </w:rPr>
        <w:t xml:space="preserve">questions, </w:t>
      </w:r>
      <w:r w:rsidR="00E10810">
        <w:rPr>
          <w:rFonts w:ascii="Times New Roman" w:hAnsi="Times New Roman" w:cs="Times New Roman"/>
          <w:lang w:val="en-GB"/>
        </w:rPr>
        <w:t>participating in (</w:t>
      </w:r>
      <w:r w:rsidR="00B05B63">
        <w:rPr>
          <w:rFonts w:ascii="Times New Roman" w:hAnsi="Times New Roman" w:cs="Times New Roman"/>
          <w:lang w:val="en-GB"/>
        </w:rPr>
        <w:t>or leading</w:t>
      </w:r>
      <w:r w:rsidR="00E10810">
        <w:rPr>
          <w:rFonts w:ascii="Times New Roman" w:hAnsi="Times New Roman" w:cs="Times New Roman"/>
          <w:lang w:val="en-GB"/>
        </w:rPr>
        <w:t>)</w:t>
      </w:r>
      <w:r w:rsidR="00B05B63">
        <w:rPr>
          <w:rFonts w:ascii="Times New Roman" w:hAnsi="Times New Roman" w:cs="Times New Roman"/>
          <w:lang w:val="en-GB"/>
        </w:rPr>
        <w:t xml:space="preserve"> mediatio</w:t>
      </w:r>
      <w:r w:rsidR="004D653F">
        <w:rPr>
          <w:rFonts w:ascii="Times New Roman" w:hAnsi="Times New Roman" w:cs="Times New Roman"/>
          <w:lang w:val="en-GB"/>
        </w:rPr>
        <w:t xml:space="preserve">n sessions, </w:t>
      </w:r>
      <w:r w:rsidR="00E94C26">
        <w:rPr>
          <w:rFonts w:ascii="Times New Roman" w:hAnsi="Times New Roman" w:cs="Times New Roman"/>
          <w:lang w:val="en-GB"/>
        </w:rPr>
        <w:t xml:space="preserve">and offering advice </w:t>
      </w:r>
      <w:r w:rsidR="004D653F">
        <w:rPr>
          <w:rFonts w:ascii="Times New Roman" w:hAnsi="Times New Roman" w:cs="Times New Roman"/>
          <w:lang w:val="en-GB"/>
        </w:rPr>
        <w:t xml:space="preserve">are </w:t>
      </w:r>
      <w:r w:rsidR="00BB3450">
        <w:rPr>
          <w:rFonts w:ascii="Times New Roman" w:hAnsi="Times New Roman" w:cs="Times New Roman"/>
          <w:lang w:val="en-GB"/>
        </w:rPr>
        <w:t xml:space="preserve">also </w:t>
      </w:r>
      <w:r w:rsidR="004D653F">
        <w:rPr>
          <w:rFonts w:ascii="Times New Roman" w:hAnsi="Times New Roman" w:cs="Times New Roman"/>
          <w:lang w:val="en-GB"/>
        </w:rPr>
        <w:t>tasks that should</w:t>
      </w:r>
      <w:r w:rsidR="00E10810">
        <w:rPr>
          <w:rFonts w:ascii="Times New Roman" w:hAnsi="Times New Roman" w:cs="Times New Roman"/>
          <w:lang w:val="en-GB"/>
        </w:rPr>
        <w:t xml:space="preserve"> not </w:t>
      </w:r>
      <w:r w:rsidR="00B05B63">
        <w:rPr>
          <w:rFonts w:ascii="Times New Roman" w:hAnsi="Times New Roman" w:cs="Times New Roman"/>
          <w:lang w:val="en-GB"/>
        </w:rPr>
        <w:t xml:space="preserve">be taken lightly. </w:t>
      </w:r>
      <w:r w:rsidR="00FF3498">
        <w:rPr>
          <w:rFonts w:ascii="Times New Roman" w:hAnsi="Times New Roman" w:cs="Times New Roman"/>
          <w:lang w:val="en-GB"/>
        </w:rPr>
        <w:t>Some of the threats</w:t>
      </w:r>
      <w:r w:rsidR="00B05B63">
        <w:rPr>
          <w:rFonts w:ascii="Times New Roman" w:hAnsi="Times New Roman" w:cs="Times New Roman"/>
          <w:lang w:val="en-GB"/>
        </w:rPr>
        <w:t xml:space="preserve"> </w:t>
      </w:r>
      <w:r w:rsidR="00F63F41">
        <w:rPr>
          <w:rFonts w:ascii="Times New Roman" w:hAnsi="Times New Roman" w:cs="Times New Roman"/>
          <w:lang w:val="en-GB"/>
        </w:rPr>
        <w:t xml:space="preserve">to judgement that may be associated with </w:t>
      </w:r>
      <w:r w:rsidR="00B05B63">
        <w:rPr>
          <w:rFonts w:ascii="Times New Roman" w:hAnsi="Times New Roman" w:cs="Times New Roman"/>
          <w:lang w:val="en-GB"/>
        </w:rPr>
        <w:t>the practice of ethics consultation</w:t>
      </w:r>
      <w:r w:rsidR="00E60EF8">
        <w:rPr>
          <w:rFonts w:ascii="Times New Roman" w:hAnsi="Times New Roman" w:cs="Times New Roman"/>
          <w:lang w:val="en-GB"/>
        </w:rPr>
        <w:t xml:space="preserve"> </w:t>
      </w:r>
      <w:r w:rsidR="00315F36">
        <w:rPr>
          <w:rFonts w:ascii="Times New Roman" w:hAnsi="Times New Roman" w:cs="Times New Roman"/>
          <w:lang w:val="en-GB"/>
        </w:rPr>
        <w:t xml:space="preserve">and support </w:t>
      </w:r>
      <w:r w:rsidR="00B05B63">
        <w:rPr>
          <w:rFonts w:ascii="Times New Roman" w:hAnsi="Times New Roman" w:cs="Times New Roman"/>
          <w:lang w:val="en-GB"/>
        </w:rPr>
        <w:t>are</w:t>
      </w:r>
      <w:r w:rsidR="00E60EF8">
        <w:rPr>
          <w:rFonts w:ascii="Times New Roman" w:hAnsi="Times New Roman" w:cs="Times New Roman"/>
          <w:lang w:val="en-GB"/>
        </w:rPr>
        <w:t xml:space="preserve">, </w:t>
      </w:r>
      <w:r w:rsidR="00E60EF8">
        <w:rPr>
          <w:rFonts w:ascii="Times New Roman" w:hAnsi="Times New Roman" w:cs="Times New Roman"/>
          <w:lang w:val="en-GB"/>
        </w:rPr>
        <w:lastRenderedPageBreak/>
        <w:t>therefore,</w:t>
      </w:r>
      <w:r w:rsidR="00B05B63">
        <w:rPr>
          <w:rFonts w:ascii="Times New Roman" w:hAnsi="Times New Roman" w:cs="Times New Roman"/>
          <w:lang w:val="en-GB"/>
        </w:rPr>
        <w:t xml:space="preserve"> </w:t>
      </w:r>
      <w:r w:rsidR="00AC7A68">
        <w:rPr>
          <w:rFonts w:ascii="Times New Roman" w:hAnsi="Times New Roman" w:cs="Times New Roman"/>
          <w:lang w:val="en-GB"/>
        </w:rPr>
        <w:t>the subject of this chapter.</w:t>
      </w:r>
      <w:r w:rsidR="00FB07E9">
        <w:rPr>
          <w:rStyle w:val="FootnoteReference"/>
          <w:rFonts w:ascii="Times New Roman" w:hAnsi="Times New Roman" w:cs="Times New Roman"/>
          <w:lang w:val="en-GB"/>
        </w:rPr>
        <w:footnoteReference w:id="99"/>
      </w:r>
      <w:r w:rsidR="00AC7A68">
        <w:rPr>
          <w:rFonts w:ascii="Times New Roman" w:hAnsi="Times New Roman" w:cs="Times New Roman"/>
          <w:lang w:val="en-GB"/>
        </w:rPr>
        <w:t xml:space="preserve"> Whether they can be appropriately managed</w:t>
      </w:r>
      <w:r w:rsidR="001D79CA">
        <w:rPr>
          <w:rFonts w:ascii="Times New Roman" w:hAnsi="Times New Roman" w:cs="Times New Roman"/>
          <w:lang w:val="en-GB"/>
        </w:rPr>
        <w:t xml:space="preserve">, and what an apt management strategy </w:t>
      </w:r>
      <w:r w:rsidR="00AC7A68">
        <w:rPr>
          <w:rFonts w:ascii="Times New Roman" w:hAnsi="Times New Roman" w:cs="Times New Roman"/>
          <w:lang w:val="en-GB"/>
        </w:rPr>
        <w:t>might consi</w:t>
      </w:r>
      <w:r w:rsidR="000437FC">
        <w:rPr>
          <w:rFonts w:ascii="Times New Roman" w:hAnsi="Times New Roman" w:cs="Times New Roman"/>
          <w:lang w:val="en-GB"/>
        </w:rPr>
        <w:t>st in, are important topics to which</w:t>
      </w:r>
      <w:r w:rsidR="00AC7A68">
        <w:rPr>
          <w:rFonts w:ascii="Times New Roman" w:hAnsi="Times New Roman" w:cs="Times New Roman"/>
          <w:lang w:val="en-GB"/>
        </w:rPr>
        <w:t xml:space="preserve"> </w:t>
      </w:r>
      <w:r w:rsidR="00BB3450">
        <w:rPr>
          <w:rFonts w:ascii="Times New Roman" w:hAnsi="Times New Roman" w:cs="Times New Roman"/>
          <w:lang w:val="en-GB"/>
        </w:rPr>
        <w:t xml:space="preserve">I will return </w:t>
      </w:r>
      <w:r w:rsidR="00F2152A">
        <w:rPr>
          <w:rFonts w:ascii="Times New Roman" w:hAnsi="Times New Roman" w:cs="Times New Roman"/>
          <w:lang w:val="en-GB"/>
        </w:rPr>
        <w:t>after a much needed</w:t>
      </w:r>
      <w:r w:rsidR="00BB3450">
        <w:rPr>
          <w:rFonts w:ascii="Times New Roman" w:hAnsi="Times New Roman" w:cs="Times New Roman"/>
          <w:lang w:val="en-GB"/>
        </w:rPr>
        <w:t xml:space="preserve"> e</w:t>
      </w:r>
      <w:r w:rsidR="001D79CA">
        <w:rPr>
          <w:rFonts w:ascii="Times New Roman" w:hAnsi="Times New Roman" w:cs="Times New Roman"/>
          <w:lang w:val="en-GB"/>
        </w:rPr>
        <w:t xml:space="preserve">xploration of the </w:t>
      </w:r>
      <w:r w:rsidR="009A6296">
        <w:rPr>
          <w:rFonts w:ascii="Times New Roman" w:hAnsi="Times New Roman" w:cs="Times New Roman"/>
          <w:lang w:val="en-GB"/>
        </w:rPr>
        <w:t>imprecise</w:t>
      </w:r>
      <w:r w:rsidR="001D79CA">
        <w:rPr>
          <w:rFonts w:ascii="Times New Roman" w:hAnsi="Times New Roman" w:cs="Times New Roman"/>
          <w:lang w:val="en-GB"/>
        </w:rPr>
        <w:t xml:space="preserve"> but, increasingly widespread, charge that bioethics is a </w:t>
      </w:r>
      <w:r w:rsidR="0070337A">
        <w:rPr>
          <w:rFonts w:ascii="Times New Roman" w:hAnsi="Times New Roman" w:cs="Times New Roman"/>
          <w:lang w:val="en-GB"/>
        </w:rPr>
        <w:t>partisan</w:t>
      </w:r>
      <w:r w:rsidR="009A6296">
        <w:rPr>
          <w:rFonts w:ascii="Times New Roman" w:hAnsi="Times New Roman" w:cs="Times New Roman"/>
          <w:lang w:val="en-GB"/>
        </w:rPr>
        <w:t xml:space="preserve"> endeavour</w:t>
      </w:r>
      <w:r w:rsidR="001D79CA">
        <w:rPr>
          <w:rFonts w:ascii="Times New Roman" w:hAnsi="Times New Roman" w:cs="Times New Roman"/>
          <w:lang w:val="en-GB"/>
        </w:rPr>
        <w:t>.</w:t>
      </w:r>
      <w:r w:rsidR="001D79CA">
        <w:rPr>
          <w:rStyle w:val="FootnoteReference"/>
          <w:rFonts w:ascii="Times New Roman" w:hAnsi="Times New Roman" w:cs="Times New Roman"/>
          <w:lang w:val="en-GB"/>
        </w:rPr>
        <w:footnoteReference w:id="100"/>
      </w:r>
    </w:p>
    <w:p w14:paraId="322FDF3F" w14:textId="77777777" w:rsidR="00405516" w:rsidRDefault="00405516" w:rsidP="000F49E6">
      <w:pPr>
        <w:pStyle w:val="Body1"/>
        <w:spacing w:line="480" w:lineRule="auto"/>
        <w:ind w:firstLine="720"/>
        <w:rPr>
          <w:rFonts w:ascii="Times New Roman" w:hAnsi="Times New Roman" w:cs="Times New Roman"/>
          <w:lang w:val="en-GB"/>
        </w:rPr>
      </w:pPr>
    </w:p>
    <w:p w14:paraId="71944362" w14:textId="77777777" w:rsidR="007D25C2" w:rsidRDefault="00CD4078" w:rsidP="00CD4078">
      <w:pPr>
        <w:spacing w:line="480" w:lineRule="auto"/>
      </w:pPr>
      <w:r w:rsidRPr="00DA19F7">
        <w:rPr>
          <w:i/>
        </w:rPr>
        <w:t xml:space="preserve">Conflict of interest or </w:t>
      </w:r>
      <w:r>
        <w:rPr>
          <w:i/>
        </w:rPr>
        <w:t>political interference</w:t>
      </w:r>
      <w:r w:rsidR="003E2A60">
        <w:rPr>
          <w:i/>
        </w:rPr>
        <w:t>? B</w:t>
      </w:r>
      <w:r w:rsidRPr="00DA19F7">
        <w:rPr>
          <w:i/>
        </w:rPr>
        <w:t>ioethicists eat</w:t>
      </w:r>
      <w:r w:rsidR="003E2A60">
        <w:rPr>
          <w:i/>
        </w:rPr>
        <w:t>ing their own</w:t>
      </w:r>
      <w:r w:rsidRPr="00DA19F7">
        <w:rPr>
          <w:i/>
        </w:rPr>
        <w:t xml:space="preserve">    </w:t>
      </w:r>
      <w:r w:rsidR="00B05B63">
        <w:t xml:space="preserve">   </w:t>
      </w:r>
      <w:r w:rsidR="005A13D0">
        <w:t xml:space="preserve">    </w:t>
      </w:r>
      <w:r w:rsidR="007D25C2">
        <w:t xml:space="preserve">  </w:t>
      </w:r>
    </w:p>
    <w:p w14:paraId="5FE9FC16" w14:textId="77777777" w:rsidR="004E30F3" w:rsidRDefault="00C91664" w:rsidP="000F49E6">
      <w:pPr>
        <w:pStyle w:val="Body1"/>
        <w:spacing w:line="480" w:lineRule="auto"/>
        <w:ind w:firstLine="720"/>
        <w:rPr>
          <w:rFonts w:ascii="Times New Roman" w:hAnsi="Times New Roman" w:cs="Times New Roman"/>
          <w:lang w:val="en-GB"/>
        </w:rPr>
      </w:pPr>
      <w:r>
        <w:rPr>
          <w:rFonts w:ascii="Times New Roman" w:hAnsi="Times New Roman" w:cs="Times New Roman"/>
          <w:lang w:val="en-GB"/>
        </w:rPr>
        <w:t>Since the early 2000s</w:t>
      </w:r>
      <w:r w:rsidR="006D2259" w:rsidRPr="00DA19F7">
        <w:rPr>
          <w:rFonts w:ascii="Times New Roman" w:hAnsi="Times New Roman" w:cs="Times New Roman"/>
          <w:lang w:val="en-GB"/>
        </w:rPr>
        <w:t xml:space="preserve">, </w:t>
      </w:r>
      <w:r>
        <w:rPr>
          <w:rFonts w:ascii="Times New Roman" w:hAnsi="Times New Roman" w:cs="Times New Roman"/>
          <w:lang w:val="en-GB"/>
        </w:rPr>
        <w:t xml:space="preserve">Carl </w:t>
      </w:r>
      <w:r w:rsidR="006D2259" w:rsidRPr="00DA19F7">
        <w:rPr>
          <w:rFonts w:ascii="Times New Roman" w:hAnsi="Times New Roman" w:cs="Times New Roman"/>
          <w:lang w:val="en-GB"/>
        </w:rPr>
        <w:t>Elliott</w:t>
      </w:r>
      <w:r w:rsidR="00E10810">
        <w:rPr>
          <w:rFonts w:ascii="Times New Roman" w:hAnsi="Times New Roman" w:cs="Times New Roman"/>
          <w:lang w:val="en-GB"/>
        </w:rPr>
        <w:t xml:space="preserve"> has </w:t>
      </w:r>
      <w:r w:rsidR="00E06A8B">
        <w:rPr>
          <w:rFonts w:ascii="Times New Roman" w:hAnsi="Times New Roman" w:cs="Times New Roman"/>
          <w:lang w:val="en-GB"/>
        </w:rPr>
        <w:t>opined</w:t>
      </w:r>
      <w:r w:rsidR="004D653F">
        <w:rPr>
          <w:rFonts w:ascii="Times New Roman" w:hAnsi="Times New Roman" w:cs="Times New Roman"/>
          <w:lang w:val="en-GB"/>
        </w:rPr>
        <w:t>, bioethicists have become</w:t>
      </w:r>
      <w:r w:rsidR="006D2259" w:rsidRPr="00DA19F7">
        <w:rPr>
          <w:rFonts w:ascii="Times New Roman" w:hAnsi="Times New Roman" w:cs="Times New Roman"/>
          <w:lang w:val="en-GB"/>
        </w:rPr>
        <w:t xml:space="preserve"> so entrenched in health care institutions that the suggestion that they can serve as the critics of biomedicine is no longer plausible. </w:t>
      </w:r>
    </w:p>
    <w:p w14:paraId="2E78D101" w14:textId="77777777" w:rsidR="004E30F3" w:rsidRDefault="006D2259" w:rsidP="004E30F3">
      <w:pPr>
        <w:pStyle w:val="Body1"/>
        <w:ind w:left="720"/>
        <w:rPr>
          <w:rFonts w:ascii="Times New Roman" w:hAnsi="Times New Roman" w:cs="Times New Roman"/>
          <w:lang w:val="en-GB"/>
        </w:rPr>
      </w:pPr>
      <w:r w:rsidRPr="00DA19F7">
        <w:rPr>
          <w:rFonts w:ascii="Times New Roman" w:hAnsi="Times New Roman" w:cs="Times New Roman"/>
          <w:lang w:val="en-GB"/>
        </w:rPr>
        <w:t>The bioethicist was invested with a kind of social authority, partly because of his or her specialised education, but also because of the individual’s distinct place in an institution’s bureaucracy. The clinical ethicist, for instance, was given authority simply by virtue of the fact that he or she occupied the position of “clinical ethicist,” which came with certain trappings (a white coat, an office, a hospital ID, responsibility for certain committees) and a certain amount of deference within the organisation.</w:t>
      </w:r>
      <w:r w:rsidRPr="00DA19F7">
        <w:rPr>
          <w:rFonts w:ascii="Times New Roman" w:hAnsi="Times New Roman" w:cs="Times New Roman"/>
          <w:vertAlign w:val="superscript"/>
          <w:lang w:val="en-GB"/>
        </w:rPr>
        <w:footnoteReference w:id="101"/>
      </w:r>
      <w:r w:rsidRPr="00DA19F7">
        <w:rPr>
          <w:rFonts w:ascii="Times New Roman" w:hAnsi="Times New Roman" w:cs="Times New Roman"/>
          <w:lang w:val="en-GB"/>
        </w:rPr>
        <w:t xml:space="preserve"> </w:t>
      </w:r>
      <w:r w:rsidRPr="00DA19F7">
        <w:rPr>
          <w:rFonts w:ascii="Times New Roman" w:hAnsi="Times New Roman" w:cs="Times New Roman"/>
          <w:lang w:val="en-GB"/>
        </w:rPr>
        <w:lastRenderedPageBreak/>
        <w:t>Today many doctors and nurses working within hospitals feel they cannot just ignore the moral advice of the clinical ethicist even if they believe it is wrong.</w:t>
      </w:r>
      <w:r w:rsidRPr="00DA19F7">
        <w:rPr>
          <w:rFonts w:ascii="Times New Roman" w:hAnsi="Times New Roman" w:cs="Times New Roman"/>
          <w:vertAlign w:val="superscript"/>
          <w:lang w:val="en-GB"/>
        </w:rPr>
        <w:footnoteReference w:id="102"/>
      </w:r>
      <w:r w:rsidRPr="00DA19F7">
        <w:rPr>
          <w:rFonts w:ascii="Times New Roman" w:hAnsi="Times New Roman" w:cs="Times New Roman"/>
          <w:lang w:val="en-GB"/>
        </w:rPr>
        <w:t xml:space="preserve">           </w:t>
      </w:r>
    </w:p>
    <w:p w14:paraId="6BF6D440" w14:textId="77777777" w:rsidR="004E30F3" w:rsidRDefault="004E30F3" w:rsidP="004E30F3">
      <w:pPr>
        <w:pStyle w:val="Body1"/>
        <w:ind w:left="720"/>
        <w:rPr>
          <w:rFonts w:ascii="Times New Roman" w:hAnsi="Times New Roman" w:cs="Times New Roman"/>
          <w:lang w:val="en-GB"/>
        </w:rPr>
      </w:pPr>
    </w:p>
    <w:p w14:paraId="773980A0" w14:textId="77777777" w:rsidR="006D2259" w:rsidRPr="006D2259" w:rsidRDefault="006D2259" w:rsidP="00653074">
      <w:pPr>
        <w:pStyle w:val="Body1"/>
        <w:spacing w:line="480" w:lineRule="auto"/>
        <w:ind w:firstLine="720"/>
        <w:rPr>
          <w:rFonts w:ascii="Times New Roman" w:eastAsia="Times New Roman" w:hAnsi="Times New Roman" w:cs="Times New Roman"/>
          <w:lang w:val="en-GB"/>
        </w:rPr>
      </w:pPr>
      <w:r w:rsidRPr="00D75DF1">
        <w:rPr>
          <w:rFonts w:ascii="Times New Roman" w:hAnsi="Times New Roman" w:cs="Times New Roman"/>
          <w:lang w:val="en-GB"/>
        </w:rPr>
        <w:t>Elliott’s indictment of the field can be broken into two distinct claims</w:t>
      </w:r>
      <w:r w:rsidR="00D7025D">
        <w:rPr>
          <w:rFonts w:ascii="Times New Roman" w:hAnsi="Times New Roman" w:cs="Times New Roman"/>
          <w:lang w:val="en-GB"/>
        </w:rPr>
        <w:t>,</w:t>
      </w:r>
      <w:r w:rsidRPr="00D75DF1">
        <w:rPr>
          <w:rFonts w:ascii="Times New Roman" w:hAnsi="Times New Roman" w:cs="Times New Roman"/>
          <w:lang w:val="en-GB"/>
        </w:rPr>
        <w:t xml:space="preserve"> and both are relevant to my project. The first of these is </w:t>
      </w:r>
      <w:r w:rsidR="00183758">
        <w:rPr>
          <w:rFonts w:ascii="Times New Roman" w:hAnsi="Times New Roman" w:cs="Times New Roman"/>
          <w:lang w:val="en-GB"/>
        </w:rPr>
        <w:t xml:space="preserve">the contention that </w:t>
      </w:r>
      <w:r w:rsidRPr="00D75DF1">
        <w:rPr>
          <w:rFonts w:ascii="Times New Roman" w:hAnsi="Times New Roman" w:cs="Times New Roman"/>
          <w:lang w:val="en-GB"/>
        </w:rPr>
        <w:t xml:space="preserve">the judgement of </w:t>
      </w:r>
      <w:r w:rsidR="00CF0927">
        <w:rPr>
          <w:rFonts w:ascii="Times New Roman" w:hAnsi="Times New Roman" w:cs="Times New Roman"/>
          <w:lang w:val="en-GB"/>
        </w:rPr>
        <w:t xml:space="preserve">PHEs </w:t>
      </w:r>
      <w:r w:rsidR="00496413">
        <w:rPr>
          <w:rFonts w:ascii="Times New Roman" w:hAnsi="Times New Roman" w:cs="Times New Roman"/>
          <w:lang w:val="en-GB"/>
        </w:rPr>
        <w:t xml:space="preserve">has been corrupted or impaired, </w:t>
      </w:r>
      <w:r w:rsidRPr="00D75DF1">
        <w:rPr>
          <w:rFonts w:ascii="Times New Roman" w:hAnsi="Times New Roman" w:cs="Times New Roman"/>
          <w:lang w:val="en-GB"/>
        </w:rPr>
        <w:t>whet</w:t>
      </w:r>
      <w:r w:rsidR="00496413">
        <w:rPr>
          <w:rFonts w:ascii="Times New Roman" w:hAnsi="Times New Roman" w:cs="Times New Roman"/>
          <w:lang w:val="en-GB"/>
        </w:rPr>
        <w:t>her they are aware of it or not,</w:t>
      </w:r>
      <w:r w:rsidRPr="00D75DF1">
        <w:rPr>
          <w:rFonts w:ascii="Times New Roman" w:hAnsi="Times New Roman" w:cs="Times New Roman"/>
          <w:lang w:val="en-GB"/>
        </w:rPr>
        <w:t xml:space="preserve"> by the sources of t</w:t>
      </w:r>
      <w:r w:rsidR="00981C26">
        <w:rPr>
          <w:rFonts w:ascii="Times New Roman" w:hAnsi="Times New Roman" w:cs="Times New Roman"/>
          <w:lang w:val="en-GB"/>
        </w:rPr>
        <w:t>heir incomes (be these government grants</w:t>
      </w:r>
      <w:r w:rsidR="00E06A8B">
        <w:rPr>
          <w:rFonts w:ascii="Times New Roman" w:hAnsi="Times New Roman" w:cs="Times New Roman"/>
          <w:lang w:val="en-GB"/>
        </w:rPr>
        <w:t>, pharmaceutical company or device manufacturer sponsorships</w:t>
      </w:r>
      <w:r w:rsidR="005277E6">
        <w:rPr>
          <w:rFonts w:ascii="Times New Roman" w:hAnsi="Times New Roman" w:cs="Times New Roman"/>
          <w:lang w:val="en-GB"/>
        </w:rPr>
        <w:t>,</w:t>
      </w:r>
      <w:r w:rsidRPr="00D75DF1">
        <w:rPr>
          <w:rFonts w:ascii="Times New Roman" w:hAnsi="Times New Roman" w:cs="Times New Roman"/>
          <w:lang w:val="en-GB"/>
        </w:rPr>
        <w:t xml:space="preserve"> or hospital corporations), and the second is </w:t>
      </w:r>
      <w:r w:rsidR="00183758">
        <w:rPr>
          <w:rFonts w:ascii="Times New Roman" w:hAnsi="Times New Roman" w:cs="Times New Roman"/>
          <w:lang w:val="en-GB"/>
        </w:rPr>
        <w:t>the assertion</w:t>
      </w:r>
      <w:r w:rsidR="00183758" w:rsidRPr="00D75DF1">
        <w:rPr>
          <w:rFonts w:ascii="Times New Roman" w:hAnsi="Times New Roman" w:cs="Times New Roman"/>
          <w:lang w:val="en-GB"/>
        </w:rPr>
        <w:t xml:space="preserve"> </w:t>
      </w:r>
      <w:r w:rsidRPr="00D75DF1">
        <w:rPr>
          <w:rFonts w:ascii="Times New Roman" w:hAnsi="Times New Roman" w:cs="Times New Roman"/>
          <w:lang w:val="en-GB"/>
        </w:rPr>
        <w:t xml:space="preserve">that the influence that they exert diminishes the ability of other health care professionals to express dissenting moral views. More recently, Tom Koch, </w:t>
      </w:r>
      <w:r w:rsidR="002E3622">
        <w:rPr>
          <w:rFonts w:ascii="Times New Roman" w:hAnsi="Times New Roman" w:cs="Times New Roman"/>
          <w:lang w:val="en-GB"/>
        </w:rPr>
        <w:t xml:space="preserve">has </w:t>
      </w:r>
      <w:r w:rsidRPr="00D75DF1">
        <w:rPr>
          <w:rFonts w:ascii="Times New Roman" w:hAnsi="Times New Roman" w:cs="Times New Roman"/>
          <w:lang w:val="en-GB"/>
        </w:rPr>
        <w:t>offered a version of this second charge by alleging that the disciplinary progress of bioethics has undermined the commitment</w:t>
      </w:r>
      <w:r w:rsidR="008F0CBF">
        <w:rPr>
          <w:rFonts w:ascii="Times New Roman" w:hAnsi="Times New Roman" w:cs="Times New Roman"/>
          <w:lang w:val="en-GB"/>
        </w:rPr>
        <w:t>s</w:t>
      </w:r>
      <w:r w:rsidRPr="00D75DF1">
        <w:rPr>
          <w:rFonts w:ascii="Times New Roman" w:hAnsi="Times New Roman" w:cs="Times New Roman"/>
          <w:lang w:val="en-GB"/>
        </w:rPr>
        <w:t xml:space="preserve"> of physicians to their patients</w:t>
      </w:r>
      <w:r w:rsidR="00F2152A">
        <w:rPr>
          <w:rFonts w:ascii="Times New Roman" w:hAnsi="Times New Roman" w:cs="Times New Roman"/>
          <w:lang w:val="en-GB"/>
        </w:rPr>
        <w:t>,</w:t>
      </w:r>
      <w:r w:rsidRPr="00D75DF1">
        <w:rPr>
          <w:rFonts w:ascii="Times New Roman" w:hAnsi="Times New Roman" w:cs="Times New Roman"/>
          <w:lang w:val="en-GB"/>
        </w:rPr>
        <w:t xml:space="preserve"> and has replaced the noble sentiments of the Hippocratic tradition with a neoliberal world view </w:t>
      </w:r>
      <w:r w:rsidRPr="00A66674">
        <w:rPr>
          <w:rFonts w:ascii="Times New Roman" w:hAnsi="Times New Roman" w:cs="Times New Roman"/>
          <w:lang w:val="en-GB"/>
        </w:rPr>
        <w:t>– a world view that allows the rationality of the market</w:t>
      </w:r>
      <w:r w:rsidR="00981C26">
        <w:rPr>
          <w:rFonts w:ascii="Times New Roman" w:hAnsi="Times New Roman" w:cs="Times New Roman"/>
          <w:lang w:val="en-GB"/>
        </w:rPr>
        <w:t>place</w:t>
      </w:r>
      <w:r w:rsidRPr="00A66674">
        <w:rPr>
          <w:rFonts w:ascii="Times New Roman" w:hAnsi="Times New Roman" w:cs="Times New Roman"/>
          <w:lang w:val="en-GB"/>
        </w:rPr>
        <w:t xml:space="preserve"> to determine the priorities of health care systems and the fates of individual patients. Although these indictments are often run tog</w:t>
      </w:r>
      <w:r w:rsidR="00BE27A6">
        <w:rPr>
          <w:rFonts w:ascii="Times New Roman" w:hAnsi="Times New Roman" w:cs="Times New Roman"/>
          <w:lang w:val="en-GB"/>
        </w:rPr>
        <w:t>ether it is worthwhile to examine</w:t>
      </w:r>
      <w:r w:rsidRPr="00A66674">
        <w:rPr>
          <w:rFonts w:ascii="Times New Roman" w:hAnsi="Times New Roman" w:cs="Times New Roman"/>
          <w:lang w:val="en-GB"/>
        </w:rPr>
        <w:t xml:space="preserve"> them separately</w:t>
      </w:r>
      <w:r w:rsidR="00496413">
        <w:rPr>
          <w:rFonts w:ascii="Times New Roman" w:hAnsi="Times New Roman" w:cs="Times New Roman"/>
          <w:lang w:val="en-GB"/>
        </w:rPr>
        <w:t>,</w:t>
      </w:r>
      <w:r w:rsidRPr="00A66674">
        <w:rPr>
          <w:rFonts w:ascii="Times New Roman" w:hAnsi="Times New Roman" w:cs="Times New Roman"/>
          <w:lang w:val="en-GB"/>
        </w:rPr>
        <w:t xml:space="preserve"> because each contains a number of assumptions that, although contestable, can help shed light on some of the dark suspicions </w:t>
      </w:r>
      <w:r w:rsidR="00496413">
        <w:rPr>
          <w:rFonts w:ascii="Times New Roman" w:hAnsi="Times New Roman" w:cs="Times New Roman"/>
          <w:lang w:val="en-GB"/>
        </w:rPr>
        <w:t xml:space="preserve">that </w:t>
      </w:r>
      <w:r w:rsidR="00A57B72">
        <w:rPr>
          <w:rFonts w:ascii="Times New Roman" w:hAnsi="Times New Roman" w:cs="Times New Roman"/>
          <w:lang w:val="en-GB"/>
        </w:rPr>
        <w:t>critics</w:t>
      </w:r>
      <w:r w:rsidRPr="00A66674">
        <w:rPr>
          <w:rFonts w:ascii="Times New Roman" w:hAnsi="Times New Roman" w:cs="Times New Roman"/>
          <w:lang w:val="en-GB"/>
        </w:rPr>
        <w:t xml:space="preserve"> nurture </w:t>
      </w:r>
      <w:r w:rsidR="00A57B72">
        <w:rPr>
          <w:rFonts w:ascii="Times New Roman" w:hAnsi="Times New Roman" w:cs="Times New Roman"/>
          <w:lang w:val="en-GB"/>
        </w:rPr>
        <w:t>about</w:t>
      </w:r>
      <w:r w:rsidR="00F4636E">
        <w:rPr>
          <w:rFonts w:ascii="Times New Roman" w:hAnsi="Times New Roman" w:cs="Times New Roman"/>
          <w:lang w:val="en-GB"/>
        </w:rPr>
        <w:t xml:space="preserve"> the </w:t>
      </w:r>
      <w:r w:rsidRPr="00A66674">
        <w:rPr>
          <w:rFonts w:ascii="Times New Roman" w:hAnsi="Times New Roman" w:cs="Times New Roman"/>
          <w:lang w:val="en-GB"/>
        </w:rPr>
        <w:t xml:space="preserve">field. </w:t>
      </w:r>
      <w:r w:rsidR="00BE27A6">
        <w:rPr>
          <w:rFonts w:ascii="Times New Roman" w:hAnsi="Times New Roman" w:cs="Times New Roman"/>
          <w:lang w:val="en-GB"/>
        </w:rPr>
        <w:t>The first challenge</w:t>
      </w:r>
      <w:r w:rsidRPr="00A66674">
        <w:rPr>
          <w:rFonts w:ascii="Times New Roman" w:hAnsi="Times New Roman" w:cs="Times New Roman"/>
          <w:lang w:val="en-GB"/>
        </w:rPr>
        <w:t xml:space="preserve"> </w:t>
      </w:r>
      <w:r w:rsidR="00BE27A6">
        <w:rPr>
          <w:rFonts w:ascii="Times New Roman" w:hAnsi="Times New Roman" w:cs="Times New Roman"/>
          <w:lang w:val="en-GB"/>
        </w:rPr>
        <w:t xml:space="preserve">was the subject of my last chapter, and may be recognised as a </w:t>
      </w:r>
      <w:r w:rsidR="00BE27A6">
        <w:rPr>
          <w:rFonts w:ascii="Times New Roman" w:hAnsi="Times New Roman" w:cs="Times New Roman"/>
          <w:lang w:val="en-GB"/>
        </w:rPr>
        <w:lastRenderedPageBreak/>
        <w:t>variation on the conflict of interest charge, but t</w:t>
      </w:r>
      <w:r w:rsidR="00405516">
        <w:rPr>
          <w:rFonts w:ascii="Times New Roman" w:hAnsi="Times New Roman" w:cs="Times New Roman"/>
          <w:lang w:val="en-GB"/>
        </w:rPr>
        <w:t>he second is a newer one. It is</w:t>
      </w:r>
      <w:r w:rsidR="00F4636E">
        <w:rPr>
          <w:rFonts w:ascii="Times New Roman" w:hAnsi="Times New Roman" w:cs="Times New Roman"/>
          <w:lang w:val="en-GB"/>
        </w:rPr>
        <w:t xml:space="preserve"> this second </w:t>
      </w:r>
      <w:r w:rsidR="00405516">
        <w:rPr>
          <w:rFonts w:ascii="Times New Roman" w:hAnsi="Times New Roman" w:cs="Times New Roman"/>
          <w:lang w:val="en-GB"/>
        </w:rPr>
        <w:t>charge</w:t>
      </w:r>
      <w:r w:rsidR="00636980">
        <w:rPr>
          <w:rFonts w:ascii="Times New Roman" w:hAnsi="Times New Roman" w:cs="Times New Roman"/>
          <w:lang w:val="en-GB"/>
        </w:rPr>
        <w:t xml:space="preserve"> - </w:t>
      </w:r>
      <w:r w:rsidR="00D2739C">
        <w:rPr>
          <w:rFonts w:ascii="Times New Roman" w:hAnsi="Times New Roman" w:cs="Times New Roman"/>
          <w:lang w:val="en-GB"/>
        </w:rPr>
        <w:t xml:space="preserve">the claim </w:t>
      </w:r>
      <w:r w:rsidR="00BE27A6" w:rsidRPr="00170CDA">
        <w:rPr>
          <w:rFonts w:ascii="Times New Roman" w:hAnsi="Times New Roman" w:cs="Times New Roman"/>
          <w:lang w:val="en-GB"/>
        </w:rPr>
        <w:t>that ethicists have unduly influenced the moral climate of healt</w:t>
      </w:r>
      <w:r w:rsidR="00F83428" w:rsidRPr="00170CDA">
        <w:rPr>
          <w:rFonts w:ascii="Times New Roman" w:hAnsi="Times New Roman" w:cs="Times New Roman"/>
          <w:lang w:val="en-GB"/>
        </w:rPr>
        <w:t>h care institutions and limited</w:t>
      </w:r>
      <w:r w:rsidR="00BE27A6" w:rsidRPr="00170CDA">
        <w:rPr>
          <w:rFonts w:ascii="Times New Roman" w:hAnsi="Times New Roman" w:cs="Times New Roman"/>
          <w:lang w:val="en-GB"/>
        </w:rPr>
        <w:t xml:space="preserve"> the range of contributions that others can make to the ethical environment</w:t>
      </w:r>
      <w:r w:rsidR="00636980">
        <w:rPr>
          <w:rFonts w:ascii="Times New Roman" w:hAnsi="Times New Roman" w:cs="Times New Roman"/>
          <w:lang w:val="en-GB"/>
        </w:rPr>
        <w:t xml:space="preserve"> </w:t>
      </w:r>
      <w:r w:rsidR="00405516">
        <w:rPr>
          <w:rFonts w:ascii="Times New Roman" w:hAnsi="Times New Roman" w:cs="Times New Roman"/>
          <w:lang w:val="en-GB"/>
        </w:rPr>
        <w:t>– to which</w:t>
      </w:r>
      <w:r w:rsidR="00F4636E">
        <w:rPr>
          <w:rFonts w:ascii="Times New Roman" w:hAnsi="Times New Roman" w:cs="Times New Roman"/>
          <w:lang w:val="en-GB"/>
        </w:rPr>
        <w:t xml:space="preserve"> I shall now turn</w:t>
      </w:r>
      <w:r w:rsidR="00BE27A6">
        <w:rPr>
          <w:rFonts w:ascii="Times New Roman" w:hAnsi="Times New Roman" w:cs="Times New Roman"/>
          <w:lang w:val="en-GB"/>
        </w:rPr>
        <w:t>.</w:t>
      </w:r>
      <w:r w:rsidR="00315F36">
        <w:rPr>
          <w:rStyle w:val="FootnoteReference"/>
          <w:rFonts w:ascii="Times New Roman" w:hAnsi="Times New Roman" w:cs="Times New Roman"/>
          <w:lang w:val="en-GB"/>
        </w:rPr>
        <w:footnoteReference w:id="103"/>
      </w:r>
      <w:r w:rsidR="00BE27A6">
        <w:rPr>
          <w:rFonts w:ascii="Times New Roman" w:hAnsi="Times New Roman" w:cs="Times New Roman"/>
          <w:lang w:val="en-GB"/>
        </w:rPr>
        <w:t xml:space="preserve">   </w:t>
      </w:r>
    </w:p>
    <w:p w14:paraId="7408712F" w14:textId="77777777" w:rsidR="00FC0523" w:rsidRPr="008F24C1" w:rsidRDefault="00FC0523" w:rsidP="000F49E6">
      <w:pPr>
        <w:pStyle w:val="Body1"/>
        <w:spacing w:line="480" w:lineRule="auto"/>
        <w:ind w:firstLine="720"/>
        <w:rPr>
          <w:rFonts w:ascii="Times New Roman" w:eastAsia="Times New Roman" w:hAnsi="Times New Roman" w:cs="Times New Roman"/>
          <w:lang w:val="en-GB"/>
        </w:rPr>
      </w:pPr>
      <w:r w:rsidRPr="008F24C1">
        <w:rPr>
          <w:rFonts w:ascii="Times New Roman"/>
          <w:lang w:val="en-GB"/>
        </w:rPr>
        <w:t xml:space="preserve">Repurposing a quotation from Confucius, </w:t>
      </w:r>
      <w:r>
        <w:rPr>
          <w:rFonts w:ascii="Times New Roman"/>
          <w:lang w:val="en-GB"/>
        </w:rPr>
        <w:t>Koch</w:t>
      </w:r>
      <w:r w:rsidRPr="008F24C1">
        <w:rPr>
          <w:rFonts w:ascii="Times New Roman"/>
          <w:lang w:val="en-GB"/>
        </w:rPr>
        <w:t xml:space="preserve"> accuses those he calls </w:t>
      </w:r>
      <w:r w:rsidRPr="008F24C1">
        <w:rPr>
          <w:rFonts w:hAnsi="Times New Roman"/>
          <w:lang w:val="en-GB"/>
        </w:rPr>
        <w:t>“</w:t>
      </w:r>
      <w:r w:rsidRPr="008F24C1">
        <w:rPr>
          <w:rFonts w:ascii="Times New Roman"/>
          <w:lang w:val="en-GB"/>
        </w:rPr>
        <w:t>medical ethicists</w:t>
      </w:r>
      <w:r w:rsidRPr="008F24C1">
        <w:rPr>
          <w:rFonts w:hAnsi="Times New Roman"/>
          <w:lang w:val="en-GB"/>
        </w:rPr>
        <w:t>”</w:t>
      </w:r>
      <w:r w:rsidR="00183758">
        <w:rPr>
          <w:rStyle w:val="FootnoteReference"/>
          <w:rFonts w:hAnsi="Times New Roman"/>
          <w:lang w:val="en-GB"/>
        </w:rPr>
        <w:footnoteReference w:id="104"/>
      </w:r>
      <w:r w:rsidR="00006607">
        <w:rPr>
          <w:rFonts w:hAnsi="Times New Roman"/>
          <w:lang w:val="en-GB"/>
        </w:rPr>
        <w:t xml:space="preserve"> </w:t>
      </w:r>
      <w:r w:rsidRPr="008F24C1">
        <w:rPr>
          <w:rFonts w:ascii="Times New Roman"/>
          <w:lang w:val="en-GB"/>
        </w:rPr>
        <w:t xml:space="preserve">of being </w:t>
      </w:r>
      <w:r w:rsidRPr="008F24C1">
        <w:rPr>
          <w:rFonts w:hAnsi="Times New Roman"/>
          <w:lang w:val="en-GB"/>
        </w:rPr>
        <w:t>“</w:t>
      </w:r>
      <w:r w:rsidRPr="008F24C1">
        <w:rPr>
          <w:rFonts w:ascii="Times New Roman"/>
          <w:lang w:val="en-GB"/>
        </w:rPr>
        <w:t>thieves of virtue</w:t>
      </w:r>
      <w:r w:rsidRPr="008F24C1">
        <w:rPr>
          <w:rFonts w:hAnsi="Times New Roman"/>
          <w:lang w:val="en-GB"/>
        </w:rPr>
        <w:t>”</w:t>
      </w:r>
      <w:r w:rsidR="00183758" w:rsidRPr="008F24C1">
        <w:rPr>
          <w:rFonts w:ascii="Times New Roman"/>
          <w:lang w:val="en-GB"/>
        </w:rPr>
        <w:t xml:space="preserve"> </w:t>
      </w:r>
      <w:r w:rsidRPr="008F24C1">
        <w:rPr>
          <w:rFonts w:ascii="Times New Roman"/>
          <w:lang w:val="en-GB"/>
        </w:rPr>
        <w:t>who reserve for themselves the right to entertain questions pertaining to matters of value</w:t>
      </w:r>
      <w:r w:rsidR="00006607">
        <w:rPr>
          <w:rFonts w:ascii="Times New Roman"/>
          <w:lang w:val="en-GB"/>
        </w:rPr>
        <w:t>:</w:t>
      </w:r>
      <w:r w:rsidRPr="008F24C1">
        <w:rPr>
          <w:rFonts w:ascii="Times New Roman"/>
          <w:lang w:val="en-GB"/>
        </w:rPr>
        <w:t xml:space="preserve"> </w:t>
      </w:r>
    </w:p>
    <w:p w14:paraId="02EB0A0B" w14:textId="77777777" w:rsidR="00FC0523" w:rsidRDefault="00FC0523" w:rsidP="000F49E6">
      <w:pPr>
        <w:pStyle w:val="Body1"/>
        <w:ind w:left="720"/>
        <w:rPr>
          <w:rFonts w:ascii="Times New Roman" w:hAnsi="Times New Roman" w:cs="Times New Roman"/>
          <w:lang w:val="en-GB"/>
        </w:rPr>
      </w:pPr>
      <w:r w:rsidRPr="00FC0523">
        <w:rPr>
          <w:rFonts w:ascii="Times New Roman" w:hAnsi="Times New Roman" w:cs="Times New Roman"/>
          <w:lang w:val="en-GB"/>
        </w:rPr>
        <w:t>Confucius wanted everyone to think about what is right and wrong, to think about what is correct and appropriate in a manner that was broadly conceived and popularly understood rather than narrowly constructed. Defining a virtue or social good for their own benefit, Confucius’s thieves were those who hid behind professional positions and specialist language to make intelligent, practical virtue seem like a special virtue rather than a general good.</w:t>
      </w:r>
      <w:r w:rsidRPr="00FC0523">
        <w:rPr>
          <w:rFonts w:ascii="Times New Roman" w:hAnsi="Times New Roman" w:cs="Times New Roman"/>
          <w:vertAlign w:val="superscript"/>
          <w:lang w:val="en-GB"/>
        </w:rPr>
        <w:footnoteReference w:id="105"/>
      </w:r>
    </w:p>
    <w:p w14:paraId="0DED061D" w14:textId="77777777" w:rsidR="00081351" w:rsidRDefault="00081351" w:rsidP="00FC0523">
      <w:pPr>
        <w:pStyle w:val="Body1"/>
        <w:rPr>
          <w:rFonts w:ascii="Times New Roman" w:eastAsia="Times New Roman" w:hAnsi="Times New Roman" w:cs="Times New Roman"/>
          <w:lang w:val="en-GB"/>
        </w:rPr>
      </w:pPr>
    </w:p>
    <w:p w14:paraId="59105044" w14:textId="77777777" w:rsidR="00A65F09" w:rsidRDefault="00BB3450" w:rsidP="00170CDA">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 xml:space="preserve">This is a striking </w:t>
      </w:r>
      <w:r w:rsidR="00EC5CB6">
        <w:rPr>
          <w:rFonts w:ascii="Times New Roman" w:eastAsia="Times New Roman" w:hAnsi="Times New Roman" w:cs="Times New Roman"/>
          <w:lang w:val="en-GB"/>
        </w:rPr>
        <w:t>passage, but it should be noted that</w:t>
      </w:r>
      <w:r>
        <w:rPr>
          <w:rFonts w:ascii="Times New Roman" w:eastAsia="Times New Roman" w:hAnsi="Times New Roman" w:cs="Times New Roman"/>
          <w:lang w:val="en-GB"/>
        </w:rPr>
        <w:t xml:space="preserve"> it is not merely the </w:t>
      </w:r>
      <w:r w:rsidR="00F2152A">
        <w:rPr>
          <w:rFonts w:ascii="Times New Roman" w:eastAsia="Times New Roman" w:hAnsi="Times New Roman" w:cs="Times New Roman"/>
          <w:lang w:val="en-GB"/>
        </w:rPr>
        <w:t xml:space="preserve">purported extent of the </w:t>
      </w:r>
      <w:r>
        <w:rPr>
          <w:rFonts w:ascii="Times New Roman" w:eastAsia="Times New Roman" w:hAnsi="Times New Roman" w:cs="Times New Roman"/>
          <w:lang w:val="en-GB"/>
        </w:rPr>
        <w:t xml:space="preserve">ethicist’s influence that is troubling to Koch. </w:t>
      </w:r>
      <w:r w:rsidR="00981C26">
        <w:rPr>
          <w:rFonts w:ascii="Times New Roman" w:eastAsia="Times New Roman" w:hAnsi="Times New Roman" w:cs="Times New Roman"/>
          <w:lang w:val="en-GB"/>
        </w:rPr>
        <w:t xml:space="preserve">On his view, </w:t>
      </w:r>
      <w:r w:rsidR="00F2152A">
        <w:rPr>
          <w:rFonts w:ascii="Times New Roman" w:eastAsia="Times New Roman" w:hAnsi="Times New Roman" w:cs="Times New Roman"/>
          <w:lang w:val="en-GB"/>
        </w:rPr>
        <w:t xml:space="preserve">PHEs, as members of the healthcare establishment, have a troubling tendency to </w:t>
      </w:r>
      <w:r w:rsidR="00EC5CB6">
        <w:rPr>
          <w:rFonts w:ascii="Times New Roman" w:eastAsia="Times New Roman" w:hAnsi="Times New Roman" w:cs="Times New Roman"/>
          <w:lang w:val="en-GB"/>
        </w:rPr>
        <w:lastRenderedPageBreak/>
        <w:t>act as apologists for</w:t>
      </w:r>
      <w:r w:rsidR="00F2152A">
        <w:rPr>
          <w:rFonts w:ascii="Times New Roman" w:eastAsia="Times New Roman" w:hAnsi="Times New Roman" w:cs="Times New Roman"/>
          <w:lang w:val="en-GB"/>
        </w:rPr>
        <w:t xml:space="preserve"> the shortcomings of western medical bureaucracies. </w:t>
      </w:r>
      <w:r w:rsidRPr="00BB3450">
        <w:rPr>
          <w:rFonts w:ascii="Times New Roman" w:eastAsia="Times New Roman" w:hAnsi="Times New Roman" w:cs="Times New Roman"/>
          <w:lang w:val="en-GB"/>
        </w:rPr>
        <w:t>Koch rejects the claim that the field makes room for a wide range of political, philosophical, and disciplinary p</w:t>
      </w:r>
      <w:r w:rsidR="00A57B72">
        <w:rPr>
          <w:rFonts w:ascii="Times New Roman" w:eastAsia="Times New Roman" w:hAnsi="Times New Roman" w:cs="Times New Roman"/>
          <w:lang w:val="en-GB"/>
        </w:rPr>
        <w:t>erspectives. H</w:t>
      </w:r>
      <w:r w:rsidR="00071C7A">
        <w:rPr>
          <w:rFonts w:ascii="Times New Roman" w:eastAsia="Times New Roman" w:hAnsi="Times New Roman" w:cs="Times New Roman"/>
          <w:lang w:val="en-GB"/>
        </w:rPr>
        <w:t xml:space="preserve">e </w:t>
      </w:r>
      <w:r w:rsidR="00A57B72">
        <w:rPr>
          <w:rFonts w:ascii="Times New Roman" w:eastAsia="Times New Roman" w:hAnsi="Times New Roman" w:cs="Times New Roman"/>
          <w:lang w:val="en-GB"/>
        </w:rPr>
        <w:t>s</w:t>
      </w:r>
      <w:r w:rsidR="00071C7A">
        <w:rPr>
          <w:rFonts w:ascii="Times New Roman" w:eastAsia="Times New Roman" w:hAnsi="Times New Roman" w:cs="Times New Roman"/>
          <w:lang w:val="en-GB"/>
        </w:rPr>
        <w:t>tates</w:t>
      </w:r>
      <w:r w:rsidR="00A57B72">
        <w:rPr>
          <w:rFonts w:ascii="Times New Roman" w:eastAsia="Times New Roman" w:hAnsi="Times New Roman" w:cs="Times New Roman"/>
          <w:lang w:val="en-GB"/>
        </w:rPr>
        <w:t xml:space="preserve"> that “[b]</w:t>
      </w:r>
      <w:r w:rsidRPr="00BB3450">
        <w:rPr>
          <w:rFonts w:ascii="Times New Roman" w:eastAsia="Times New Roman" w:hAnsi="Times New Roman" w:cs="Times New Roman"/>
          <w:lang w:val="en-GB"/>
        </w:rPr>
        <w:t>ioethicists like to think of themselves as a diverse group of opinionated individuals with a wide range of political views who cannot easily be characterized witho</w:t>
      </w:r>
      <w:r w:rsidR="00AE6A6B">
        <w:rPr>
          <w:rFonts w:ascii="Times New Roman" w:eastAsia="Times New Roman" w:hAnsi="Times New Roman" w:cs="Times New Roman"/>
          <w:lang w:val="en-GB"/>
        </w:rPr>
        <w:t>ut caricature</w:t>
      </w:r>
      <w:r w:rsidR="00071C7A">
        <w:rPr>
          <w:rFonts w:ascii="Times New Roman" w:eastAsia="Times New Roman" w:hAnsi="Times New Roman" w:cs="Times New Roman"/>
          <w:lang w:val="en-GB"/>
        </w:rPr>
        <w:t>,</w:t>
      </w:r>
      <w:r w:rsidRPr="00BB3450">
        <w:rPr>
          <w:rFonts w:ascii="Times New Roman" w:eastAsia="Times New Roman" w:hAnsi="Times New Roman" w:cs="Times New Roman"/>
          <w:lang w:val="en-GB"/>
        </w:rPr>
        <w:t>”</w:t>
      </w:r>
      <w:r w:rsidR="00A57B72">
        <w:rPr>
          <w:rFonts w:ascii="Times New Roman" w:eastAsia="Times New Roman" w:hAnsi="Times New Roman" w:cs="Times New Roman"/>
          <w:lang w:val="en-GB"/>
        </w:rPr>
        <w:t xml:space="preserve"> but he insists</w:t>
      </w:r>
      <w:r w:rsidR="0070337A">
        <w:rPr>
          <w:rFonts w:ascii="Times New Roman" w:eastAsia="Times New Roman" w:hAnsi="Times New Roman" w:cs="Times New Roman"/>
          <w:lang w:val="en-GB"/>
        </w:rPr>
        <w:t xml:space="preserve"> that they are mistaken in this belief.</w:t>
      </w:r>
      <w:r w:rsidR="00AE6A6B">
        <w:rPr>
          <w:rStyle w:val="FootnoteReference"/>
          <w:rFonts w:ascii="Times New Roman" w:eastAsia="Times New Roman" w:hAnsi="Times New Roman" w:cs="Times New Roman"/>
          <w:lang w:val="en-GB"/>
        </w:rPr>
        <w:footnoteReference w:id="106"/>
      </w:r>
      <w:r w:rsidR="00AE6A6B">
        <w:rPr>
          <w:rFonts w:ascii="Times New Roman" w:eastAsia="Times New Roman" w:hAnsi="Times New Roman" w:cs="Times New Roman"/>
          <w:lang w:val="en-GB"/>
        </w:rPr>
        <w:t xml:space="preserve"> Unlike academic philosophers, who have no need for, or interest in, a homogenous approach to their discipline, those who regard ethics as a profession, or nascent profession, are generally not engaged in the difficult work of understanding and explicating the value-related dimensions of challenges arising in clinical care and research</w:t>
      </w:r>
      <w:r w:rsidR="00A57B72">
        <w:rPr>
          <w:rFonts w:ascii="Times New Roman" w:eastAsia="Times New Roman" w:hAnsi="Times New Roman" w:cs="Times New Roman"/>
          <w:lang w:val="en-GB"/>
        </w:rPr>
        <w:t>; i</w:t>
      </w:r>
      <w:r w:rsidR="00AE6A6B">
        <w:rPr>
          <w:rFonts w:ascii="Times New Roman" w:eastAsia="Times New Roman" w:hAnsi="Times New Roman" w:cs="Times New Roman"/>
          <w:lang w:val="en-GB"/>
        </w:rPr>
        <w:t>nstead</w:t>
      </w:r>
      <w:r w:rsidR="0070337A">
        <w:rPr>
          <w:rFonts w:ascii="Times New Roman" w:eastAsia="Times New Roman" w:hAnsi="Times New Roman" w:cs="Times New Roman"/>
          <w:lang w:val="en-GB"/>
        </w:rPr>
        <w:t>, suggests Koch,</w:t>
      </w:r>
      <w:r w:rsidR="00AE6A6B">
        <w:rPr>
          <w:rFonts w:ascii="Times New Roman" w:eastAsia="Times New Roman" w:hAnsi="Times New Roman" w:cs="Times New Roman"/>
          <w:lang w:val="en-GB"/>
        </w:rPr>
        <w:t xml:space="preserve"> </w:t>
      </w:r>
      <w:r w:rsidR="005314D6">
        <w:rPr>
          <w:rFonts w:ascii="Times New Roman" w:eastAsia="Times New Roman" w:hAnsi="Times New Roman" w:cs="Times New Roman"/>
          <w:lang w:val="en-GB"/>
        </w:rPr>
        <w:t xml:space="preserve">they </w:t>
      </w:r>
      <w:r w:rsidR="0070337A">
        <w:rPr>
          <w:rFonts w:ascii="Times New Roman" w:eastAsia="Times New Roman" w:hAnsi="Times New Roman" w:cs="Times New Roman"/>
          <w:lang w:val="en-GB"/>
        </w:rPr>
        <w:t xml:space="preserve">are </w:t>
      </w:r>
      <w:r w:rsidR="00AE6A6B">
        <w:rPr>
          <w:rFonts w:ascii="Times New Roman" w:eastAsia="Times New Roman" w:hAnsi="Times New Roman" w:cs="Times New Roman"/>
          <w:lang w:val="en-GB"/>
        </w:rPr>
        <w:t xml:space="preserve">occupied with efforts to ensure that cases are resolved in manner that reinforces bureaucratic inclinations toward cost </w:t>
      </w:r>
      <w:r w:rsidR="005314D6">
        <w:rPr>
          <w:rFonts w:ascii="Times New Roman" w:eastAsia="Times New Roman" w:hAnsi="Times New Roman" w:cs="Times New Roman"/>
          <w:lang w:val="en-GB"/>
        </w:rPr>
        <w:t xml:space="preserve">containment and the advance of </w:t>
      </w:r>
      <w:r w:rsidR="00AE6A6B">
        <w:rPr>
          <w:rFonts w:ascii="Times New Roman" w:eastAsia="Times New Roman" w:hAnsi="Times New Roman" w:cs="Times New Roman"/>
          <w:lang w:val="en-GB"/>
        </w:rPr>
        <w:t xml:space="preserve">a </w:t>
      </w:r>
      <w:r w:rsidR="00B203A0">
        <w:rPr>
          <w:rFonts w:ascii="Times New Roman" w:eastAsia="Times New Roman" w:hAnsi="Times New Roman" w:cs="Times New Roman"/>
          <w:lang w:val="en-GB"/>
        </w:rPr>
        <w:t xml:space="preserve">technical rationality. To put it bluntly, </w:t>
      </w:r>
      <w:r w:rsidR="00AE6A6B">
        <w:rPr>
          <w:rFonts w:ascii="Times New Roman" w:eastAsia="Times New Roman" w:hAnsi="Times New Roman" w:cs="Times New Roman"/>
          <w:lang w:val="en-GB"/>
        </w:rPr>
        <w:t xml:space="preserve">PHEs </w:t>
      </w:r>
      <w:r w:rsidR="00EC5CB6">
        <w:rPr>
          <w:rFonts w:ascii="Times New Roman" w:eastAsia="Times New Roman" w:hAnsi="Times New Roman" w:cs="Times New Roman"/>
          <w:lang w:val="en-GB"/>
        </w:rPr>
        <w:t>provide the justificatory arguments that allow patient needs to</w:t>
      </w:r>
      <w:r w:rsidR="00B203A0">
        <w:rPr>
          <w:rFonts w:ascii="Times New Roman" w:eastAsia="Times New Roman" w:hAnsi="Times New Roman" w:cs="Times New Roman"/>
          <w:lang w:val="en-GB"/>
        </w:rPr>
        <w:t xml:space="preserve"> be </w:t>
      </w:r>
      <w:r w:rsidR="007868AB">
        <w:rPr>
          <w:rFonts w:ascii="Times New Roman" w:eastAsia="Times New Roman" w:hAnsi="Times New Roman" w:cs="Times New Roman"/>
          <w:lang w:val="en-GB"/>
        </w:rPr>
        <w:t>evaluated</w:t>
      </w:r>
      <w:r w:rsidR="00EC5CB6">
        <w:rPr>
          <w:rFonts w:ascii="Times New Roman" w:eastAsia="Times New Roman" w:hAnsi="Times New Roman" w:cs="Times New Roman"/>
          <w:lang w:val="en-GB"/>
        </w:rPr>
        <w:t xml:space="preserve"> in the context of fundable hours and available beds, and </w:t>
      </w:r>
      <w:r w:rsidR="0070337A">
        <w:rPr>
          <w:rFonts w:ascii="Times New Roman" w:eastAsia="Times New Roman" w:hAnsi="Times New Roman" w:cs="Times New Roman"/>
          <w:lang w:val="en-GB"/>
        </w:rPr>
        <w:t xml:space="preserve">permit </w:t>
      </w:r>
      <w:r w:rsidR="00EC5CB6">
        <w:rPr>
          <w:rFonts w:ascii="Times New Roman" w:eastAsia="Times New Roman" w:hAnsi="Times New Roman" w:cs="Times New Roman"/>
          <w:lang w:val="en-GB"/>
        </w:rPr>
        <w:t>research participants’ interests to</w:t>
      </w:r>
      <w:r w:rsidR="00B203A0">
        <w:rPr>
          <w:rFonts w:ascii="Times New Roman" w:eastAsia="Times New Roman" w:hAnsi="Times New Roman" w:cs="Times New Roman"/>
          <w:lang w:val="en-GB"/>
        </w:rPr>
        <w:t xml:space="preserve"> be </w:t>
      </w:r>
      <w:r w:rsidR="007204BA">
        <w:rPr>
          <w:rFonts w:ascii="Times New Roman" w:eastAsia="Times New Roman" w:hAnsi="Times New Roman" w:cs="Times New Roman"/>
          <w:lang w:val="en-GB"/>
        </w:rPr>
        <w:t>reduced</w:t>
      </w:r>
      <w:r w:rsidR="00EC5CB6">
        <w:rPr>
          <w:rFonts w:ascii="Times New Roman" w:eastAsia="Times New Roman" w:hAnsi="Times New Roman" w:cs="Times New Roman"/>
          <w:lang w:val="en-GB"/>
        </w:rPr>
        <w:t xml:space="preserve"> to </w:t>
      </w:r>
      <w:r w:rsidR="00071C7A">
        <w:rPr>
          <w:rFonts w:ascii="Times New Roman" w:eastAsia="Times New Roman" w:hAnsi="Times New Roman" w:cs="Times New Roman"/>
          <w:lang w:val="en-GB"/>
        </w:rPr>
        <w:t>data points and bio-</w:t>
      </w:r>
      <w:r w:rsidR="007204BA">
        <w:rPr>
          <w:rFonts w:ascii="Times New Roman" w:eastAsia="Times New Roman" w:hAnsi="Times New Roman" w:cs="Times New Roman"/>
          <w:lang w:val="en-GB"/>
        </w:rPr>
        <w:t>specimens</w:t>
      </w:r>
      <w:r w:rsidR="00B618CD">
        <w:rPr>
          <w:rFonts w:ascii="Times New Roman" w:eastAsia="Times New Roman" w:hAnsi="Times New Roman" w:cs="Times New Roman"/>
          <w:lang w:val="en-GB"/>
        </w:rPr>
        <w:t xml:space="preserve"> (both of which have become valuable</w:t>
      </w:r>
      <w:r w:rsidR="00783FD3">
        <w:rPr>
          <w:rFonts w:ascii="Times New Roman" w:eastAsia="Times New Roman" w:hAnsi="Times New Roman" w:cs="Times New Roman"/>
          <w:lang w:val="en-GB"/>
        </w:rPr>
        <w:t xml:space="preserve"> market</w:t>
      </w:r>
      <w:r w:rsidR="00EC5CB6">
        <w:rPr>
          <w:rFonts w:ascii="Times New Roman" w:eastAsia="Times New Roman" w:hAnsi="Times New Roman" w:cs="Times New Roman"/>
          <w:lang w:val="en-GB"/>
        </w:rPr>
        <w:t xml:space="preserve"> commodities)</w:t>
      </w:r>
      <w:r w:rsidR="007204BA">
        <w:rPr>
          <w:rFonts w:ascii="Times New Roman" w:eastAsia="Times New Roman" w:hAnsi="Times New Roman" w:cs="Times New Roman"/>
          <w:lang w:val="en-GB"/>
        </w:rPr>
        <w:t>.</w:t>
      </w:r>
      <w:r w:rsidR="007204BA">
        <w:rPr>
          <w:rStyle w:val="FootnoteReference"/>
          <w:rFonts w:ascii="Times New Roman" w:eastAsia="Times New Roman" w:hAnsi="Times New Roman" w:cs="Times New Roman"/>
          <w:lang w:val="en-GB"/>
        </w:rPr>
        <w:footnoteReference w:id="107"/>
      </w:r>
      <w:r w:rsidR="00596C65">
        <w:rPr>
          <w:rFonts w:ascii="Times New Roman" w:eastAsia="Times New Roman" w:hAnsi="Times New Roman" w:cs="Times New Roman"/>
          <w:lang w:val="en-GB"/>
        </w:rPr>
        <w:t xml:space="preserve"> The preoccupation with informed </w:t>
      </w:r>
      <w:r w:rsidR="00596C65">
        <w:rPr>
          <w:rFonts w:ascii="Times New Roman" w:eastAsia="Times New Roman" w:hAnsi="Times New Roman" w:cs="Times New Roman"/>
          <w:lang w:val="en-GB"/>
        </w:rPr>
        <w:lastRenderedPageBreak/>
        <w:t xml:space="preserve">consent, on this view, is not so much a worry about honouring patient preferences and respecting diverse world views, but a risk management </w:t>
      </w:r>
      <w:r w:rsidR="00011E9E">
        <w:rPr>
          <w:rFonts w:ascii="Times New Roman" w:eastAsia="Times New Roman" w:hAnsi="Times New Roman" w:cs="Times New Roman"/>
          <w:lang w:val="en-GB"/>
        </w:rPr>
        <w:t>strategy that seeks to keep institutions and their represent</w:t>
      </w:r>
      <w:r w:rsidR="00B308EB">
        <w:rPr>
          <w:rFonts w:ascii="Times New Roman" w:eastAsia="Times New Roman" w:hAnsi="Times New Roman" w:cs="Times New Roman"/>
          <w:lang w:val="en-GB"/>
        </w:rPr>
        <w:t>atives clear of legal difficulties</w:t>
      </w:r>
      <w:r w:rsidR="00011E9E">
        <w:rPr>
          <w:rFonts w:ascii="Times New Roman" w:eastAsia="Times New Roman" w:hAnsi="Times New Roman" w:cs="Times New Roman"/>
          <w:lang w:val="en-GB"/>
        </w:rPr>
        <w:t xml:space="preserve">. </w:t>
      </w:r>
    </w:p>
    <w:p w14:paraId="61E4275A" w14:textId="10B56523" w:rsidR="00405516" w:rsidRDefault="007920AB" w:rsidP="00405516">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 xml:space="preserve">In sum, </w:t>
      </w:r>
      <w:r w:rsidR="005314D6">
        <w:rPr>
          <w:rFonts w:ascii="Times New Roman" w:eastAsia="Times New Roman" w:hAnsi="Times New Roman" w:cs="Times New Roman"/>
          <w:lang w:val="en-GB"/>
        </w:rPr>
        <w:t>Elliott</w:t>
      </w:r>
      <w:r w:rsidR="00C164FA">
        <w:rPr>
          <w:rFonts w:ascii="Times New Roman" w:eastAsia="Times New Roman" w:hAnsi="Times New Roman" w:cs="Times New Roman"/>
          <w:lang w:val="en-GB"/>
        </w:rPr>
        <w:t xml:space="preserve"> and </w:t>
      </w:r>
      <w:r w:rsidR="005314D6">
        <w:rPr>
          <w:rFonts w:ascii="Times New Roman" w:eastAsia="Times New Roman" w:hAnsi="Times New Roman" w:cs="Times New Roman"/>
          <w:lang w:val="en-GB"/>
        </w:rPr>
        <w:t xml:space="preserve">Koch </w:t>
      </w:r>
      <w:r w:rsidR="0070337A">
        <w:rPr>
          <w:rFonts w:ascii="Times New Roman" w:eastAsia="Times New Roman" w:hAnsi="Times New Roman" w:cs="Times New Roman"/>
          <w:lang w:val="en-GB"/>
        </w:rPr>
        <w:t xml:space="preserve">are </w:t>
      </w:r>
      <w:r w:rsidR="00A01A3F">
        <w:rPr>
          <w:rFonts w:ascii="Times New Roman" w:eastAsia="Times New Roman" w:hAnsi="Times New Roman" w:cs="Times New Roman"/>
          <w:lang w:val="en-GB"/>
        </w:rPr>
        <w:t xml:space="preserve">not </w:t>
      </w:r>
      <w:r w:rsidR="0070337A">
        <w:rPr>
          <w:rFonts w:ascii="Times New Roman" w:eastAsia="Times New Roman" w:hAnsi="Times New Roman" w:cs="Times New Roman"/>
          <w:lang w:val="en-GB"/>
        </w:rPr>
        <w:t xml:space="preserve">sceptical </w:t>
      </w:r>
      <w:r>
        <w:rPr>
          <w:rFonts w:ascii="Times New Roman" w:eastAsia="Times New Roman" w:hAnsi="Times New Roman" w:cs="Times New Roman"/>
          <w:lang w:val="en-GB"/>
        </w:rPr>
        <w:t xml:space="preserve">about </w:t>
      </w:r>
      <w:r w:rsidR="00A65F09">
        <w:rPr>
          <w:rFonts w:ascii="Times New Roman" w:eastAsia="Times New Roman" w:hAnsi="Times New Roman" w:cs="Times New Roman"/>
          <w:lang w:val="en-GB"/>
        </w:rPr>
        <w:t xml:space="preserve">the </w:t>
      </w:r>
      <w:r w:rsidR="00C164FA">
        <w:rPr>
          <w:rFonts w:ascii="Times New Roman" w:eastAsia="Times New Roman" w:hAnsi="Times New Roman" w:cs="Times New Roman"/>
          <w:lang w:val="en-GB"/>
        </w:rPr>
        <w:t>suggestion that healthcare can benefit from</w:t>
      </w:r>
      <w:r w:rsidR="00A65F09">
        <w:rPr>
          <w:rFonts w:ascii="Times New Roman" w:eastAsia="Times New Roman" w:hAnsi="Times New Roman" w:cs="Times New Roman"/>
          <w:lang w:val="en-GB"/>
        </w:rPr>
        <w:t xml:space="preserve"> ethical analysis</w:t>
      </w:r>
      <w:r w:rsidR="00A310EE">
        <w:rPr>
          <w:rFonts w:ascii="Times New Roman" w:eastAsia="Times New Roman" w:hAnsi="Times New Roman" w:cs="Times New Roman"/>
          <w:lang w:val="en-GB"/>
        </w:rPr>
        <w:t xml:space="preserve">, </w:t>
      </w:r>
      <w:r w:rsidR="00A65F09">
        <w:rPr>
          <w:rFonts w:ascii="Times New Roman" w:eastAsia="Times New Roman" w:hAnsi="Times New Roman" w:cs="Times New Roman"/>
          <w:lang w:val="en-GB"/>
        </w:rPr>
        <w:t xml:space="preserve">indeed both have </w:t>
      </w:r>
      <w:r w:rsidR="002E3622">
        <w:rPr>
          <w:rFonts w:ascii="Times New Roman" w:eastAsia="Times New Roman" w:hAnsi="Times New Roman" w:cs="Times New Roman"/>
          <w:lang w:val="en-GB"/>
        </w:rPr>
        <w:t>accepted the bioethicist mantle</w:t>
      </w:r>
      <w:r w:rsidR="00E94C26">
        <w:rPr>
          <w:rFonts w:ascii="Times New Roman" w:eastAsia="Times New Roman" w:hAnsi="Times New Roman" w:cs="Times New Roman"/>
          <w:lang w:val="en-GB"/>
        </w:rPr>
        <w:t xml:space="preserve"> (</w:t>
      </w:r>
      <w:r w:rsidR="0078264A">
        <w:rPr>
          <w:rFonts w:ascii="Times New Roman" w:eastAsia="Times New Roman" w:hAnsi="Times New Roman" w:cs="Times New Roman"/>
          <w:lang w:val="en-GB"/>
        </w:rPr>
        <w:t>although Elliott has</w:t>
      </w:r>
      <w:r w:rsidR="00A310EE">
        <w:rPr>
          <w:rFonts w:ascii="Times New Roman" w:eastAsia="Times New Roman" w:hAnsi="Times New Roman" w:cs="Times New Roman"/>
          <w:lang w:val="en-GB"/>
        </w:rPr>
        <w:t xml:space="preserve"> </w:t>
      </w:r>
      <w:r w:rsidR="0078264A">
        <w:rPr>
          <w:rFonts w:ascii="Times New Roman" w:eastAsia="Times New Roman" w:hAnsi="Times New Roman" w:cs="Times New Roman"/>
          <w:lang w:val="en-GB"/>
        </w:rPr>
        <w:t>distanced himself from that identity</w:t>
      </w:r>
      <w:r w:rsidR="00A310EE">
        <w:rPr>
          <w:rFonts w:ascii="Times New Roman" w:eastAsia="Times New Roman" w:hAnsi="Times New Roman" w:cs="Times New Roman"/>
          <w:lang w:val="en-GB"/>
        </w:rPr>
        <w:t xml:space="preserve"> of late</w:t>
      </w:r>
      <w:r w:rsidR="00C164FA">
        <w:rPr>
          <w:rFonts w:ascii="Times New Roman" w:eastAsia="Times New Roman" w:hAnsi="Times New Roman" w:cs="Times New Roman"/>
          <w:lang w:val="en-GB"/>
        </w:rPr>
        <w:t>.</w:t>
      </w:r>
      <w:r w:rsidR="00E94C26">
        <w:rPr>
          <w:rFonts w:ascii="Times New Roman" w:eastAsia="Times New Roman" w:hAnsi="Times New Roman" w:cs="Times New Roman"/>
          <w:lang w:val="en-GB"/>
        </w:rPr>
        <w:t>)</w:t>
      </w:r>
      <w:r w:rsidR="00B104FE">
        <w:rPr>
          <w:rStyle w:val="FootnoteReference"/>
          <w:rFonts w:ascii="Times New Roman" w:eastAsia="Times New Roman" w:hAnsi="Times New Roman" w:cs="Times New Roman"/>
          <w:lang w:val="en-GB"/>
        </w:rPr>
        <w:footnoteReference w:id="108"/>
      </w:r>
      <w:r w:rsidR="00C164FA">
        <w:rPr>
          <w:rFonts w:ascii="Times New Roman" w:eastAsia="Times New Roman" w:hAnsi="Times New Roman" w:cs="Times New Roman"/>
          <w:lang w:val="en-GB"/>
        </w:rPr>
        <w:t xml:space="preserve"> </w:t>
      </w:r>
      <w:r w:rsidR="00A65F09">
        <w:rPr>
          <w:rFonts w:ascii="Times New Roman" w:eastAsia="Times New Roman" w:hAnsi="Times New Roman" w:cs="Times New Roman"/>
          <w:lang w:val="en-GB"/>
        </w:rPr>
        <w:t>They are</w:t>
      </w:r>
      <w:r w:rsidR="00A310EE">
        <w:rPr>
          <w:rFonts w:ascii="Times New Roman" w:eastAsia="Times New Roman" w:hAnsi="Times New Roman" w:cs="Times New Roman"/>
          <w:lang w:val="en-GB"/>
        </w:rPr>
        <w:t xml:space="preserve"> </w:t>
      </w:r>
      <w:r w:rsidR="00C164FA">
        <w:rPr>
          <w:rFonts w:ascii="Times New Roman" w:eastAsia="Times New Roman" w:hAnsi="Times New Roman" w:cs="Times New Roman"/>
          <w:lang w:val="en-GB"/>
        </w:rPr>
        <w:t>instead</w:t>
      </w:r>
      <w:r w:rsidR="007F433B">
        <w:rPr>
          <w:rFonts w:ascii="Times New Roman" w:eastAsia="Times New Roman" w:hAnsi="Times New Roman" w:cs="Times New Roman"/>
          <w:lang w:val="en-GB"/>
        </w:rPr>
        <w:t xml:space="preserve"> united in their critique of what they see as the influence of the </w:t>
      </w:r>
      <w:r w:rsidR="006D01AF">
        <w:rPr>
          <w:rFonts w:ascii="Times New Roman" w:eastAsia="Times New Roman" w:hAnsi="Times New Roman" w:cs="Times New Roman"/>
          <w:lang w:val="en-GB"/>
        </w:rPr>
        <w:t>self-interested</w:t>
      </w:r>
      <w:r w:rsidR="003E2A60">
        <w:rPr>
          <w:rFonts w:ascii="Times New Roman" w:eastAsia="Times New Roman" w:hAnsi="Times New Roman" w:cs="Times New Roman"/>
          <w:lang w:val="en-GB"/>
        </w:rPr>
        <w:t xml:space="preserve"> or unthinking</w:t>
      </w:r>
      <w:r w:rsidR="00A310EE">
        <w:rPr>
          <w:rFonts w:ascii="Times New Roman" w:eastAsia="Times New Roman" w:hAnsi="Times New Roman" w:cs="Times New Roman"/>
          <w:lang w:val="en-GB"/>
        </w:rPr>
        <w:t xml:space="preserve"> </w:t>
      </w:r>
      <w:r w:rsidR="00A65F09">
        <w:rPr>
          <w:rFonts w:ascii="Times New Roman" w:eastAsia="Times New Roman" w:hAnsi="Times New Roman" w:cs="Times New Roman"/>
          <w:lang w:val="en-GB"/>
        </w:rPr>
        <w:t>PHE</w:t>
      </w:r>
      <w:r w:rsidR="0078264A">
        <w:rPr>
          <w:rFonts w:ascii="Times New Roman" w:eastAsia="Times New Roman" w:hAnsi="Times New Roman" w:cs="Times New Roman"/>
          <w:lang w:val="en-GB"/>
        </w:rPr>
        <w:t xml:space="preserve"> </w:t>
      </w:r>
      <w:r w:rsidR="002E3622">
        <w:rPr>
          <w:rFonts w:ascii="Times New Roman" w:eastAsia="Times New Roman" w:hAnsi="Times New Roman" w:cs="Times New Roman"/>
          <w:lang w:val="en-GB"/>
        </w:rPr>
        <w:t xml:space="preserve">who </w:t>
      </w:r>
      <w:r w:rsidR="00513B78">
        <w:rPr>
          <w:rFonts w:ascii="Times New Roman" w:eastAsia="Times New Roman" w:hAnsi="Times New Roman" w:cs="Times New Roman"/>
          <w:lang w:val="en-GB"/>
        </w:rPr>
        <w:t xml:space="preserve">almost always </w:t>
      </w:r>
      <w:r w:rsidR="007868AB">
        <w:rPr>
          <w:rFonts w:ascii="Times New Roman" w:eastAsia="Times New Roman" w:hAnsi="Times New Roman" w:cs="Times New Roman"/>
          <w:lang w:val="en-GB"/>
        </w:rPr>
        <w:t xml:space="preserve">is </w:t>
      </w:r>
      <w:r w:rsidR="00513B78">
        <w:rPr>
          <w:rFonts w:ascii="Times New Roman" w:eastAsia="Times New Roman" w:hAnsi="Times New Roman" w:cs="Times New Roman"/>
          <w:lang w:val="en-GB"/>
        </w:rPr>
        <w:t xml:space="preserve">tethered by a very short leash and </w:t>
      </w:r>
      <w:r w:rsidR="002E3622">
        <w:rPr>
          <w:rFonts w:ascii="Times New Roman" w:eastAsia="Times New Roman" w:hAnsi="Times New Roman" w:cs="Times New Roman"/>
          <w:lang w:val="en-GB"/>
        </w:rPr>
        <w:t xml:space="preserve">can </w:t>
      </w:r>
      <w:r w:rsidR="0078264A">
        <w:rPr>
          <w:rFonts w:ascii="Times New Roman" w:eastAsia="Times New Roman" w:hAnsi="Times New Roman" w:cs="Times New Roman"/>
          <w:lang w:val="en-GB"/>
        </w:rPr>
        <w:t xml:space="preserve">best </w:t>
      </w:r>
      <w:r w:rsidR="002E3622">
        <w:rPr>
          <w:rFonts w:ascii="Times New Roman" w:eastAsia="Times New Roman" w:hAnsi="Times New Roman" w:cs="Times New Roman"/>
          <w:lang w:val="en-GB"/>
        </w:rPr>
        <w:t xml:space="preserve">be described as </w:t>
      </w:r>
      <w:r w:rsidR="0078264A">
        <w:rPr>
          <w:rFonts w:ascii="Times New Roman" w:eastAsia="Times New Roman" w:hAnsi="Times New Roman" w:cs="Times New Roman"/>
          <w:lang w:val="en-GB"/>
        </w:rPr>
        <w:t>her master</w:t>
      </w:r>
      <w:r w:rsidR="00E53C8C">
        <w:rPr>
          <w:rFonts w:ascii="Times New Roman" w:eastAsia="Times New Roman" w:hAnsi="Times New Roman" w:cs="Times New Roman"/>
          <w:lang w:val="en-GB"/>
        </w:rPr>
        <w:t>’</w:t>
      </w:r>
      <w:r w:rsidR="0078264A">
        <w:rPr>
          <w:rFonts w:ascii="Times New Roman" w:eastAsia="Times New Roman" w:hAnsi="Times New Roman" w:cs="Times New Roman"/>
          <w:lang w:val="en-GB"/>
        </w:rPr>
        <w:t>s</w:t>
      </w:r>
      <w:r w:rsidR="00E53C8C">
        <w:rPr>
          <w:rFonts w:ascii="Times New Roman" w:eastAsia="Times New Roman" w:hAnsi="Times New Roman" w:cs="Times New Roman"/>
          <w:lang w:val="en-GB"/>
        </w:rPr>
        <w:t xml:space="preserve"> faithful</w:t>
      </w:r>
      <w:r w:rsidR="00513B78">
        <w:rPr>
          <w:rFonts w:ascii="Times New Roman" w:eastAsia="Times New Roman" w:hAnsi="Times New Roman" w:cs="Times New Roman"/>
          <w:lang w:val="en-GB"/>
        </w:rPr>
        <w:t xml:space="preserve"> guardian</w:t>
      </w:r>
      <w:r w:rsidR="00A65F09">
        <w:rPr>
          <w:rFonts w:ascii="Times New Roman" w:eastAsia="Times New Roman" w:hAnsi="Times New Roman" w:cs="Times New Roman"/>
          <w:lang w:val="en-GB"/>
        </w:rPr>
        <w:t>.</w:t>
      </w:r>
      <w:r w:rsidR="00A310EE">
        <w:rPr>
          <w:rStyle w:val="FootnoteReference"/>
          <w:rFonts w:ascii="Times New Roman" w:eastAsia="Times New Roman" w:hAnsi="Times New Roman" w:cs="Times New Roman"/>
          <w:lang w:val="en-GB"/>
        </w:rPr>
        <w:footnoteReference w:id="109"/>
      </w:r>
      <w:r w:rsidR="00A65F09">
        <w:rPr>
          <w:rFonts w:ascii="Times New Roman" w:eastAsia="Times New Roman" w:hAnsi="Times New Roman" w:cs="Times New Roman"/>
          <w:lang w:val="en-GB"/>
        </w:rPr>
        <w:t xml:space="preserve"> </w:t>
      </w:r>
      <w:r w:rsidR="00513B78">
        <w:rPr>
          <w:rFonts w:ascii="Times New Roman" w:eastAsia="Times New Roman" w:hAnsi="Times New Roman" w:cs="Times New Roman"/>
          <w:lang w:val="en-GB"/>
        </w:rPr>
        <w:t>This</w:t>
      </w:r>
      <w:r w:rsidR="003E2A60">
        <w:rPr>
          <w:rFonts w:ascii="Times New Roman" w:eastAsia="Times New Roman" w:hAnsi="Times New Roman" w:cs="Times New Roman"/>
          <w:lang w:val="en-GB"/>
        </w:rPr>
        <w:t xml:space="preserve"> critique </w:t>
      </w:r>
      <w:r w:rsidR="00D2739C">
        <w:rPr>
          <w:rFonts w:ascii="Times New Roman" w:eastAsia="Times New Roman" w:hAnsi="Times New Roman" w:cs="Times New Roman"/>
          <w:lang w:val="en-GB"/>
        </w:rPr>
        <w:t xml:space="preserve">of </w:t>
      </w:r>
      <w:r w:rsidR="000A676C">
        <w:rPr>
          <w:rFonts w:ascii="Times New Roman" w:eastAsia="Times New Roman" w:hAnsi="Times New Roman" w:cs="Times New Roman"/>
          <w:lang w:val="en-GB"/>
        </w:rPr>
        <w:t>healthcare ethicist</w:t>
      </w:r>
      <w:r w:rsidR="003E2A60">
        <w:rPr>
          <w:rFonts w:ascii="Times New Roman" w:eastAsia="Times New Roman" w:hAnsi="Times New Roman" w:cs="Times New Roman"/>
          <w:lang w:val="en-GB"/>
        </w:rPr>
        <w:t>s</w:t>
      </w:r>
      <w:r w:rsidR="00E3272C">
        <w:rPr>
          <w:rFonts w:ascii="Times New Roman" w:eastAsia="Times New Roman" w:hAnsi="Times New Roman" w:cs="Times New Roman"/>
          <w:lang w:val="en-GB"/>
        </w:rPr>
        <w:t xml:space="preserve"> may be a bit of a straw </w:t>
      </w:r>
      <w:r w:rsidR="00552D6B">
        <w:rPr>
          <w:rFonts w:ascii="Times New Roman" w:eastAsia="Times New Roman" w:hAnsi="Times New Roman" w:cs="Times New Roman"/>
          <w:lang w:val="en-GB"/>
        </w:rPr>
        <w:t>man</w:t>
      </w:r>
      <w:r w:rsidR="000A676C">
        <w:rPr>
          <w:rFonts w:ascii="Times New Roman" w:eastAsia="Times New Roman" w:hAnsi="Times New Roman" w:cs="Times New Roman"/>
          <w:lang w:val="en-GB"/>
        </w:rPr>
        <w:t xml:space="preserve"> but it </w:t>
      </w:r>
      <w:r w:rsidR="00207EBD">
        <w:rPr>
          <w:rFonts w:ascii="Times New Roman" w:eastAsia="Times New Roman" w:hAnsi="Times New Roman" w:cs="Times New Roman"/>
          <w:lang w:val="en-GB"/>
        </w:rPr>
        <w:t xml:space="preserve">may </w:t>
      </w:r>
      <w:r w:rsidR="0061152A">
        <w:rPr>
          <w:rFonts w:ascii="Times New Roman" w:eastAsia="Times New Roman" w:hAnsi="Times New Roman" w:cs="Times New Roman"/>
          <w:lang w:val="en-GB"/>
        </w:rPr>
        <w:t xml:space="preserve">yet </w:t>
      </w:r>
      <w:r w:rsidR="00207EBD">
        <w:rPr>
          <w:rFonts w:ascii="Times New Roman" w:eastAsia="Times New Roman" w:hAnsi="Times New Roman" w:cs="Times New Roman"/>
          <w:lang w:val="en-GB"/>
        </w:rPr>
        <w:t xml:space="preserve">serve a useful purpose. If we cast it aside </w:t>
      </w:r>
      <w:r w:rsidR="008F0E15">
        <w:rPr>
          <w:rFonts w:ascii="Times New Roman" w:eastAsia="Times New Roman" w:hAnsi="Times New Roman" w:cs="Times New Roman"/>
          <w:lang w:val="en-GB"/>
        </w:rPr>
        <w:t xml:space="preserve">prematurely we </w:t>
      </w:r>
      <w:r w:rsidR="00207EBD">
        <w:rPr>
          <w:rFonts w:ascii="Times New Roman" w:eastAsia="Times New Roman" w:hAnsi="Times New Roman" w:cs="Times New Roman"/>
          <w:lang w:val="en-GB"/>
        </w:rPr>
        <w:t xml:space="preserve">lose an opportunity to identify some of the </w:t>
      </w:r>
      <w:r w:rsidR="00196789">
        <w:rPr>
          <w:rFonts w:ascii="Times New Roman" w:eastAsia="Times New Roman" w:hAnsi="Times New Roman" w:cs="Times New Roman"/>
          <w:lang w:val="en-GB"/>
        </w:rPr>
        <w:t>opportunities and threats associated with the various conceptions of the practice</w:t>
      </w:r>
      <w:r w:rsidR="00207EBD">
        <w:rPr>
          <w:rFonts w:ascii="Times New Roman" w:eastAsia="Times New Roman" w:hAnsi="Times New Roman" w:cs="Times New Roman"/>
          <w:lang w:val="en-GB"/>
        </w:rPr>
        <w:t xml:space="preserve">. </w:t>
      </w:r>
    </w:p>
    <w:p w14:paraId="08C6A20F" w14:textId="77777777" w:rsidR="00405516" w:rsidRDefault="00405516" w:rsidP="00405516">
      <w:pPr>
        <w:pStyle w:val="Body1"/>
        <w:spacing w:line="480" w:lineRule="auto"/>
        <w:ind w:firstLine="720"/>
        <w:rPr>
          <w:rFonts w:ascii="Times New Roman" w:eastAsia="Times New Roman" w:hAnsi="Times New Roman" w:cs="Times New Roman"/>
          <w:lang w:val="en-GB"/>
        </w:rPr>
      </w:pPr>
    </w:p>
    <w:p w14:paraId="4743BE50" w14:textId="77777777" w:rsidR="00135CF6" w:rsidRDefault="005314D6" w:rsidP="00405516">
      <w:pPr>
        <w:pStyle w:val="Body1"/>
        <w:spacing w:line="480" w:lineRule="auto"/>
        <w:rPr>
          <w:rFonts w:ascii="Times New Roman" w:eastAsia="Times New Roman" w:hAnsi="Times New Roman" w:cs="Times New Roman"/>
          <w:lang w:val="en-GB"/>
        </w:rPr>
      </w:pPr>
      <w:r w:rsidRPr="005314D6">
        <w:rPr>
          <w:rFonts w:ascii="Times New Roman" w:eastAsia="Times New Roman" w:hAnsi="Times New Roman" w:cs="Times New Roman"/>
          <w:i/>
          <w:lang w:val="en-GB"/>
        </w:rPr>
        <w:t xml:space="preserve">PHEs and </w:t>
      </w:r>
      <w:r w:rsidR="00052220">
        <w:rPr>
          <w:rFonts w:ascii="Times New Roman" w:eastAsia="Times New Roman" w:hAnsi="Times New Roman" w:cs="Times New Roman"/>
          <w:i/>
          <w:lang w:val="en-GB"/>
        </w:rPr>
        <w:t>p</w:t>
      </w:r>
      <w:r w:rsidRPr="005314D6">
        <w:rPr>
          <w:rFonts w:ascii="Times New Roman" w:eastAsia="Times New Roman" w:hAnsi="Times New Roman" w:cs="Times New Roman"/>
          <w:i/>
          <w:lang w:val="en-GB"/>
        </w:rPr>
        <w:t xml:space="preserve">ublic </w:t>
      </w:r>
      <w:r>
        <w:rPr>
          <w:rFonts w:ascii="Times New Roman" w:eastAsia="Times New Roman" w:hAnsi="Times New Roman" w:cs="Times New Roman"/>
          <w:i/>
          <w:lang w:val="en-GB"/>
        </w:rPr>
        <w:t>(</w:t>
      </w:r>
      <w:r w:rsidR="00FF3A29">
        <w:rPr>
          <w:rFonts w:ascii="Times New Roman" w:eastAsia="Times New Roman" w:hAnsi="Times New Roman" w:cs="Times New Roman"/>
          <w:i/>
          <w:lang w:val="en-GB"/>
        </w:rPr>
        <w:t>h</w:t>
      </w:r>
      <w:r w:rsidRPr="005314D6">
        <w:rPr>
          <w:rFonts w:ascii="Times New Roman" w:eastAsia="Times New Roman" w:hAnsi="Times New Roman" w:cs="Times New Roman"/>
          <w:i/>
          <w:lang w:val="en-GB"/>
        </w:rPr>
        <w:t>ealth</w:t>
      </w:r>
      <w:r>
        <w:rPr>
          <w:rFonts w:ascii="Times New Roman" w:eastAsia="Times New Roman" w:hAnsi="Times New Roman" w:cs="Times New Roman"/>
          <w:i/>
          <w:lang w:val="en-GB"/>
        </w:rPr>
        <w:t>)</w:t>
      </w:r>
      <w:r w:rsidRPr="005314D6">
        <w:rPr>
          <w:rFonts w:ascii="Times New Roman" w:eastAsia="Times New Roman" w:hAnsi="Times New Roman" w:cs="Times New Roman"/>
          <w:i/>
          <w:lang w:val="en-GB"/>
        </w:rPr>
        <w:t xml:space="preserve"> </w:t>
      </w:r>
      <w:r w:rsidR="00FF3A29">
        <w:rPr>
          <w:rFonts w:ascii="Times New Roman" w:eastAsia="Times New Roman" w:hAnsi="Times New Roman" w:cs="Times New Roman"/>
          <w:i/>
          <w:lang w:val="en-GB"/>
        </w:rPr>
        <w:t>e</w:t>
      </w:r>
      <w:r w:rsidRPr="005314D6">
        <w:rPr>
          <w:rFonts w:ascii="Times New Roman" w:eastAsia="Times New Roman" w:hAnsi="Times New Roman" w:cs="Times New Roman"/>
          <w:i/>
          <w:lang w:val="en-GB"/>
        </w:rPr>
        <w:t xml:space="preserve">thics: </w:t>
      </w:r>
      <w:r w:rsidR="00FF3A29">
        <w:rPr>
          <w:rFonts w:ascii="Times New Roman" w:eastAsia="Times New Roman" w:hAnsi="Times New Roman" w:cs="Times New Roman"/>
          <w:i/>
          <w:lang w:val="en-GB"/>
        </w:rPr>
        <w:t>b</w:t>
      </w:r>
      <w:r w:rsidRPr="005314D6">
        <w:rPr>
          <w:rFonts w:ascii="Times New Roman" w:eastAsia="Times New Roman" w:hAnsi="Times New Roman" w:cs="Times New Roman"/>
          <w:i/>
          <w:lang w:val="en-GB"/>
        </w:rPr>
        <w:t xml:space="preserve">uilding a </w:t>
      </w:r>
      <w:r w:rsidR="00052220">
        <w:rPr>
          <w:rFonts w:ascii="Times New Roman" w:eastAsia="Times New Roman" w:hAnsi="Times New Roman" w:cs="Times New Roman"/>
          <w:i/>
          <w:lang w:val="en-GB"/>
        </w:rPr>
        <w:t>b</w:t>
      </w:r>
      <w:r w:rsidRPr="005314D6">
        <w:rPr>
          <w:rFonts w:ascii="Times New Roman" w:eastAsia="Times New Roman" w:hAnsi="Times New Roman" w:cs="Times New Roman"/>
          <w:i/>
          <w:lang w:val="en-GB"/>
        </w:rPr>
        <w:t xml:space="preserve">etter </w:t>
      </w:r>
      <w:r w:rsidR="00052220">
        <w:rPr>
          <w:rFonts w:ascii="Times New Roman" w:eastAsia="Times New Roman" w:hAnsi="Times New Roman" w:cs="Times New Roman"/>
          <w:i/>
          <w:lang w:val="en-GB"/>
        </w:rPr>
        <w:t>b</w:t>
      </w:r>
      <w:r w:rsidRPr="005314D6">
        <w:rPr>
          <w:rFonts w:ascii="Times New Roman" w:eastAsia="Times New Roman" w:hAnsi="Times New Roman" w:cs="Times New Roman"/>
          <w:i/>
          <w:lang w:val="en-GB"/>
        </w:rPr>
        <w:t>ioethics</w:t>
      </w:r>
      <w:r w:rsidR="00E53C8C">
        <w:rPr>
          <w:rFonts w:ascii="Times New Roman" w:eastAsia="Times New Roman" w:hAnsi="Times New Roman" w:cs="Times New Roman"/>
          <w:lang w:val="en-GB"/>
        </w:rPr>
        <w:tab/>
      </w:r>
    </w:p>
    <w:p w14:paraId="0CE8EAFE" w14:textId="783FC375" w:rsidR="00D52C55" w:rsidRDefault="00E53C8C" w:rsidP="0094060E">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lastRenderedPageBreak/>
        <w:t xml:space="preserve">What Elliott and Koch get right is the suggestion that </w:t>
      </w:r>
      <w:r w:rsidR="001D33A9">
        <w:rPr>
          <w:rFonts w:ascii="Times New Roman" w:eastAsia="Times New Roman" w:hAnsi="Times New Roman" w:cs="Times New Roman"/>
          <w:lang w:val="en-GB"/>
        </w:rPr>
        <w:t xml:space="preserve">PHEs </w:t>
      </w:r>
      <w:r w:rsidR="006D437E">
        <w:rPr>
          <w:rFonts w:ascii="Times New Roman" w:eastAsia="Times New Roman" w:hAnsi="Times New Roman" w:cs="Times New Roman"/>
          <w:lang w:val="en-GB"/>
        </w:rPr>
        <w:t xml:space="preserve">cannot escape the </w:t>
      </w:r>
      <w:r>
        <w:rPr>
          <w:rFonts w:ascii="Times New Roman" w:eastAsia="Times New Roman" w:hAnsi="Times New Roman" w:cs="Times New Roman"/>
          <w:lang w:val="en-GB"/>
        </w:rPr>
        <w:t>controversial, often political, questions</w:t>
      </w:r>
      <w:r w:rsidR="001D33A9">
        <w:rPr>
          <w:rFonts w:ascii="Times New Roman" w:eastAsia="Times New Roman" w:hAnsi="Times New Roman" w:cs="Times New Roman"/>
          <w:lang w:val="en-GB"/>
        </w:rPr>
        <w:t xml:space="preserve"> that ro</w:t>
      </w:r>
      <w:r w:rsidR="005E3865">
        <w:rPr>
          <w:rFonts w:ascii="Times New Roman" w:eastAsia="Times New Roman" w:hAnsi="Times New Roman" w:cs="Times New Roman"/>
          <w:lang w:val="en-GB"/>
        </w:rPr>
        <w:t>utinely arise in their practice. Conceding</w:t>
      </w:r>
      <w:r w:rsidR="00973585">
        <w:rPr>
          <w:rFonts w:ascii="Times New Roman" w:eastAsia="Times New Roman" w:hAnsi="Times New Roman" w:cs="Times New Roman"/>
          <w:lang w:val="en-GB"/>
        </w:rPr>
        <w:t xml:space="preserve"> this</w:t>
      </w:r>
      <w:r w:rsidR="005E3865">
        <w:rPr>
          <w:rFonts w:ascii="Times New Roman" w:eastAsia="Times New Roman" w:hAnsi="Times New Roman" w:cs="Times New Roman"/>
          <w:lang w:val="en-GB"/>
        </w:rPr>
        <w:t xml:space="preserve"> point </w:t>
      </w:r>
      <w:r w:rsidR="003E2A60">
        <w:rPr>
          <w:rFonts w:ascii="Times New Roman" w:eastAsia="Times New Roman" w:hAnsi="Times New Roman" w:cs="Times New Roman"/>
          <w:lang w:val="en-GB"/>
        </w:rPr>
        <w:t xml:space="preserve">might, however, </w:t>
      </w:r>
      <w:r w:rsidR="00D44ECE">
        <w:rPr>
          <w:rFonts w:ascii="Times New Roman" w:eastAsia="Times New Roman" w:hAnsi="Times New Roman" w:cs="Times New Roman"/>
          <w:lang w:val="en-GB"/>
        </w:rPr>
        <w:t>allow</w:t>
      </w:r>
      <w:r w:rsidR="003E2A60">
        <w:rPr>
          <w:rFonts w:ascii="Times New Roman" w:eastAsia="Times New Roman" w:hAnsi="Times New Roman" w:cs="Times New Roman"/>
          <w:lang w:val="en-GB"/>
        </w:rPr>
        <w:t xml:space="preserve"> an acknowledgement</w:t>
      </w:r>
      <w:r w:rsidR="005E3865">
        <w:rPr>
          <w:rFonts w:ascii="Times New Roman" w:eastAsia="Times New Roman" w:hAnsi="Times New Roman" w:cs="Times New Roman"/>
          <w:lang w:val="en-GB"/>
        </w:rPr>
        <w:t xml:space="preserve"> that t</w:t>
      </w:r>
      <w:r w:rsidR="00086EB0">
        <w:rPr>
          <w:rFonts w:ascii="Times New Roman" w:eastAsia="Times New Roman" w:hAnsi="Times New Roman" w:cs="Times New Roman"/>
          <w:lang w:val="en-GB"/>
        </w:rPr>
        <w:t xml:space="preserve">he term </w:t>
      </w:r>
      <w:r w:rsidR="00394524">
        <w:rPr>
          <w:rFonts w:ascii="Times New Roman" w:eastAsia="Times New Roman" w:hAnsi="Times New Roman" w:cs="Times New Roman"/>
          <w:lang w:val="en-GB"/>
        </w:rPr>
        <w:t xml:space="preserve">political </w:t>
      </w:r>
      <w:r w:rsidR="005E3865">
        <w:rPr>
          <w:rFonts w:ascii="Times New Roman" w:eastAsia="Times New Roman" w:hAnsi="Times New Roman" w:cs="Times New Roman"/>
          <w:lang w:val="en-GB"/>
        </w:rPr>
        <w:t xml:space="preserve">can be employed in an ecumenical way. To suggest that bioethics is a political practice </w:t>
      </w:r>
      <w:r w:rsidR="000169EF">
        <w:rPr>
          <w:rFonts w:ascii="Times New Roman" w:eastAsia="Times New Roman" w:hAnsi="Times New Roman" w:cs="Times New Roman"/>
          <w:lang w:val="en-GB"/>
        </w:rPr>
        <w:t>might</w:t>
      </w:r>
      <w:r w:rsidR="00990FF3">
        <w:rPr>
          <w:rFonts w:ascii="Times New Roman" w:eastAsia="Times New Roman" w:hAnsi="Times New Roman" w:cs="Times New Roman"/>
          <w:lang w:val="en-GB"/>
        </w:rPr>
        <w:t>, for example,</w:t>
      </w:r>
      <w:r w:rsidR="000169EF">
        <w:rPr>
          <w:rFonts w:ascii="Times New Roman" w:eastAsia="Times New Roman" w:hAnsi="Times New Roman" w:cs="Times New Roman"/>
          <w:lang w:val="en-GB"/>
        </w:rPr>
        <w:t xml:space="preserve"> reference</w:t>
      </w:r>
      <w:r w:rsidR="00394524">
        <w:rPr>
          <w:rFonts w:ascii="Times New Roman" w:eastAsia="Times New Roman" w:hAnsi="Times New Roman" w:cs="Times New Roman"/>
          <w:lang w:val="en-GB"/>
        </w:rPr>
        <w:t xml:space="preserve"> the </w:t>
      </w:r>
      <w:r w:rsidR="006A4770">
        <w:rPr>
          <w:rFonts w:ascii="Times New Roman" w:eastAsia="Times New Roman" w:hAnsi="Times New Roman" w:cs="Times New Roman"/>
          <w:lang w:val="en-GB"/>
        </w:rPr>
        <w:t xml:space="preserve">kinds of </w:t>
      </w:r>
      <w:r w:rsidR="00394524">
        <w:rPr>
          <w:rFonts w:ascii="Times New Roman" w:eastAsia="Times New Roman" w:hAnsi="Times New Roman" w:cs="Times New Roman"/>
          <w:lang w:val="en-GB"/>
        </w:rPr>
        <w:t xml:space="preserve">partisan debates that </w:t>
      </w:r>
      <w:r w:rsidR="00990FF3">
        <w:rPr>
          <w:rFonts w:ascii="Times New Roman" w:eastAsia="Times New Roman" w:hAnsi="Times New Roman" w:cs="Times New Roman"/>
          <w:lang w:val="en-GB"/>
        </w:rPr>
        <w:t>bio</w:t>
      </w:r>
      <w:r w:rsidR="00394524">
        <w:rPr>
          <w:rFonts w:ascii="Times New Roman" w:eastAsia="Times New Roman" w:hAnsi="Times New Roman" w:cs="Times New Roman"/>
          <w:lang w:val="en-GB"/>
        </w:rPr>
        <w:t>ethicis</w:t>
      </w:r>
      <w:r w:rsidR="006A4770">
        <w:rPr>
          <w:rFonts w:ascii="Times New Roman" w:eastAsia="Times New Roman" w:hAnsi="Times New Roman" w:cs="Times New Roman"/>
          <w:lang w:val="en-GB"/>
        </w:rPr>
        <w:t>ts waded</w:t>
      </w:r>
      <w:r w:rsidR="00394524">
        <w:rPr>
          <w:rFonts w:ascii="Times New Roman" w:eastAsia="Times New Roman" w:hAnsi="Times New Roman" w:cs="Times New Roman"/>
          <w:lang w:val="en-GB"/>
        </w:rPr>
        <w:t xml:space="preserve"> in</w:t>
      </w:r>
      <w:r w:rsidR="006A4770">
        <w:rPr>
          <w:rFonts w:ascii="Times New Roman" w:eastAsia="Times New Roman" w:hAnsi="Times New Roman" w:cs="Times New Roman"/>
          <w:lang w:val="en-GB"/>
        </w:rPr>
        <w:t>to during the years that Leon Kass</w:t>
      </w:r>
      <w:r w:rsidR="00990FF3">
        <w:rPr>
          <w:rFonts w:ascii="Times New Roman" w:eastAsia="Times New Roman" w:hAnsi="Times New Roman" w:cs="Times New Roman"/>
          <w:lang w:val="en-GB"/>
        </w:rPr>
        <w:t xml:space="preserve"> </w:t>
      </w:r>
      <w:r w:rsidR="006A4770">
        <w:rPr>
          <w:rFonts w:ascii="Times New Roman" w:eastAsia="Times New Roman" w:hAnsi="Times New Roman" w:cs="Times New Roman"/>
          <w:lang w:val="en-GB"/>
        </w:rPr>
        <w:t>led George W</w:t>
      </w:r>
      <w:r w:rsidR="00964782">
        <w:rPr>
          <w:rFonts w:ascii="Times New Roman" w:eastAsia="Times New Roman" w:hAnsi="Times New Roman" w:cs="Times New Roman"/>
          <w:lang w:val="en-GB"/>
        </w:rPr>
        <w:t>.</w:t>
      </w:r>
      <w:r w:rsidR="006A4770">
        <w:rPr>
          <w:rFonts w:ascii="Times New Roman" w:eastAsia="Times New Roman" w:hAnsi="Times New Roman" w:cs="Times New Roman"/>
          <w:lang w:val="en-GB"/>
        </w:rPr>
        <w:t xml:space="preserve"> Bush’s newly created </w:t>
      </w:r>
      <w:r w:rsidR="00394524">
        <w:rPr>
          <w:rFonts w:ascii="Times New Roman" w:eastAsia="Times New Roman" w:hAnsi="Times New Roman" w:cs="Times New Roman"/>
          <w:lang w:val="en-GB"/>
        </w:rPr>
        <w:t>President’</w:t>
      </w:r>
      <w:r w:rsidR="00E12813">
        <w:rPr>
          <w:rFonts w:ascii="Times New Roman" w:eastAsia="Times New Roman" w:hAnsi="Times New Roman" w:cs="Times New Roman"/>
          <w:lang w:val="en-GB"/>
        </w:rPr>
        <w:t xml:space="preserve">s Council on Bioethics. </w:t>
      </w:r>
      <w:r w:rsidR="005E3865">
        <w:rPr>
          <w:rFonts w:ascii="Times New Roman" w:eastAsia="Times New Roman" w:hAnsi="Times New Roman" w:cs="Times New Roman"/>
          <w:lang w:val="en-GB"/>
        </w:rPr>
        <w:t>As is well known, t</w:t>
      </w:r>
      <w:r w:rsidR="002C7BE3">
        <w:rPr>
          <w:rFonts w:ascii="Times New Roman" w:eastAsia="Times New Roman" w:hAnsi="Times New Roman" w:cs="Times New Roman"/>
          <w:lang w:val="en-GB"/>
        </w:rPr>
        <w:t>hat c</w:t>
      </w:r>
      <w:r w:rsidR="00990FF3">
        <w:rPr>
          <w:rFonts w:ascii="Times New Roman" w:eastAsia="Times New Roman" w:hAnsi="Times New Roman" w:cs="Times New Roman"/>
          <w:lang w:val="en-GB"/>
        </w:rPr>
        <w:t xml:space="preserve">ouncil </w:t>
      </w:r>
      <w:r w:rsidR="000169EF">
        <w:rPr>
          <w:rFonts w:ascii="Times New Roman" w:eastAsia="Times New Roman" w:hAnsi="Times New Roman" w:cs="Times New Roman"/>
          <w:lang w:val="en-GB"/>
        </w:rPr>
        <w:t>w</w:t>
      </w:r>
      <w:r w:rsidR="00575199">
        <w:rPr>
          <w:rFonts w:ascii="Times New Roman" w:eastAsia="Times New Roman" w:hAnsi="Times New Roman" w:cs="Times New Roman"/>
          <w:lang w:val="en-GB"/>
        </w:rPr>
        <w:t>as not</w:t>
      </w:r>
      <w:r w:rsidR="002C7BE3">
        <w:rPr>
          <w:rFonts w:ascii="Times New Roman" w:eastAsia="Times New Roman" w:hAnsi="Times New Roman" w:cs="Times New Roman"/>
          <w:lang w:val="en-GB"/>
        </w:rPr>
        <w:t>eworthy</w:t>
      </w:r>
      <w:r w:rsidR="006A4770">
        <w:rPr>
          <w:rFonts w:ascii="Times New Roman" w:eastAsia="Times New Roman" w:hAnsi="Times New Roman" w:cs="Times New Roman"/>
          <w:lang w:val="en-GB"/>
        </w:rPr>
        <w:t xml:space="preserve"> </w:t>
      </w:r>
      <w:r w:rsidR="00990FF3">
        <w:rPr>
          <w:rFonts w:ascii="Times New Roman" w:eastAsia="Times New Roman" w:hAnsi="Times New Roman" w:cs="Times New Roman"/>
          <w:lang w:val="en-GB"/>
        </w:rPr>
        <w:t>for its ability to</w:t>
      </w:r>
      <w:r w:rsidR="007F433B">
        <w:rPr>
          <w:rFonts w:ascii="Times New Roman" w:eastAsia="Times New Roman" w:hAnsi="Times New Roman" w:cs="Times New Roman"/>
          <w:lang w:val="en-GB"/>
        </w:rPr>
        <w:t xml:space="preserve"> move a </w:t>
      </w:r>
      <w:r w:rsidR="006A4770">
        <w:rPr>
          <w:rFonts w:ascii="Times New Roman" w:eastAsia="Times New Roman" w:hAnsi="Times New Roman" w:cs="Times New Roman"/>
          <w:lang w:val="en-GB"/>
        </w:rPr>
        <w:t xml:space="preserve">conservative </w:t>
      </w:r>
      <w:r w:rsidR="007F433B">
        <w:rPr>
          <w:rFonts w:ascii="Times New Roman" w:eastAsia="Times New Roman" w:hAnsi="Times New Roman" w:cs="Times New Roman"/>
          <w:lang w:val="en-GB"/>
        </w:rPr>
        <w:t xml:space="preserve">political </w:t>
      </w:r>
      <w:r w:rsidR="006A4770">
        <w:rPr>
          <w:rFonts w:ascii="Times New Roman" w:eastAsia="Times New Roman" w:hAnsi="Times New Roman" w:cs="Times New Roman"/>
          <w:lang w:val="en-GB"/>
        </w:rPr>
        <w:t>agenda forward</w:t>
      </w:r>
      <w:r w:rsidR="00964782">
        <w:rPr>
          <w:rFonts w:ascii="Times New Roman" w:eastAsia="Times New Roman" w:hAnsi="Times New Roman" w:cs="Times New Roman"/>
          <w:lang w:val="en-GB"/>
        </w:rPr>
        <w:t>,</w:t>
      </w:r>
      <w:r w:rsidR="006A4770">
        <w:rPr>
          <w:rFonts w:ascii="Times New Roman" w:eastAsia="Times New Roman" w:hAnsi="Times New Roman" w:cs="Times New Roman"/>
          <w:lang w:val="en-GB"/>
        </w:rPr>
        <w:t xml:space="preserve"> and had a particular interest in inhibiting embryonic stem cell </w:t>
      </w:r>
      <w:r w:rsidR="000169EF">
        <w:rPr>
          <w:rFonts w:ascii="Times New Roman" w:eastAsia="Times New Roman" w:hAnsi="Times New Roman" w:cs="Times New Roman"/>
          <w:lang w:val="en-GB"/>
        </w:rPr>
        <w:t>research</w:t>
      </w:r>
      <w:r w:rsidR="006A4770">
        <w:rPr>
          <w:rFonts w:ascii="Times New Roman" w:eastAsia="Times New Roman" w:hAnsi="Times New Roman" w:cs="Times New Roman"/>
          <w:lang w:val="en-GB"/>
        </w:rPr>
        <w:t xml:space="preserve"> and therapeutic cloning.</w:t>
      </w:r>
      <w:r w:rsidR="002C7BE3">
        <w:rPr>
          <w:rStyle w:val="FootnoteReference"/>
          <w:rFonts w:ascii="Times New Roman" w:eastAsia="Times New Roman" w:hAnsi="Times New Roman" w:cs="Times New Roman"/>
          <w:lang w:val="en-GB"/>
        </w:rPr>
        <w:footnoteReference w:id="110"/>
      </w:r>
      <w:r w:rsidR="006A4770">
        <w:rPr>
          <w:rFonts w:ascii="Times New Roman" w:eastAsia="Times New Roman" w:hAnsi="Times New Roman" w:cs="Times New Roman"/>
          <w:lang w:val="en-GB"/>
        </w:rPr>
        <w:t xml:space="preserve"> </w:t>
      </w:r>
      <w:r w:rsidR="00F376E1">
        <w:rPr>
          <w:rFonts w:ascii="Times New Roman" w:eastAsia="Times New Roman" w:hAnsi="Times New Roman" w:cs="Times New Roman"/>
          <w:lang w:val="en-GB"/>
        </w:rPr>
        <w:t xml:space="preserve">Bioethics </w:t>
      </w:r>
      <w:r w:rsidR="00575199">
        <w:rPr>
          <w:rFonts w:ascii="Times New Roman" w:eastAsia="Times New Roman" w:hAnsi="Times New Roman" w:cs="Times New Roman"/>
          <w:lang w:val="en-GB"/>
        </w:rPr>
        <w:t xml:space="preserve">need not, however, be this sort of explicitly </w:t>
      </w:r>
      <w:r w:rsidR="00F376E1">
        <w:rPr>
          <w:rFonts w:ascii="Times New Roman" w:eastAsia="Times New Roman" w:hAnsi="Times New Roman" w:cs="Times New Roman"/>
          <w:lang w:val="en-GB"/>
        </w:rPr>
        <w:t xml:space="preserve">partisan endeavour </w:t>
      </w:r>
      <w:r w:rsidR="00575199">
        <w:rPr>
          <w:rFonts w:ascii="Times New Roman" w:eastAsia="Times New Roman" w:hAnsi="Times New Roman" w:cs="Times New Roman"/>
          <w:lang w:val="en-GB"/>
        </w:rPr>
        <w:t xml:space="preserve">to qualify </w:t>
      </w:r>
      <w:r w:rsidR="009A0C09">
        <w:rPr>
          <w:rFonts w:ascii="Times New Roman" w:eastAsia="Times New Roman" w:hAnsi="Times New Roman" w:cs="Times New Roman"/>
          <w:lang w:val="en-GB"/>
        </w:rPr>
        <w:t>as political in nature. A</w:t>
      </w:r>
      <w:r w:rsidR="00F376E1">
        <w:rPr>
          <w:rFonts w:ascii="Times New Roman" w:eastAsia="Times New Roman" w:hAnsi="Times New Roman" w:cs="Times New Roman"/>
          <w:lang w:val="en-GB"/>
        </w:rPr>
        <w:t xml:space="preserve">s </w:t>
      </w:r>
      <w:r w:rsidR="00F32A84">
        <w:rPr>
          <w:rFonts w:ascii="Times New Roman" w:eastAsia="Times New Roman" w:hAnsi="Times New Roman" w:cs="Times New Roman"/>
          <w:lang w:val="en-GB"/>
        </w:rPr>
        <w:t xml:space="preserve">Mark </w:t>
      </w:r>
      <w:r w:rsidR="00575199">
        <w:rPr>
          <w:rFonts w:ascii="Times New Roman" w:eastAsia="Times New Roman" w:hAnsi="Times New Roman" w:cs="Times New Roman"/>
          <w:lang w:val="en-GB"/>
        </w:rPr>
        <w:t>Brown</w:t>
      </w:r>
      <w:r w:rsidR="009A0C09">
        <w:rPr>
          <w:rFonts w:ascii="Times New Roman" w:eastAsia="Times New Roman" w:hAnsi="Times New Roman" w:cs="Times New Roman"/>
          <w:lang w:val="en-GB"/>
        </w:rPr>
        <w:t xml:space="preserve"> has </w:t>
      </w:r>
      <w:r w:rsidR="00575199">
        <w:rPr>
          <w:rFonts w:ascii="Times New Roman" w:eastAsia="Times New Roman" w:hAnsi="Times New Roman" w:cs="Times New Roman"/>
          <w:lang w:val="en-GB"/>
        </w:rPr>
        <w:t>argued in “Three Ways to Politicize Bioethics</w:t>
      </w:r>
      <w:r w:rsidR="00964782">
        <w:rPr>
          <w:rFonts w:ascii="Times New Roman" w:eastAsia="Times New Roman" w:hAnsi="Times New Roman" w:cs="Times New Roman"/>
          <w:lang w:val="en-GB"/>
        </w:rPr>
        <w:t>,</w:t>
      </w:r>
      <w:r w:rsidR="00575199">
        <w:rPr>
          <w:rFonts w:ascii="Times New Roman" w:eastAsia="Times New Roman" w:hAnsi="Times New Roman" w:cs="Times New Roman"/>
          <w:lang w:val="en-GB"/>
        </w:rPr>
        <w:t xml:space="preserve">” </w:t>
      </w:r>
      <w:r w:rsidR="00973585">
        <w:rPr>
          <w:rFonts w:ascii="Times New Roman" w:eastAsia="Times New Roman" w:hAnsi="Times New Roman" w:cs="Times New Roman"/>
          <w:lang w:val="en-GB"/>
        </w:rPr>
        <w:t>terms like</w:t>
      </w:r>
      <w:r w:rsidR="009A0C09">
        <w:rPr>
          <w:rFonts w:ascii="Times New Roman" w:eastAsia="Times New Roman" w:hAnsi="Times New Roman" w:cs="Times New Roman"/>
          <w:lang w:val="en-GB"/>
        </w:rPr>
        <w:t xml:space="preserve"> </w:t>
      </w:r>
      <w:r w:rsidR="0094060E">
        <w:rPr>
          <w:rFonts w:ascii="Times New Roman" w:eastAsia="Times New Roman" w:hAnsi="Times New Roman" w:cs="Times New Roman"/>
          <w:lang w:val="en-GB"/>
        </w:rPr>
        <w:t>“</w:t>
      </w:r>
      <w:r w:rsidR="009A0C09">
        <w:rPr>
          <w:rFonts w:ascii="Times New Roman" w:eastAsia="Times New Roman" w:hAnsi="Times New Roman" w:cs="Times New Roman"/>
          <w:lang w:val="en-GB"/>
        </w:rPr>
        <w:t>political</w:t>
      </w:r>
      <w:r w:rsidR="0094060E">
        <w:rPr>
          <w:rFonts w:ascii="Times New Roman" w:eastAsia="Times New Roman" w:hAnsi="Times New Roman" w:cs="Times New Roman"/>
          <w:lang w:val="en-GB"/>
        </w:rPr>
        <w:t>”</w:t>
      </w:r>
      <w:r w:rsidR="009A0C09">
        <w:rPr>
          <w:rFonts w:ascii="Times New Roman" w:eastAsia="Times New Roman" w:hAnsi="Times New Roman" w:cs="Times New Roman"/>
          <w:lang w:val="en-GB"/>
        </w:rPr>
        <w:t xml:space="preserve"> and politicization </w:t>
      </w:r>
      <w:r w:rsidR="00973585">
        <w:rPr>
          <w:rFonts w:ascii="Times New Roman" w:eastAsia="Times New Roman" w:hAnsi="Times New Roman" w:cs="Times New Roman"/>
          <w:lang w:val="en-GB"/>
        </w:rPr>
        <w:t>are contested concepts</w:t>
      </w:r>
      <w:r w:rsidR="0094060E">
        <w:rPr>
          <w:rFonts w:ascii="Times New Roman" w:eastAsia="Times New Roman" w:hAnsi="Times New Roman" w:cs="Times New Roman"/>
          <w:lang w:val="en-GB"/>
        </w:rPr>
        <w:t xml:space="preserve"> and “[w]hat counts as political often becomes a political question itself.”</w:t>
      </w:r>
      <w:r w:rsidR="00973585">
        <w:rPr>
          <w:rStyle w:val="FootnoteReference"/>
          <w:rFonts w:ascii="Times New Roman" w:eastAsia="Times New Roman" w:hAnsi="Times New Roman" w:cs="Times New Roman"/>
          <w:lang w:val="en-GB"/>
        </w:rPr>
        <w:footnoteReference w:id="111"/>
      </w:r>
      <w:r w:rsidR="0094060E">
        <w:rPr>
          <w:rFonts w:ascii="Times New Roman" w:eastAsia="Times New Roman" w:hAnsi="Times New Roman" w:cs="Times New Roman"/>
          <w:lang w:val="en-GB"/>
        </w:rPr>
        <w:t xml:space="preserve"> The following passage, </w:t>
      </w:r>
      <w:r w:rsidR="00D52C55">
        <w:rPr>
          <w:rFonts w:ascii="Times New Roman" w:eastAsia="Times New Roman" w:hAnsi="Times New Roman" w:cs="Times New Roman"/>
          <w:lang w:val="en-GB"/>
        </w:rPr>
        <w:t xml:space="preserve">which draws upon the insights of political </w:t>
      </w:r>
      <w:r w:rsidR="00973585">
        <w:rPr>
          <w:rFonts w:ascii="Times New Roman" w:eastAsia="Times New Roman" w:hAnsi="Times New Roman" w:cs="Times New Roman"/>
          <w:lang w:val="en-GB"/>
        </w:rPr>
        <w:t>theorist</w:t>
      </w:r>
      <w:r w:rsidR="00204F30">
        <w:rPr>
          <w:rFonts w:ascii="Times New Roman" w:eastAsia="Times New Roman" w:hAnsi="Times New Roman" w:cs="Times New Roman"/>
          <w:lang w:val="en-GB"/>
        </w:rPr>
        <w:t xml:space="preserve"> </w:t>
      </w:r>
      <w:r w:rsidR="00D52C55">
        <w:rPr>
          <w:rFonts w:ascii="Times New Roman" w:eastAsia="Times New Roman" w:hAnsi="Times New Roman" w:cs="Times New Roman"/>
          <w:lang w:val="en-GB"/>
        </w:rPr>
        <w:t>M</w:t>
      </w:r>
      <w:r w:rsidR="00204F30">
        <w:rPr>
          <w:rFonts w:ascii="Times New Roman" w:eastAsia="Times New Roman" w:hAnsi="Times New Roman" w:cs="Times New Roman"/>
          <w:lang w:val="en-GB"/>
        </w:rPr>
        <w:t>.</w:t>
      </w:r>
      <w:r w:rsidR="00D52C55">
        <w:rPr>
          <w:rFonts w:ascii="Times New Roman" w:eastAsia="Times New Roman" w:hAnsi="Times New Roman" w:cs="Times New Roman"/>
          <w:lang w:val="en-GB"/>
        </w:rPr>
        <w:t>E</w:t>
      </w:r>
      <w:r w:rsidR="00204F30">
        <w:rPr>
          <w:rFonts w:ascii="Times New Roman" w:eastAsia="Times New Roman" w:hAnsi="Times New Roman" w:cs="Times New Roman"/>
          <w:lang w:val="en-GB"/>
        </w:rPr>
        <w:t>.</w:t>
      </w:r>
      <w:r w:rsidR="00964782">
        <w:rPr>
          <w:rFonts w:ascii="Times New Roman" w:eastAsia="Times New Roman" w:hAnsi="Times New Roman" w:cs="Times New Roman"/>
          <w:lang w:val="en-GB"/>
        </w:rPr>
        <w:t xml:space="preserve"> </w:t>
      </w:r>
      <w:r w:rsidR="00D52C55">
        <w:rPr>
          <w:rFonts w:ascii="Times New Roman" w:eastAsia="Times New Roman" w:hAnsi="Times New Roman" w:cs="Times New Roman"/>
          <w:lang w:val="en-GB"/>
        </w:rPr>
        <w:t>Warren</w:t>
      </w:r>
      <w:r w:rsidR="0094060E">
        <w:rPr>
          <w:rFonts w:ascii="Times New Roman" w:eastAsia="Times New Roman" w:hAnsi="Times New Roman" w:cs="Times New Roman"/>
          <w:lang w:val="en-GB"/>
        </w:rPr>
        <w:t>, seems apt for our purposes</w:t>
      </w:r>
      <w:r w:rsidR="00204F30">
        <w:rPr>
          <w:rFonts w:ascii="Times New Roman" w:eastAsia="Times New Roman" w:hAnsi="Times New Roman" w:cs="Times New Roman"/>
          <w:lang w:val="en-GB"/>
        </w:rPr>
        <w:t xml:space="preserve"> because it encourages reflection on the way</w:t>
      </w:r>
      <w:r w:rsidR="0094060E">
        <w:rPr>
          <w:rFonts w:ascii="Times New Roman" w:eastAsia="Times New Roman" w:hAnsi="Times New Roman" w:cs="Times New Roman"/>
          <w:lang w:val="en-GB"/>
        </w:rPr>
        <w:t xml:space="preserve"> that politics intersects with bioethics</w:t>
      </w:r>
      <w:r w:rsidR="00D52C55">
        <w:rPr>
          <w:rFonts w:ascii="Times New Roman" w:eastAsia="Times New Roman" w:hAnsi="Times New Roman" w:cs="Times New Roman"/>
          <w:lang w:val="en-GB"/>
        </w:rPr>
        <w:t>:</w:t>
      </w:r>
    </w:p>
    <w:p w14:paraId="5E8BC346" w14:textId="77777777" w:rsidR="00F32A84" w:rsidRDefault="00867DA1" w:rsidP="00A33396">
      <w:pPr>
        <w:pStyle w:val="Body1"/>
        <w:ind w:left="720"/>
        <w:rPr>
          <w:rFonts w:ascii="Times New Roman" w:eastAsia="Times New Roman" w:hAnsi="Times New Roman" w:cs="Times New Roman"/>
          <w:lang w:val="en-GB"/>
        </w:rPr>
      </w:pPr>
      <w:r>
        <w:rPr>
          <w:rFonts w:ascii="Times New Roman" w:eastAsia="Times New Roman" w:hAnsi="Times New Roman" w:cs="Times New Roman"/>
          <w:lang w:val="en-GB"/>
        </w:rPr>
        <w:t xml:space="preserve">. . . </w:t>
      </w:r>
      <w:r w:rsidR="00D52C55">
        <w:rPr>
          <w:rFonts w:ascii="Times New Roman" w:eastAsia="Times New Roman" w:hAnsi="Times New Roman" w:cs="Times New Roman"/>
          <w:lang w:val="en-GB"/>
        </w:rPr>
        <w:t xml:space="preserve">politics is a subset of social relations in which people </w:t>
      </w:r>
      <w:r w:rsidR="00802155">
        <w:rPr>
          <w:rFonts w:ascii="Times New Roman" w:eastAsia="Times New Roman" w:hAnsi="Times New Roman" w:cs="Times New Roman"/>
          <w:lang w:val="en-GB"/>
        </w:rPr>
        <w:t xml:space="preserve">face pressure to undertake collective action in the context of conflict over the means, goals, </w:t>
      </w:r>
      <w:r w:rsidR="00802155">
        <w:rPr>
          <w:rFonts w:ascii="Times New Roman" w:eastAsia="Times New Roman" w:hAnsi="Times New Roman" w:cs="Times New Roman"/>
          <w:lang w:val="en-GB"/>
        </w:rPr>
        <w:lastRenderedPageBreak/>
        <w:t>or domain of their activity, where at least one party seeks to resolve the conflict</w:t>
      </w:r>
      <w:r w:rsidR="00204F30">
        <w:rPr>
          <w:rFonts w:ascii="Times New Roman" w:eastAsia="Times New Roman" w:hAnsi="Times New Roman" w:cs="Times New Roman"/>
          <w:lang w:val="en-GB"/>
        </w:rPr>
        <w:t xml:space="preserve"> through the exercise of power. Power may be physical, economic, or cultural. It may be exercised directly through command or indirectly through structuring people’s ch</w:t>
      </w:r>
      <w:r w:rsidR="00787E93">
        <w:rPr>
          <w:rFonts w:ascii="Times New Roman" w:eastAsia="Times New Roman" w:hAnsi="Times New Roman" w:cs="Times New Roman"/>
          <w:lang w:val="en-GB"/>
        </w:rPr>
        <w:t xml:space="preserve">oices, interests, or identities . . . </w:t>
      </w:r>
      <w:r w:rsidR="00204F30">
        <w:rPr>
          <w:rFonts w:ascii="Times New Roman" w:eastAsia="Times New Roman" w:hAnsi="Times New Roman" w:cs="Times New Roman"/>
          <w:lang w:val="en-GB"/>
        </w:rPr>
        <w:t>the common feature of different forms of power is that they elicit compliance of some with the aims of others. Because bioethical dilemmas are often intertwined with power, and because they often involve conflicts of value, interest, opinion, or worldview, bioethics today is easily politicized.</w:t>
      </w:r>
      <w:r w:rsidR="00973585">
        <w:rPr>
          <w:rStyle w:val="FootnoteReference"/>
          <w:rFonts w:ascii="Times New Roman" w:eastAsia="Times New Roman" w:hAnsi="Times New Roman" w:cs="Times New Roman"/>
          <w:lang w:val="en-GB"/>
        </w:rPr>
        <w:footnoteReference w:id="112"/>
      </w:r>
      <w:r w:rsidR="00204F30">
        <w:rPr>
          <w:rFonts w:ascii="Times New Roman" w:eastAsia="Times New Roman" w:hAnsi="Times New Roman" w:cs="Times New Roman"/>
          <w:lang w:val="en-GB"/>
        </w:rPr>
        <w:t xml:space="preserve">  </w:t>
      </w:r>
    </w:p>
    <w:p w14:paraId="32CF4CB1" w14:textId="77777777" w:rsidR="00F376E1" w:rsidRDefault="00204F30" w:rsidP="00A33396">
      <w:pPr>
        <w:pStyle w:val="Body1"/>
        <w:ind w:left="720"/>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sidR="0094060E">
        <w:rPr>
          <w:rFonts w:ascii="Times New Roman" w:eastAsia="Times New Roman" w:hAnsi="Times New Roman" w:cs="Times New Roman"/>
          <w:lang w:val="en-GB"/>
        </w:rPr>
        <w:t xml:space="preserve">    </w:t>
      </w:r>
    </w:p>
    <w:p w14:paraId="55BDEA3B" w14:textId="77777777" w:rsidR="00196789" w:rsidRPr="00135CF6" w:rsidRDefault="00204F30" w:rsidP="00135CF6">
      <w:pPr>
        <w:pStyle w:val="Body1"/>
        <w:spacing w:line="480" w:lineRule="auto"/>
        <w:ind w:firstLine="720"/>
        <w:rPr>
          <w:rFonts w:ascii="Times New Roman" w:eastAsia="Times New Roman" w:hAnsi="Times New Roman" w:cs="Times New Roman"/>
          <w:i/>
          <w:lang w:val="en-GB"/>
        </w:rPr>
      </w:pPr>
      <w:r>
        <w:rPr>
          <w:rFonts w:ascii="Times New Roman" w:eastAsia="Times New Roman" w:hAnsi="Times New Roman" w:cs="Times New Roman"/>
          <w:lang w:val="en-GB"/>
        </w:rPr>
        <w:t xml:space="preserve"> </w:t>
      </w:r>
      <w:r w:rsidR="00A33396">
        <w:rPr>
          <w:rFonts w:ascii="Times New Roman" w:eastAsia="Times New Roman" w:hAnsi="Times New Roman" w:cs="Times New Roman"/>
          <w:lang w:val="en-GB"/>
        </w:rPr>
        <w:t xml:space="preserve">Brown’s view might also </w:t>
      </w:r>
      <w:r w:rsidR="00964782">
        <w:rPr>
          <w:rFonts w:ascii="Times New Roman" w:eastAsia="Times New Roman" w:hAnsi="Times New Roman" w:cs="Times New Roman"/>
          <w:lang w:val="en-GB"/>
        </w:rPr>
        <w:t>accommodate</w:t>
      </w:r>
      <w:r w:rsidR="00A33396">
        <w:rPr>
          <w:rFonts w:ascii="Times New Roman" w:eastAsia="Times New Roman" w:hAnsi="Times New Roman" w:cs="Times New Roman"/>
          <w:lang w:val="en-GB"/>
        </w:rPr>
        <w:t xml:space="preserve"> a further</w:t>
      </w:r>
      <w:r w:rsidR="00086EB0">
        <w:rPr>
          <w:rFonts w:ascii="Times New Roman" w:eastAsia="Times New Roman" w:hAnsi="Times New Roman" w:cs="Times New Roman"/>
          <w:lang w:val="en-GB"/>
        </w:rPr>
        <w:t xml:space="preserve"> bit of equivocation</w:t>
      </w:r>
      <w:r w:rsidR="00A33396">
        <w:rPr>
          <w:rFonts w:ascii="Times New Roman" w:eastAsia="Times New Roman" w:hAnsi="Times New Roman" w:cs="Times New Roman"/>
          <w:lang w:val="en-GB"/>
        </w:rPr>
        <w:t xml:space="preserve"> on the </w:t>
      </w:r>
      <w:r w:rsidR="004E7A8A">
        <w:rPr>
          <w:rFonts w:ascii="Times New Roman" w:eastAsia="Times New Roman" w:hAnsi="Times New Roman" w:cs="Times New Roman"/>
          <w:lang w:val="en-GB"/>
        </w:rPr>
        <w:t xml:space="preserve">meaning of the </w:t>
      </w:r>
      <w:r w:rsidR="00A33396">
        <w:rPr>
          <w:rFonts w:ascii="Times New Roman" w:eastAsia="Times New Roman" w:hAnsi="Times New Roman" w:cs="Times New Roman"/>
          <w:lang w:val="en-GB"/>
        </w:rPr>
        <w:t xml:space="preserve">term </w:t>
      </w:r>
      <w:r w:rsidR="00964782">
        <w:rPr>
          <w:rFonts w:ascii="Times New Roman" w:eastAsia="Times New Roman" w:hAnsi="Times New Roman" w:cs="Times New Roman"/>
          <w:lang w:val="en-GB"/>
        </w:rPr>
        <w:t>“</w:t>
      </w:r>
      <w:r w:rsidR="00A33396">
        <w:rPr>
          <w:rFonts w:ascii="Times New Roman" w:eastAsia="Times New Roman" w:hAnsi="Times New Roman" w:cs="Times New Roman"/>
          <w:lang w:val="en-GB"/>
        </w:rPr>
        <w:t>politics</w:t>
      </w:r>
      <w:r w:rsidR="00086EB0">
        <w:rPr>
          <w:rFonts w:ascii="Times New Roman" w:eastAsia="Times New Roman" w:hAnsi="Times New Roman" w:cs="Times New Roman"/>
          <w:lang w:val="en-GB"/>
        </w:rPr>
        <w:t>.</w:t>
      </w:r>
      <w:r w:rsidR="00964782">
        <w:rPr>
          <w:rFonts w:ascii="Times New Roman" w:eastAsia="Times New Roman" w:hAnsi="Times New Roman" w:cs="Times New Roman"/>
          <w:lang w:val="en-GB"/>
        </w:rPr>
        <w:t>” That is, it might reference</w:t>
      </w:r>
      <w:r w:rsidR="00086EB0">
        <w:rPr>
          <w:rFonts w:ascii="Times New Roman" w:eastAsia="Times New Roman" w:hAnsi="Times New Roman" w:cs="Times New Roman"/>
          <w:lang w:val="en-GB"/>
        </w:rPr>
        <w:t xml:space="preserve"> the way that the personal circum</w:t>
      </w:r>
      <w:r w:rsidR="00C93337">
        <w:rPr>
          <w:rFonts w:ascii="Times New Roman" w:eastAsia="Times New Roman" w:hAnsi="Times New Roman" w:cs="Times New Roman"/>
          <w:lang w:val="en-GB"/>
        </w:rPr>
        <w:t>stances of patients necessitate, or ought to invite,</w:t>
      </w:r>
      <w:r w:rsidR="007F433B">
        <w:rPr>
          <w:rFonts w:ascii="Times New Roman" w:eastAsia="Times New Roman" w:hAnsi="Times New Roman" w:cs="Times New Roman"/>
          <w:lang w:val="en-GB"/>
        </w:rPr>
        <w:t xml:space="preserve"> </w:t>
      </w:r>
      <w:r w:rsidR="00964782">
        <w:rPr>
          <w:rFonts w:ascii="Times New Roman" w:eastAsia="Times New Roman" w:hAnsi="Times New Roman" w:cs="Times New Roman"/>
          <w:lang w:val="en-GB"/>
        </w:rPr>
        <w:t xml:space="preserve">consideration of </w:t>
      </w:r>
      <w:r w:rsidR="00C93337">
        <w:rPr>
          <w:rFonts w:ascii="Times New Roman" w:eastAsia="Times New Roman" w:hAnsi="Times New Roman" w:cs="Times New Roman"/>
          <w:lang w:val="en-GB"/>
        </w:rPr>
        <w:t>wider societal concerns (</w:t>
      </w:r>
      <w:r w:rsidR="00552D6B">
        <w:rPr>
          <w:rFonts w:ascii="Times New Roman" w:eastAsia="Times New Roman" w:hAnsi="Times New Roman" w:cs="Times New Roman"/>
          <w:lang w:val="en-GB"/>
        </w:rPr>
        <w:t>what was meant by the old rallying cry</w:t>
      </w:r>
      <w:r w:rsidR="00086EB0">
        <w:rPr>
          <w:rFonts w:ascii="Times New Roman" w:eastAsia="Times New Roman" w:hAnsi="Times New Roman" w:cs="Times New Roman"/>
          <w:lang w:val="en-GB"/>
        </w:rPr>
        <w:t>, “the</w:t>
      </w:r>
      <w:r w:rsidR="00086EB0" w:rsidRPr="00086EB0">
        <w:rPr>
          <w:rFonts w:ascii="Times New Roman" w:eastAsia="Times New Roman" w:hAnsi="Times New Roman" w:cs="Times New Roman"/>
          <w:lang w:val="en-GB"/>
        </w:rPr>
        <w:t xml:space="preserve"> </w:t>
      </w:r>
      <w:r w:rsidR="00086EB0">
        <w:rPr>
          <w:rFonts w:ascii="Times New Roman" w:eastAsia="Times New Roman" w:hAnsi="Times New Roman" w:cs="Times New Roman"/>
          <w:lang w:val="en-GB"/>
        </w:rPr>
        <w:t>personal is the political</w:t>
      </w:r>
      <w:r w:rsidR="00964782">
        <w:rPr>
          <w:rFonts w:ascii="Times New Roman" w:eastAsia="Times New Roman" w:hAnsi="Times New Roman" w:cs="Times New Roman"/>
          <w:lang w:val="en-GB"/>
        </w:rPr>
        <w:t>”</w:t>
      </w:r>
      <w:r w:rsidR="00C93337">
        <w:rPr>
          <w:rFonts w:ascii="Times New Roman" w:eastAsia="Times New Roman" w:hAnsi="Times New Roman" w:cs="Times New Roman"/>
          <w:lang w:val="en-GB"/>
        </w:rPr>
        <w:t>),</w:t>
      </w:r>
      <w:r w:rsidR="00964782">
        <w:rPr>
          <w:rFonts w:ascii="Times New Roman" w:eastAsia="Times New Roman" w:hAnsi="Times New Roman" w:cs="Times New Roman"/>
          <w:lang w:val="en-GB"/>
        </w:rPr>
        <w:t xml:space="preserve"> </w:t>
      </w:r>
      <w:r w:rsidR="00A33396">
        <w:rPr>
          <w:rFonts w:ascii="Times New Roman" w:eastAsia="Times New Roman" w:hAnsi="Times New Roman" w:cs="Times New Roman"/>
          <w:lang w:val="en-GB"/>
        </w:rPr>
        <w:t>but i</w:t>
      </w:r>
      <w:r w:rsidR="00086EB0">
        <w:rPr>
          <w:rFonts w:ascii="Times New Roman" w:eastAsia="Times New Roman" w:hAnsi="Times New Roman" w:cs="Times New Roman"/>
          <w:lang w:val="en-GB"/>
        </w:rPr>
        <w:t>t m</w:t>
      </w:r>
      <w:r w:rsidR="00964782">
        <w:rPr>
          <w:rFonts w:ascii="Times New Roman" w:eastAsia="Times New Roman" w:hAnsi="Times New Roman" w:cs="Times New Roman"/>
          <w:lang w:val="en-GB"/>
        </w:rPr>
        <w:t xml:space="preserve">ight also refer to the insight </w:t>
      </w:r>
      <w:r w:rsidR="00086EB0">
        <w:rPr>
          <w:rFonts w:ascii="Times New Roman" w:eastAsia="Times New Roman" w:hAnsi="Times New Roman" w:cs="Times New Roman"/>
          <w:lang w:val="en-GB"/>
        </w:rPr>
        <w:t>that every point of vi</w:t>
      </w:r>
      <w:r w:rsidR="00552D6B">
        <w:rPr>
          <w:rFonts w:ascii="Times New Roman" w:eastAsia="Times New Roman" w:hAnsi="Times New Roman" w:cs="Times New Roman"/>
          <w:lang w:val="en-GB"/>
        </w:rPr>
        <w:t xml:space="preserve">ew reflects a constellation of, </w:t>
      </w:r>
      <w:r w:rsidR="00086EB0">
        <w:rPr>
          <w:rFonts w:ascii="Times New Roman" w:eastAsia="Times New Roman" w:hAnsi="Times New Roman" w:cs="Times New Roman"/>
          <w:lang w:val="en-GB"/>
        </w:rPr>
        <w:t>often une</w:t>
      </w:r>
      <w:r w:rsidR="00552D6B">
        <w:rPr>
          <w:rFonts w:ascii="Times New Roman" w:eastAsia="Times New Roman" w:hAnsi="Times New Roman" w:cs="Times New Roman"/>
          <w:lang w:val="en-GB"/>
        </w:rPr>
        <w:t>xamined,</w:t>
      </w:r>
      <w:r w:rsidR="00F32A84">
        <w:rPr>
          <w:rFonts w:ascii="Times New Roman" w:eastAsia="Times New Roman" w:hAnsi="Times New Roman" w:cs="Times New Roman"/>
          <w:lang w:val="en-GB"/>
        </w:rPr>
        <w:t xml:space="preserve"> values, and </w:t>
      </w:r>
      <w:r w:rsidR="00C93337">
        <w:rPr>
          <w:rFonts w:ascii="Times New Roman" w:eastAsia="Times New Roman" w:hAnsi="Times New Roman" w:cs="Times New Roman"/>
          <w:lang w:val="en-GB"/>
        </w:rPr>
        <w:t xml:space="preserve">entail </w:t>
      </w:r>
      <w:r w:rsidR="00F32A84">
        <w:rPr>
          <w:rFonts w:ascii="Times New Roman" w:eastAsia="Times New Roman" w:hAnsi="Times New Roman" w:cs="Times New Roman"/>
          <w:lang w:val="en-GB"/>
        </w:rPr>
        <w:t xml:space="preserve">the </w:t>
      </w:r>
      <w:r w:rsidR="00DE0A84">
        <w:rPr>
          <w:rFonts w:ascii="Times New Roman" w:eastAsia="Times New Roman" w:hAnsi="Times New Roman" w:cs="Times New Roman"/>
          <w:lang w:val="en-GB"/>
        </w:rPr>
        <w:t xml:space="preserve">further </w:t>
      </w:r>
      <w:r w:rsidR="00F32A84">
        <w:rPr>
          <w:rFonts w:ascii="Times New Roman" w:eastAsia="Times New Roman" w:hAnsi="Times New Roman" w:cs="Times New Roman"/>
          <w:lang w:val="en-GB"/>
        </w:rPr>
        <w:t>implication</w:t>
      </w:r>
      <w:r w:rsidR="00DE0A84">
        <w:rPr>
          <w:rFonts w:ascii="Times New Roman" w:eastAsia="Times New Roman" w:hAnsi="Times New Roman" w:cs="Times New Roman"/>
          <w:lang w:val="en-GB"/>
        </w:rPr>
        <w:t xml:space="preserve"> that</w:t>
      </w:r>
      <w:r w:rsidR="00086EB0">
        <w:rPr>
          <w:rFonts w:ascii="Times New Roman" w:eastAsia="Times New Roman" w:hAnsi="Times New Roman" w:cs="Times New Roman"/>
          <w:lang w:val="en-GB"/>
        </w:rPr>
        <w:t xml:space="preserve"> there is no way for an ethicist</w:t>
      </w:r>
      <w:r w:rsidR="00D2739C">
        <w:rPr>
          <w:rFonts w:ascii="Times New Roman" w:eastAsia="Times New Roman" w:hAnsi="Times New Roman" w:cs="Times New Roman"/>
          <w:lang w:val="en-GB"/>
        </w:rPr>
        <w:t xml:space="preserve"> to avoid importing her values, </w:t>
      </w:r>
      <w:r w:rsidR="00086EB0">
        <w:rPr>
          <w:rFonts w:ascii="Times New Roman" w:eastAsia="Times New Roman" w:hAnsi="Times New Roman" w:cs="Times New Roman"/>
          <w:lang w:val="en-GB"/>
        </w:rPr>
        <w:t xml:space="preserve">or those for whom she is a </w:t>
      </w:r>
      <w:r w:rsidR="00D2739C">
        <w:rPr>
          <w:rFonts w:ascii="Times New Roman" w:eastAsia="Times New Roman" w:hAnsi="Times New Roman" w:cs="Times New Roman"/>
          <w:lang w:val="en-GB"/>
        </w:rPr>
        <w:t>representative</w:t>
      </w:r>
      <w:r w:rsidR="00090A07">
        <w:rPr>
          <w:rFonts w:ascii="Times New Roman" w:eastAsia="Times New Roman" w:hAnsi="Times New Roman" w:cs="Times New Roman"/>
          <w:lang w:val="en-GB"/>
        </w:rPr>
        <w:t>,</w:t>
      </w:r>
      <w:r w:rsidR="00D2739C">
        <w:rPr>
          <w:rFonts w:ascii="Times New Roman" w:eastAsia="Times New Roman" w:hAnsi="Times New Roman" w:cs="Times New Roman"/>
          <w:lang w:val="en-GB"/>
        </w:rPr>
        <w:t xml:space="preserve"> </w:t>
      </w:r>
      <w:r w:rsidR="007F433B">
        <w:rPr>
          <w:rFonts w:ascii="Times New Roman" w:eastAsia="Times New Roman" w:hAnsi="Times New Roman" w:cs="Times New Roman"/>
          <w:lang w:val="en-GB"/>
        </w:rPr>
        <w:t xml:space="preserve">or </w:t>
      </w:r>
      <w:r w:rsidR="00D2739C">
        <w:rPr>
          <w:rFonts w:ascii="Times New Roman" w:eastAsia="Times New Roman" w:hAnsi="Times New Roman" w:cs="Times New Roman"/>
          <w:lang w:val="en-GB"/>
        </w:rPr>
        <w:t>mere megaphone,</w:t>
      </w:r>
      <w:r w:rsidR="00086EB0">
        <w:rPr>
          <w:rFonts w:ascii="Times New Roman" w:eastAsia="Times New Roman" w:hAnsi="Times New Roman" w:cs="Times New Roman"/>
          <w:lang w:val="en-GB"/>
        </w:rPr>
        <w:t xml:space="preserve"> </w:t>
      </w:r>
      <w:r w:rsidR="00964782">
        <w:rPr>
          <w:rFonts w:ascii="Times New Roman" w:eastAsia="Times New Roman" w:hAnsi="Times New Roman" w:cs="Times New Roman"/>
          <w:lang w:val="en-GB"/>
        </w:rPr>
        <w:t xml:space="preserve">as she attempts to assist </w:t>
      </w:r>
      <w:r w:rsidR="00086EB0">
        <w:rPr>
          <w:rFonts w:ascii="Times New Roman" w:eastAsia="Times New Roman" w:hAnsi="Times New Roman" w:cs="Times New Roman"/>
          <w:lang w:val="en-GB"/>
        </w:rPr>
        <w:t xml:space="preserve">with the process of </w:t>
      </w:r>
      <w:r w:rsidR="007F433B">
        <w:rPr>
          <w:rFonts w:ascii="Times New Roman" w:eastAsia="Times New Roman" w:hAnsi="Times New Roman" w:cs="Times New Roman"/>
          <w:lang w:val="en-GB"/>
        </w:rPr>
        <w:t xml:space="preserve">ethical </w:t>
      </w:r>
      <w:r w:rsidR="00086EB0">
        <w:rPr>
          <w:rFonts w:ascii="Times New Roman" w:eastAsia="Times New Roman" w:hAnsi="Times New Roman" w:cs="Times New Roman"/>
          <w:lang w:val="en-GB"/>
        </w:rPr>
        <w:t>deliberation.</w:t>
      </w:r>
      <w:r w:rsidR="00F3523E">
        <w:rPr>
          <w:rFonts w:ascii="Times New Roman" w:eastAsia="Times New Roman" w:hAnsi="Times New Roman" w:cs="Times New Roman"/>
          <w:lang w:val="en-GB"/>
        </w:rPr>
        <w:t xml:space="preserve"> The two</w:t>
      </w:r>
      <w:r w:rsidR="00196789">
        <w:rPr>
          <w:rFonts w:ascii="Times New Roman" w:eastAsia="Times New Roman" w:hAnsi="Times New Roman" w:cs="Times New Roman"/>
          <w:lang w:val="en-GB"/>
        </w:rPr>
        <w:t xml:space="preserve"> </w:t>
      </w:r>
      <w:r w:rsidR="00373D05">
        <w:rPr>
          <w:rFonts w:ascii="Times New Roman" w:eastAsia="Times New Roman" w:hAnsi="Times New Roman" w:cs="Times New Roman"/>
          <w:lang w:val="en-GB"/>
        </w:rPr>
        <w:t>fictional</w:t>
      </w:r>
      <w:r w:rsidR="009F0D65">
        <w:rPr>
          <w:rFonts w:ascii="Times New Roman" w:eastAsia="Times New Roman" w:hAnsi="Times New Roman" w:cs="Times New Roman"/>
          <w:lang w:val="en-GB"/>
        </w:rPr>
        <w:t xml:space="preserve"> </w:t>
      </w:r>
      <w:r w:rsidR="00552D6B">
        <w:rPr>
          <w:rFonts w:ascii="Times New Roman" w:eastAsia="Times New Roman" w:hAnsi="Times New Roman" w:cs="Times New Roman"/>
          <w:lang w:val="en-GB"/>
        </w:rPr>
        <w:t>examples</w:t>
      </w:r>
      <w:r w:rsidR="00196789">
        <w:rPr>
          <w:rFonts w:ascii="Times New Roman" w:eastAsia="Times New Roman" w:hAnsi="Times New Roman" w:cs="Times New Roman"/>
          <w:lang w:val="en-GB"/>
        </w:rPr>
        <w:t xml:space="preserve"> </w:t>
      </w:r>
      <w:r w:rsidR="00964782">
        <w:rPr>
          <w:rFonts w:ascii="Times New Roman" w:eastAsia="Times New Roman" w:hAnsi="Times New Roman" w:cs="Times New Roman"/>
          <w:lang w:val="en-GB"/>
        </w:rPr>
        <w:t xml:space="preserve">below, </w:t>
      </w:r>
      <w:r w:rsidR="00373D05">
        <w:rPr>
          <w:rFonts w:ascii="Times New Roman" w:eastAsia="Times New Roman" w:hAnsi="Times New Roman" w:cs="Times New Roman"/>
          <w:lang w:val="en-GB"/>
        </w:rPr>
        <w:t xml:space="preserve">which are </w:t>
      </w:r>
      <w:r w:rsidR="00F00920">
        <w:rPr>
          <w:rFonts w:ascii="Times New Roman" w:eastAsia="Times New Roman" w:hAnsi="Times New Roman" w:cs="Times New Roman"/>
          <w:lang w:val="en-GB"/>
        </w:rPr>
        <w:t>loosely based on</w:t>
      </w:r>
      <w:r w:rsidR="00373D05">
        <w:rPr>
          <w:rFonts w:ascii="Times New Roman" w:eastAsia="Times New Roman" w:hAnsi="Times New Roman" w:cs="Times New Roman"/>
          <w:lang w:val="en-GB"/>
        </w:rPr>
        <w:t xml:space="preserve"> situations </w:t>
      </w:r>
      <w:r w:rsidR="00964782">
        <w:rPr>
          <w:rFonts w:ascii="Times New Roman" w:eastAsia="Times New Roman" w:hAnsi="Times New Roman" w:cs="Times New Roman"/>
          <w:lang w:val="en-GB"/>
        </w:rPr>
        <w:t xml:space="preserve">which will be </w:t>
      </w:r>
      <w:r w:rsidR="00A33396">
        <w:rPr>
          <w:rFonts w:ascii="Times New Roman" w:eastAsia="Times New Roman" w:hAnsi="Times New Roman" w:cs="Times New Roman"/>
          <w:lang w:val="en-GB"/>
        </w:rPr>
        <w:t xml:space="preserve">familiar to those consulting in </w:t>
      </w:r>
      <w:r w:rsidR="00F3523E">
        <w:rPr>
          <w:rFonts w:ascii="Times New Roman" w:eastAsia="Times New Roman" w:hAnsi="Times New Roman" w:cs="Times New Roman"/>
          <w:lang w:val="en-GB"/>
        </w:rPr>
        <w:t>cli</w:t>
      </w:r>
      <w:r w:rsidR="00A33396">
        <w:rPr>
          <w:rFonts w:ascii="Times New Roman" w:eastAsia="Times New Roman" w:hAnsi="Times New Roman" w:cs="Times New Roman"/>
          <w:lang w:val="en-GB"/>
        </w:rPr>
        <w:t>nical settings</w:t>
      </w:r>
      <w:r w:rsidR="00964782">
        <w:rPr>
          <w:rFonts w:ascii="Times New Roman" w:eastAsia="Times New Roman" w:hAnsi="Times New Roman" w:cs="Times New Roman"/>
          <w:lang w:val="en-GB"/>
        </w:rPr>
        <w:t xml:space="preserve">, </w:t>
      </w:r>
      <w:r w:rsidR="00196789">
        <w:rPr>
          <w:rFonts w:ascii="Times New Roman" w:eastAsia="Times New Roman" w:hAnsi="Times New Roman" w:cs="Times New Roman"/>
          <w:lang w:val="en-GB"/>
        </w:rPr>
        <w:t>can easily illustrate the point:</w:t>
      </w:r>
    </w:p>
    <w:p w14:paraId="71CFC1A8" w14:textId="77777777" w:rsidR="009F0D65" w:rsidRDefault="004458A4" w:rsidP="009F0D65">
      <w:pPr>
        <w:pStyle w:val="Body1"/>
        <w:ind w:left="720"/>
        <w:rPr>
          <w:rFonts w:ascii="Times New Roman" w:eastAsia="Times New Roman" w:hAnsi="Times New Roman" w:cs="Times New Roman"/>
          <w:lang w:val="en-GB"/>
        </w:rPr>
      </w:pPr>
      <w:r>
        <w:rPr>
          <w:rFonts w:ascii="Times New Roman" w:eastAsia="Times New Roman" w:hAnsi="Times New Roman" w:cs="Times New Roman"/>
          <w:lang w:val="en-GB"/>
        </w:rPr>
        <w:t xml:space="preserve">Marcus </w:t>
      </w:r>
      <w:r w:rsidR="00513B78">
        <w:rPr>
          <w:rFonts w:ascii="Times New Roman" w:eastAsia="Times New Roman" w:hAnsi="Times New Roman" w:cs="Times New Roman"/>
          <w:lang w:val="en-GB"/>
        </w:rPr>
        <w:t>faces discharge</w:t>
      </w:r>
      <w:r w:rsidR="006D437E">
        <w:rPr>
          <w:rFonts w:ascii="Times New Roman" w:eastAsia="Times New Roman" w:hAnsi="Times New Roman" w:cs="Times New Roman"/>
          <w:lang w:val="en-GB"/>
        </w:rPr>
        <w:t xml:space="preserve"> against medical </w:t>
      </w:r>
      <w:r w:rsidR="00513B78">
        <w:rPr>
          <w:rFonts w:ascii="Times New Roman" w:eastAsia="Times New Roman" w:hAnsi="Times New Roman" w:cs="Times New Roman"/>
          <w:lang w:val="en-GB"/>
        </w:rPr>
        <w:t>advice</w:t>
      </w:r>
      <w:r>
        <w:rPr>
          <w:rFonts w:ascii="Times New Roman" w:eastAsia="Times New Roman" w:hAnsi="Times New Roman" w:cs="Times New Roman"/>
          <w:lang w:val="en-GB"/>
        </w:rPr>
        <w:t>.</w:t>
      </w:r>
      <w:r w:rsidR="00513B78">
        <w:rPr>
          <w:rFonts w:ascii="Times New Roman" w:eastAsia="Times New Roman" w:hAnsi="Times New Roman" w:cs="Times New Roman"/>
          <w:lang w:val="en-GB"/>
        </w:rPr>
        <w:t xml:space="preserve"> He has</w:t>
      </w:r>
      <w:r w:rsidR="00196789">
        <w:rPr>
          <w:rFonts w:ascii="Times New Roman" w:eastAsia="Times New Roman" w:hAnsi="Times New Roman" w:cs="Times New Roman"/>
          <w:lang w:val="en-GB"/>
        </w:rPr>
        <w:t xml:space="preserve"> </w:t>
      </w:r>
      <w:r w:rsidR="006D437E">
        <w:rPr>
          <w:rFonts w:ascii="Times New Roman" w:eastAsia="Times New Roman" w:hAnsi="Times New Roman" w:cs="Times New Roman"/>
          <w:lang w:val="en-GB"/>
        </w:rPr>
        <w:t>be</w:t>
      </w:r>
      <w:r w:rsidR="00196789">
        <w:rPr>
          <w:rFonts w:ascii="Times New Roman" w:eastAsia="Times New Roman" w:hAnsi="Times New Roman" w:cs="Times New Roman"/>
          <w:lang w:val="en-GB"/>
        </w:rPr>
        <w:t xml:space="preserve">en </w:t>
      </w:r>
      <w:r w:rsidR="006D437E">
        <w:rPr>
          <w:rFonts w:ascii="Times New Roman" w:eastAsia="Times New Roman" w:hAnsi="Times New Roman" w:cs="Times New Roman"/>
          <w:lang w:val="en-GB"/>
        </w:rPr>
        <w:t>d</w:t>
      </w:r>
      <w:r w:rsidR="00196789">
        <w:rPr>
          <w:rFonts w:ascii="Times New Roman" w:eastAsia="Times New Roman" w:hAnsi="Times New Roman" w:cs="Times New Roman"/>
          <w:lang w:val="en-GB"/>
        </w:rPr>
        <w:t>eemed</w:t>
      </w:r>
      <w:r w:rsidR="006D437E">
        <w:rPr>
          <w:rFonts w:ascii="Times New Roman" w:eastAsia="Times New Roman" w:hAnsi="Times New Roman" w:cs="Times New Roman"/>
          <w:lang w:val="en-GB"/>
        </w:rPr>
        <w:t xml:space="preserve"> </w:t>
      </w:r>
      <w:r w:rsidR="00196789">
        <w:rPr>
          <w:rFonts w:ascii="Times New Roman" w:eastAsia="Times New Roman" w:hAnsi="Times New Roman" w:cs="Times New Roman"/>
          <w:lang w:val="en-GB"/>
        </w:rPr>
        <w:t>“</w:t>
      </w:r>
      <w:r w:rsidR="006D437E">
        <w:rPr>
          <w:rFonts w:ascii="Times New Roman" w:eastAsia="Times New Roman" w:hAnsi="Times New Roman" w:cs="Times New Roman"/>
          <w:lang w:val="en-GB"/>
        </w:rPr>
        <w:t>non-compliant</w:t>
      </w:r>
      <w:r w:rsidR="00196789">
        <w:rPr>
          <w:rFonts w:ascii="Times New Roman" w:eastAsia="Times New Roman" w:hAnsi="Times New Roman" w:cs="Times New Roman"/>
          <w:lang w:val="en-GB"/>
        </w:rPr>
        <w:t>”</w:t>
      </w:r>
      <w:r w:rsidR="006D437E">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with treatment </w:t>
      </w:r>
      <w:r w:rsidR="003A579E">
        <w:rPr>
          <w:rFonts w:ascii="Times New Roman" w:eastAsia="Times New Roman" w:hAnsi="Times New Roman" w:cs="Times New Roman"/>
          <w:lang w:val="en-GB"/>
        </w:rPr>
        <w:t xml:space="preserve">because his mental illness, </w:t>
      </w:r>
      <w:r w:rsidR="008F0E15">
        <w:rPr>
          <w:rFonts w:ascii="Times New Roman" w:eastAsia="Times New Roman" w:hAnsi="Times New Roman" w:cs="Times New Roman"/>
          <w:lang w:val="en-GB"/>
        </w:rPr>
        <w:t>alcoholism</w:t>
      </w:r>
      <w:r w:rsidR="00513B78">
        <w:rPr>
          <w:rFonts w:ascii="Times New Roman" w:eastAsia="Times New Roman" w:hAnsi="Times New Roman" w:cs="Times New Roman"/>
          <w:lang w:val="en-GB"/>
        </w:rPr>
        <w:t xml:space="preserve">, and </w:t>
      </w:r>
      <w:r w:rsidR="003A579E">
        <w:rPr>
          <w:rFonts w:ascii="Times New Roman" w:eastAsia="Times New Roman" w:hAnsi="Times New Roman" w:cs="Times New Roman"/>
          <w:lang w:val="en-GB"/>
        </w:rPr>
        <w:t xml:space="preserve">unstable housing situation </w:t>
      </w:r>
      <w:r w:rsidR="00513B78">
        <w:rPr>
          <w:rFonts w:ascii="Times New Roman" w:eastAsia="Times New Roman" w:hAnsi="Times New Roman" w:cs="Times New Roman"/>
          <w:lang w:val="en-GB"/>
        </w:rPr>
        <w:t xml:space="preserve">have often led </w:t>
      </w:r>
      <w:r w:rsidR="003A579E">
        <w:rPr>
          <w:rFonts w:ascii="Times New Roman" w:eastAsia="Times New Roman" w:hAnsi="Times New Roman" w:cs="Times New Roman"/>
          <w:lang w:val="en-GB"/>
        </w:rPr>
        <w:t>to m</w:t>
      </w:r>
      <w:r w:rsidR="00513B78">
        <w:rPr>
          <w:rFonts w:ascii="Times New Roman" w:eastAsia="Times New Roman" w:hAnsi="Times New Roman" w:cs="Times New Roman"/>
          <w:lang w:val="en-GB"/>
        </w:rPr>
        <w:t xml:space="preserve">issed </w:t>
      </w:r>
      <w:r>
        <w:rPr>
          <w:rFonts w:ascii="Times New Roman" w:eastAsia="Times New Roman" w:hAnsi="Times New Roman" w:cs="Times New Roman"/>
          <w:lang w:val="en-GB"/>
        </w:rPr>
        <w:t xml:space="preserve">appointments for </w:t>
      </w:r>
      <w:r w:rsidR="003A579E">
        <w:rPr>
          <w:rFonts w:ascii="Times New Roman" w:eastAsia="Times New Roman" w:hAnsi="Times New Roman" w:cs="Times New Roman"/>
          <w:lang w:val="en-GB"/>
        </w:rPr>
        <w:t xml:space="preserve">chemotherapy infusions. </w:t>
      </w:r>
      <w:r>
        <w:rPr>
          <w:rFonts w:ascii="Times New Roman" w:eastAsia="Times New Roman" w:hAnsi="Times New Roman" w:cs="Times New Roman"/>
          <w:lang w:val="en-GB"/>
        </w:rPr>
        <w:t xml:space="preserve">His cancer </w:t>
      </w:r>
      <w:r w:rsidR="00373D05">
        <w:rPr>
          <w:rFonts w:ascii="Times New Roman" w:eastAsia="Times New Roman" w:hAnsi="Times New Roman" w:cs="Times New Roman"/>
          <w:lang w:val="en-GB"/>
        </w:rPr>
        <w:t>is deemed treatable</w:t>
      </w:r>
      <w:r w:rsidR="00090A07">
        <w:rPr>
          <w:rFonts w:ascii="Times New Roman" w:eastAsia="Times New Roman" w:hAnsi="Times New Roman" w:cs="Times New Roman"/>
          <w:lang w:val="en-GB"/>
        </w:rPr>
        <w:t>,</w:t>
      </w:r>
      <w:r w:rsidR="00373D05">
        <w:rPr>
          <w:rFonts w:ascii="Times New Roman" w:eastAsia="Times New Roman" w:hAnsi="Times New Roman" w:cs="Times New Roman"/>
          <w:lang w:val="en-GB"/>
        </w:rPr>
        <w:t xml:space="preserve"> but his most responsible practitioner </w:t>
      </w:r>
      <w:r>
        <w:rPr>
          <w:rFonts w:ascii="Times New Roman" w:eastAsia="Times New Roman" w:hAnsi="Times New Roman" w:cs="Times New Roman"/>
          <w:lang w:val="en-GB"/>
        </w:rPr>
        <w:t xml:space="preserve">suggests that he has a poor prognosis because his social situation makes it unlikely that he </w:t>
      </w:r>
      <w:r w:rsidR="0092058C">
        <w:rPr>
          <w:rFonts w:ascii="Times New Roman" w:eastAsia="Times New Roman" w:hAnsi="Times New Roman" w:cs="Times New Roman"/>
          <w:lang w:val="en-GB"/>
        </w:rPr>
        <w:t xml:space="preserve">will ever be </w:t>
      </w:r>
      <w:r w:rsidR="008F0E15">
        <w:rPr>
          <w:rFonts w:ascii="Times New Roman" w:eastAsia="Times New Roman" w:hAnsi="Times New Roman" w:cs="Times New Roman"/>
          <w:lang w:val="en-GB"/>
        </w:rPr>
        <w:t xml:space="preserve">found </w:t>
      </w:r>
      <w:r w:rsidR="0092058C">
        <w:rPr>
          <w:rFonts w:ascii="Times New Roman" w:eastAsia="Times New Roman" w:hAnsi="Times New Roman" w:cs="Times New Roman"/>
          <w:lang w:val="en-GB"/>
        </w:rPr>
        <w:t xml:space="preserve">eligible for a stem cell transplant. Wait lists for the procedure are long and some patients have been asked to travel out of the region to access the intervention. </w:t>
      </w:r>
      <w:r w:rsidR="00373D05">
        <w:rPr>
          <w:rFonts w:ascii="Times New Roman" w:eastAsia="Times New Roman" w:hAnsi="Times New Roman" w:cs="Times New Roman"/>
          <w:lang w:val="en-GB"/>
        </w:rPr>
        <w:t xml:space="preserve">A frustrated treatment team suggests that scarce resources should not be allocated to </w:t>
      </w:r>
      <w:r w:rsidR="00DE0A84">
        <w:rPr>
          <w:rFonts w:ascii="Times New Roman" w:eastAsia="Times New Roman" w:hAnsi="Times New Roman" w:cs="Times New Roman"/>
          <w:lang w:val="en-GB"/>
        </w:rPr>
        <w:t xml:space="preserve">a </w:t>
      </w:r>
      <w:r w:rsidR="00373D05">
        <w:rPr>
          <w:rFonts w:ascii="Times New Roman" w:eastAsia="Times New Roman" w:hAnsi="Times New Roman" w:cs="Times New Roman"/>
          <w:lang w:val="en-GB"/>
        </w:rPr>
        <w:t xml:space="preserve">patient who </w:t>
      </w:r>
      <w:r w:rsidR="00DE0A84">
        <w:rPr>
          <w:rFonts w:ascii="Times New Roman" w:eastAsia="Times New Roman" w:hAnsi="Times New Roman" w:cs="Times New Roman"/>
          <w:lang w:val="en-GB"/>
        </w:rPr>
        <w:t xml:space="preserve">is </w:t>
      </w:r>
      <w:r w:rsidR="00373D05">
        <w:rPr>
          <w:rFonts w:ascii="Times New Roman" w:eastAsia="Times New Roman" w:hAnsi="Times New Roman" w:cs="Times New Roman"/>
          <w:lang w:val="en-GB"/>
        </w:rPr>
        <w:t xml:space="preserve">unlikely or unwilling to benefit from transplantation. </w:t>
      </w:r>
      <w:r w:rsidR="0092058C">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w:t>
      </w:r>
    </w:p>
    <w:p w14:paraId="4A453D45" w14:textId="77777777" w:rsidR="00513B78" w:rsidRDefault="00513B78" w:rsidP="009F0D65">
      <w:pPr>
        <w:pStyle w:val="Body1"/>
        <w:ind w:left="720"/>
        <w:rPr>
          <w:rFonts w:ascii="Times New Roman" w:eastAsia="Times New Roman" w:hAnsi="Times New Roman" w:cs="Times New Roman"/>
          <w:lang w:val="en-GB"/>
        </w:rPr>
      </w:pPr>
    </w:p>
    <w:p w14:paraId="5D4C67FE" w14:textId="77777777" w:rsidR="00641B5A" w:rsidRPr="00FC0523" w:rsidRDefault="00513B78" w:rsidP="00954A96">
      <w:pPr>
        <w:pStyle w:val="Body1"/>
        <w:ind w:left="720"/>
        <w:rPr>
          <w:rFonts w:ascii="Times New Roman" w:eastAsia="Times New Roman" w:hAnsi="Times New Roman" w:cs="Times New Roman"/>
          <w:lang w:val="en-GB"/>
        </w:rPr>
      </w:pPr>
      <w:r>
        <w:rPr>
          <w:rFonts w:ascii="Times New Roman" w:eastAsia="Times New Roman" w:hAnsi="Times New Roman" w:cs="Times New Roman"/>
          <w:lang w:val="en-GB"/>
        </w:rPr>
        <w:t xml:space="preserve">Malek </w:t>
      </w:r>
      <w:r w:rsidR="00954A96">
        <w:rPr>
          <w:rFonts w:ascii="Times New Roman" w:eastAsia="Times New Roman" w:hAnsi="Times New Roman" w:cs="Times New Roman"/>
          <w:lang w:val="en-GB"/>
        </w:rPr>
        <w:t xml:space="preserve">is a twenty year old man with a spinal cord injury who often resists routine nursing care. He has, therefore, contracted a number of bladder infections and is at risk of prolonged hospitalisation owing to a stage III pressure injury. </w:t>
      </w:r>
      <w:r w:rsidR="00A17574">
        <w:rPr>
          <w:rFonts w:ascii="Times New Roman" w:eastAsia="Times New Roman" w:hAnsi="Times New Roman" w:cs="Times New Roman"/>
          <w:lang w:val="en-GB"/>
        </w:rPr>
        <w:t xml:space="preserve">He can be </w:t>
      </w:r>
      <w:r w:rsidR="003A579E">
        <w:rPr>
          <w:rFonts w:ascii="Times New Roman" w:eastAsia="Times New Roman" w:hAnsi="Times New Roman" w:cs="Times New Roman"/>
          <w:lang w:val="en-GB"/>
        </w:rPr>
        <w:t>loud,</w:t>
      </w:r>
      <w:r w:rsidR="00C36A45">
        <w:rPr>
          <w:rFonts w:ascii="Times New Roman" w:eastAsia="Times New Roman" w:hAnsi="Times New Roman" w:cs="Times New Roman"/>
          <w:lang w:val="en-GB"/>
        </w:rPr>
        <w:t xml:space="preserve"> </w:t>
      </w:r>
      <w:r w:rsidR="003A579E">
        <w:rPr>
          <w:rFonts w:ascii="Times New Roman" w:eastAsia="Times New Roman" w:hAnsi="Times New Roman" w:cs="Times New Roman"/>
          <w:lang w:val="en-GB"/>
        </w:rPr>
        <w:t>disruptive,</w:t>
      </w:r>
      <w:r w:rsidR="00C36A45">
        <w:rPr>
          <w:rFonts w:ascii="Times New Roman" w:eastAsia="Times New Roman" w:hAnsi="Times New Roman" w:cs="Times New Roman"/>
          <w:lang w:val="en-GB"/>
        </w:rPr>
        <w:t xml:space="preserve"> and sometimes </w:t>
      </w:r>
      <w:r w:rsidR="003A579E">
        <w:rPr>
          <w:rFonts w:ascii="Times New Roman" w:eastAsia="Times New Roman" w:hAnsi="Times New Roman" w:cs="Times New Roman"/>
          <w:lang w:val="en-GB"/>
        </w:rPr>
        <w:t xml:space="preserve">verbally abusive </w:t>
      </w:r>
      <w:r w:rsidR="00C36A45">
        <w:rPr>
          <w:rFonts w:ascii="Times New Roman" w:eastAsia="Times New Roman" w:hAnsi="Times New Roman" w:cs="Times New Roman"/>
          <w:lang w:val="en-GB"/>
        </w:rPr>
        <w:t xml:space="preserve">with staff and they have expressed </w:t>
      </w:r>
      <w:r w:rsidR="00954A96">
        <w:rPr>
          <w:rFonts w:ascii="Times New Roman" w:eastAsia="Times New Roman" w:hAnsi="Times New Roman" w:cs="Times New Roman"/>
          <w:lang w:val="en-GB"/>
        </w:rPr>
        <w:t xml:space="preserve">a </w:t>
      </w:r>
      <w:r w:rsidR="00C36A45">
        <w:rPr>
          <w:rFonts w:ascii="Times New Roman" w:eastAsia="Times New Roman" w:hAnsi="Times New Roman" w:cs="Times New Roman"/>
          <w:lang w:val="en-GB"/>
        </w:rPr>
        <w:t xml:space="preserve">fear of him owing to his gang affiliation. </w:t>
      </w:r>
      <w:r w:rsidR="00954A96">
        <w:rPr>
          <w:rFonts w:ascii="Times New Roman" w:eastAsia="Times New Roman" w:hAnsi="Times New Roman" w:cs="Times New Roman"/>
          <w:lang w:val="en-GB"/>
        </w:rPr>
        <w:t xml:space="preserve">In turn, Malek has complained that staff are racist and unresponsive to his needs. </w:t>
      </w:r>
      <w:r w:rsidR="00C36A45">
        <w:rPr>
          <w:rFonts w:ascii="Times New Roman" w:eastAsia="Times New Roman" w:hAnsi="Times New Roman" w:cs="Times New Roman"/>
          <w:lang w:val="en-GB"/>
        </w:rPr>
        <w:t>A month ago he</w:t>
      </w:r>
      <w:r w:rsidR="003A579E">
        <w:rPr>
          <w:rFonts w:ascii="Times New Roman" w:eastAsia="Times New Roman" w:hAnsi="Times New Roman" w:cs="Times New Roman"/>
          <w:lang w:val="en-GB"/>
        </w:rPr>
        <w:t xml:space="preserve"> suffered a gunshot wound that </w:t>
      </w:r>
      <w:r w:rsidR="009F0D65">
        <w:rPr>
          <w:rFonts w:ascii="Times New Roman" w:eastAsia="Times New Roman" w:hAnsi="Times New Roman" w:cs="Times New Roman"/>
          <w:lang w:val="en-GB"/>
        </w:rPr>
        <w:t xml:space="preserve">simultaneously robbed him of </w:t>
      </w:r>
      <w:r w:rsidR="003A579E">
        <w:rPr>
          <w:rFonts w:ascii="Times New Roman" w:eastAsia="Times New Roman" w:hAnsi="Times New Roman" w:cs="Times New Roman"/>
          <w:lang w:val="en-GB"/>
        </w:rPr>
        <w:t>his mobili</w:t>
      </w:r>
      <w:r w:rsidR="009F0D65">
        <w:rPr>
          <w:rFonts w:ascii="Times New Roman" w:eastAsia="Times New Roman" w:hAnsi="Times New Roman" w:cs="Times New Roman"/>
          <w:lang w:val="en-GB"/>
        </w:rPr>
        <w:t>ty and community.</w:t>
      </w:r>
      <w:r w:rsidR="00373D05">
        <w:rPr>
          <w:rFonts w:ascii="Times New Roman" w:eastAsia="Times New Roman" w:hAnsi="Times New Roman" w:cs="Times New Roman"/>
          <w:lang w:val="en-GB"/>
        </w:rPr>
        <w:t xml:space="preserve"> He has been sent to a physical rehabilitation facility and staff are divided over the nature and extent of their obligations to continue to provide him with care. There is pressure to transfer him out of the program because he appears not to be “rehab ready.”  </w:t>
      </w:r>
      <w:r w:rsidR="00902DAD">
        <w:rPr>
          <w:rFonts w:ascii="Times New Roman" w:eastAsia="Times New Roman" w:hAnsi="Times New Roman" w:cs="Times New Roman"/>
          <w:lang w:val="en-GB"/>
        </w:rPr>
        <w:t xml:space="preserve"> </w:t>
      </w:r>
    </w:p>
    <w:p w14:paraId="573E52A4" w14:textId="77777777" w:rsidR="009F0D65" w:rsidRDefault="009F0D65" w:rsidP="009F0D65">
      <w:pPr>
        <w:pStyle w:val="Body1"/>
        <w:rPr>
          <w:rFonts w:ascii="Times New Roman" w:eastAsia="Times New Roman" w:hAnsi="Times New Roman" w:cs="Times New Roman"/>
          <w:lang w:val="en-GB"/>
        </w:rPr>
      </w:pPr>
    </w:p>
    <w:p w14:paraId="0CF52F7A" w14:textId="77777777" w:rsidR="0092058C" w:rsidRDefault="00F32A84" w:rsidP="00954A96">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 xml:space="preserve">In either of these </w:t>
      </w:r>
      <w:r w:rsidR="00954A96">
        <w:rPr>
          <w:rFonts w:ascii="Times New Roman" w:eastAsia="Times New Roman" w:hAnsi="Times New Roman" w:cs="Times New Roman"/>
          <w:lang w:val="en-GB"/>
        </w:rPr>
        <w:t>cases, a</w:t>
      </w:r>
      <w:r w:rsidR="009F0D65">
        <w:rPr>
          <w:rFonts w:ascii="Times New Roman" w:eastAsia="Times New Roman" w:hAnsi="Times New Roman" w:cs="Times New Roman"/>
          <w:lang w:val="en-GB"/>
        </w:rPr>
        <w:t xml:space="preserve"> PHE </w:t>
      </w:r>
      <w:r w:rsidR="000301B1">
        <w:rPr>
          <w:rFonts w:ascii="Times New Roman" w:eastAsia="Times New Roman" w:hAnsi="Times New Roman" w:cs="Times New Roman"/>
          <w:lang w:val="en-GB"/>
        </w:rPr>
        <w:t>called to assist w</w:t>
      </w:r>
      <w:r w:rsidR="0092058C">
        <w:rPr>
          <w:rFonts w:ascii="Times New Roman" w:eastAsia="Times New Roman" w:hAnsi="Times New Roman" w:cs="Times New Roman"/>
          <w:lang w:val="en-GB"/>
        </w:rPr>
        <w:t xml:space="preserve">ith ethical decision making </w:t>
      </w:r>
      <w:r w:rsidR="00954A96">
        <w:rPr>
          <w:rFonts w:ascii="Times New Roman" w:eastAsia="Times New Roman" w:hAnsi="Times New Roman" w:cs="Times New Roman"/>
          <w:lang w:val="en-GB"/>
        </w:rPr>
        <w:t xml:space="preserve">could </w:t>
      </w:r>
      <w:r w:rsidR="00A17574">
        <w:rPr>
          <w:rFonts w:ascii="Times New Roman" w:eastAsia="Times New Roman" w:hAnsi="Times New Roman" w:cs="Times New Roman"/>
          <w:lang w:val="en-GB"/>
        </w:rPr>
        <w:t>endeavour</w:t>
      </w:r>
      <w:r w:rsidR="00945B97">
        <w:rPr>
          <w:rFonts w:ascii="Times New Roman" w:eastAsia="Times New Roman" w:hAnsi="Times New Roman" w:cs="Times New Roman"/>
          <w:lang w:val="en-GB"/>
        </w:rPr>
        <w:t xml:space="preserve"> to </w:t>
      </w:r>
      <w:r w:rsidR="0092058C">
        <w:rPr>
          <w:rFonts w:ascii="Times New Roman" w:eastAsia="Times New Roman" w:hAnsi="Times New Roman" w:cs="Times New Roman"/>
          <w:lang w:val="en-GB"/>
        </w:rPr>
        <w:t>focus the assembled stakeholders</w:t>
      </w:r>
      <w:r w:rsidR="000301B1">
        <w:rPr>
          <w:rFonts w:ascii="Times New Roman" w:eastAsia="Times New Roman" w:hAnsi="Times New Roman" w:cs="Times New Roman"/>
          <w:lang w:val="en-GB"/>
        </w:rPr>
        <w:t xml:space="preserve"> on the four principles famously articulated by Tom Beauchamp and James Childress</w:t>
      </w:r>
      <w:r w:rsidR="00954A96">
        <w:rPr>
          <w:rFonts w:ascii="Times New Roman" w:eastAsia="Times New Roman" w:hAnsi="Times New Roman" w:cs="Times New Roman"/>
          <w:lang w:val="en-GB"/>
        </w:rPr>
        <w:t xml:space="preserve">, but </w:t>
      </w:r>
      <w:r w:rsidR="007F433B">
        <w:rPr>
          <w:rFonts w:ascii="Times New Roman" w:eastAsia="Times New Roman" w:hAnsi="Times New Roman" w:cs="Times New Roman"/>
          <w:lang w:val="en-GB"/>
        </w:rPr>
        <w:t xml:space="preserve">it must be acknowledged that </w:t>
      </w:r>
      <w:r w:rsidR="00954A96">
        <w:rPr>
          <w:rFonts w:ascii="Times New Roman" w:eastAsia="Times New Roman" w:hAnsi="Times New Roman" w:cs="Times New Roman"/>
          <w:lang w:val="en-GB"/>
        </w:rPr>
        <w:t>e</w:t>
      </w:r>
      <w:r w:rsidR="000301B1">
        <w:rPr>
          <w:rFonts w:ascii="Times New Roman" w:eastAsia="Times New Roman" w:hAnsi="Times New Roman" w:cs="Times New Roman"/>
          <w:lang w:val="en-GB"/>
        </w:rPr>
        <w:t>ven the most formalistic application of the so-called Georgetown Mantra would</w:t>
      </w:r>
      <w:r w:rsidR="00954A96">
        <w:rPr>
          <w:rFonts w:ascii="Times New Roman" w:eastAsia="Times New Roman" w:hAnsi="Times New Roman" w:cs="Times New Roman"/>
          <w:lang w:val="en-GB"/>
        </w:rPr>
        <w:t xml:space="preserve"> </w:t>
      </w:r>
      <w:r w:rsidR="000301B1">
        <w:rPr>
          <w:rFonts w:ascii="Times New Roman" w:eastAsia="Times New Roman" w:hAnsi="Times New Roman" w:cs="Times New Roman"/>
          <w:lang w:val="en-GB"/>
        </w:rPr>
        <w:t xml:space="preserve">be unable to escape </w:t>
      </w:r>
      <w:r w:rsidR="006B0717">
        <w:rPr>
          <w:rFonts w:ascii="Times New Roman" w:eastAsia="Times New Roman" w:hAnsi="Times New Roman" w:cs="Times New Roman"/>
          <w:lang w:val="en-GB"/>
        </w:rPr>
        <w:t>a whiff of politics</w:t>
      </w:r>
      <w:r w:rsidR="001066FB">
        <w:rPr>
          <w:rFonts w:ascii="Times New Roman" w:eastAsia="Times New Roman" w:hAnsi="Times New Roman" w:cs="Times New Roman"/>
          <w:lang w:val="en-GB"/>
        </w:rPr>
        <w:t xml:space="preserve"> broadly understood</w:t>
      </w:r>
      <w:r>
        <w:rPr>
          <w:rFonts w:ascii="Times New Roman" w:eastAsia="Times New Roman" w:hAnsi="Times New Roman" w:cs="Times New Roman"/>
          <w:lang w:val="en-GB"/>
        </w:rPr>
        <w:t>.</w:t>
      </w:r>
      <w:r w:rsidR="000D6343">
        <w:rPr>
          <w:rStyle w:val="FootnoteReference"/>
          <w:rFonts w:ascii="Times New Roman" w:eastAsia="Times New Roman" w:hAnsi="Times New Roman" w:cs="Times New Roman"/>
          <w:lang w:val="en-GB"/>
        </w:rPr>
        <w:footnoteReference w:id="113"/>
      </w:r>
      <w:r>
        <w:rPr>
          <w:rFonts w:ascii="Times New Roman" w:eastAsia="Times New Roman" w:hAnsi="Times New Roman" w:cs="Times New Roman"/>
          <w:lang w:val="en-GB"/>
        </w:rPr>
        <w:t xml:space="preserve"> T</w:t>
      </w:r>
      <w:r w:rsidR="0092058C">
        <w:rPr>
          <w:rFonts w:ascii="Times New Roman" w:eastAsia="Times New Roman" w:hAnsi="Times New Roman" w:cs="Times New Roman"/>
          <w:lang w:val="en-GB"/>
        </w:rPr>
        <w:t>hese patients</w:t>
      </w:r>
      <w:r w:rsidR="00622B2B">
        <w:rPr>
          <w:rFonts w:ascii="Times New Roman" w:eastAsia="Times New Roman" w:hAnsi="Times New Roman" w:cs="Times New Roman"/>
          <w:lang w:val="en-GB"/>
        </w:rPr>
        <w:t>,</w:t>
      </w:r>
      <w:r w:rsidR="0092058C">
        <w:rPr>
          <w:rFonts w:ascii="Times New Roman" w:eastAsia="Times New Roman" w:hAnsi="Times New Roman" w:cs="Times New Roman"/>
          <w:lang w:val="en-GB"/>
        </w:rPr>
        <w:t xml:space="preserve"> and their</w:t>
      </w:r>
      <w:r w:rsidR="00622B2B">
        <w:rPr>
          <w:rFonts w:ascii="Times New Roman" w:eastAsia="Times New Roman" w:hAnsi="Times New Roman" w:cs="Times New Roman"/>
          <w:lang w:val="en-GB"/>
        </w:rPr>
        <w:t xml:space="preserve"> providers,</w:t>
      </w:r>
      <w:r w:rsidR="00DE0FB5">
        <w:rPr>
          <w:rFonts w:ascii="Times New Roman" w:eastAsia="Times New Roman" w:hAnsi="Times New Roman" w:cs="Times New Roman"/>
          <w:lang w:val="en-GB"/>
        </w:rPr>
        <w:t xml:space="preserve"> might</w:t>
      </w:r>
      <w:r w:rsidR="00954A96">
        <w:rPr>
          <w:rFonts w:ascii="Times New Roman" w:eastAsia="Times New Roman" w:hAnsi="Times New Roman" w:cs="Times New Roman"/>
          <w:lang w:val="en-GB"/>
        </w:rPr>
        <w:t xml:space="preserve"> prefer</w:t>
      </w:r>
      <w:r>
        <w:rPr>
          <w:rFonts w:ascii="Times New Roman" w:eastAsia="Times New Roman" w:hAnsi="Times New Roman" w:cs="Times New Roman"/>
          <w:lang w:val="en-GB"/>
        </w:rPr>
        <w:t xml:space="preserve"> to attend to </w:t>
      </w:r>
      <w:r w:rsidR="00622B2B">
        <w:rPr>
          <w:rFonts w:ascii="Times New Roman" w:eastAsia="Times New Roman" w:hAnsi="Times New Roman" w:cs="Times New Roman"/>
          <w:lang w:val="en-GB"/>
        </w:rPr>
        <w:t xml:space="preserve">the medical aspects of the cases, and the capable person’s right to refuse unwanted treatment (be it chemotherapy, </w:t>
      </w:r>
      <w:r w:rsidR="009E3CA2">
        <w:rPr>
          <w:rFonts w:ascii="Times New Roman" w:eastAsia="Times New Roman" w:hAnsi="Times New Roman" w:cs="Times New Roman"/>
          <w:lang w:val="en-GB"/>
        </w:rPr>
        <w:t xml:space="preserve">urinary </w:t>
      </w:r>
      <w:r w:rsidR="00622B2B">
        <w:rPr>
          <w:rFonts w:ascii="Times New Roman" w:eastAsia="Times New Roman" w:hAnsi="Times New Roman" w:cs="Times New Roman"/>
          <w:lang w:val="en-GB"/>
        </w:rPr>
        <w:t>catheterisation, or wound care), but</w:t>
      </w:r>
      <w:r w:rsidR="00954A96">
        <w:rPr>
          <w:rFonts w:ascii="Times New Roman" w:eastAsia="Times New Roman" w:hAnsi="Times New Roman" w:cs="Times New Roman"/>
          <w:lang w:val="en-GB"/>
        </w:rPr>
        <w:t xml:space="preserve"> Marcus</w:t>
      </w:r>
      <w:r w:rsidR="00552D6B">
        <w:rPr>
          <w:rFonts w:ascii="Times New Roman" w:eastAsia="Times New Roman" w:hAnsi="Times New Roman" w:cs="Times New Roman"/>
          <w:lang w:val="en-GB"/>
        </w:rPr>
        <w:t>’s</w:t>
      </w:r>
      <w:r w:rsidR="00954A96">
        <w:rPr>
          <w:rFonts w:ascii="Times New Roman" w:eastAsia="Times New Roman" w:hAnsi="Times New Roman" w:cs="Times New Roman"/>
          <w:lang w:val="en-GB"/>
        </w:rPr>
        <w:t xml:space="preserve"> and Malek’s situations implicate</w:t>
      </w:r>
      <w:r w:rsidR="00DE0FB5">
        <w:rPr>
          <w:rFonts w:ascii="Times New Roman" w:eastAsia="Times New Roman" w:hAnsi="Times New Roman" w:cs="Times New Roman"/>
          <w:lang w:val="en-GB"/>
        </w:rPr>
        <w:t xml:space="preserve"> far more than the autonomy principle. </w:t>
      </w:r>
      <w:r w:rsidR="00945B97">
        <w:rPr>
          <w:rFonts w:ascii="Times New Roman" w:eastAsia="Times New Roman" w:hAnsi="Times New Roman" w:cs="Times New Roman"/>
          <w:lang w:val="en-GB"/>
        </w:rPr>
        <w:t xml:space="preserve">As </w:t>
      </w:r>
      <w:r w:rsidR="00964782">
        <w:rPr>
          <w:rFonts w:ascii="Times New Roman" w:eastAsia="Times New Roman" w:hAnsi="Times New Roman" w:cs="Times New Roman"/>
          <w:lang w:val="en-GB"/>
        </w:rPr>
        <w:t xml:space="preserve">Koch suggests, as </w:t>
      </w:r>
      <w:r w:rsidR="00945B97">
        <w:rPr>
          <w:rFonts w:ascii="Times New Roman" w:eastAsia="Times New Roman" w:hAnsi="Times New Roman" w:cs="Times New Roman"/>
          <w:lang w:val="en-GB"/>
        </w:rPr>
        <w:t>soon as any of us str</w:t>
      </w:r>
      <w:r w:rsidR="00552D6B">
        <w:rPr>
          <w:rFonts w:ascii="Times New Roman" w:eastAsia="Times New Roman" w:hAnsi="Times New Roman" w:cs="Times New Roman"/>
          <w:lang w:val="en-GB"/>
        </w:rPr>
        <w:t xml:space="preserve">ives </w:t>
      </w:r>
      <w:r w:rsidR="00945B97">
        <w:rPr>
          <w:rFonts w:ascii="Times New Roman" w:eastAsia="Times New Roman" w:hAnsi="Times New Roman" w:cs="Times New Roman"/>
          <w:lang w:val="en-GB"/>
        </w:rPr>
        <w:t xml:space="preserve">to unpack and apply notions of </w:t>
      </w:r>
      <w:r w:rsidR="00945B97">
        <w:rPr>
          <w:rFonts w:ascii="Times New Roman" w:eastAsia="Times New Roman" w:hAnsi="Times New Roman" w:cs="Times New Roman"/>
          <w:lang w:val="en-GB"/>
        </w:rPr>
        <w:lastRenderedPageBreak/>
        <w:t>“‘good’ and ‘bad,’ ‘ri</w:t>
      </w:r>
      <w:r w:rsidR="00964782">
        <w:rPr>
          <w:rFonts w:ascii="Times New Roman" w:eastAsia="Times New Roman" w:hAnsi="Times New Roman" w:cs="Times New Roman"/>
          <w:lang w:val="en-GB"/>
        </w:rPr>
        <w:t xml:space="preserve">ght’ and ‘wrong,’” </w:t>
      </w:r>
      <w:r w:rsidR="00945B97">
        <w:rPr>
          <w:rFonts w:ascii="Times New Roman" w:eastAsia="Times New Roman" w:hAnsi="Times New Roman" w:cs="Times New Roman"/>
          <w:lang w:val="en-GB"/>
        </w:rPr>
        <w:t>we have entered pol</w:t>
      </w:r>
      <w:r w:rsidR="007F433B">
        <w:rPr>
          <w:rFonts w:ascii="Times New Roman" w:eastAsia="Times New Roman" w:hAnsi="Times New Roman" w:cs="Times New Roman"/>
          <w:lang w:val="en-GB"/>
        </w:rPr>
        <w:t>itical territory because we</w:t>
      </w:r>
      <w:r w:rsidR="00945B97">
        <w:rPr>
          <w:rFonts w:ascii="Times New Roman" w:eastAsia="Times New Roman" w:hAnsi="Times New Roman" w:cs="Times New Roman"/>
          <w:lang w:val="en-GB"/>
        </w:rPr>
        <w:t xml:space="preserve"> invariably end up justifying some options and critiquing</w:t>
      </w:r>
      <w:r w:rsidR="00964782">
        <w:rPr>
          <w:rFonts w:ascii="Times New Roman" w:eastAsia="Times New Roman" w:hAnsi="Times New Roman" w:cs="Times New Roman"/>
          <w:lang w:val="en-GB"/>
        </w:rPr>
        <w:t xml:space="preserve"> or discounting </w:t>
      </w:r>
      <w:r w:rsidR="00945B97">
        <w:rPr>
          <w:rFonts w:ascii="Times New Roman" w:eastAsia="Times New Roman" w:hAnsi="Times New Roman" w:cs="Times New Roman"/>
          <w:lang w:val="en-GB"/>
        </w:rPr>
        <w:t xml:space="preserve">others. </w:t>
      </w:r>
    </w:p>
    <w:p w14:paraId="352B2341" w14:textId="1D0713DE" w:rsidR="0096138F" w:rsidRDefault="0026715C" w:rsidP="008F0E15">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In this context, p</w:t>
      </w:r>
      <w:r w:rsidR="006B0717">
        <w:rPr>
          <w:rFonts w:ascii="Times New Roman" w:eastAsia="Times New Roman" w:hAnsi="Times New Roman" w:cs="Times New Roman"/>
          <w:lang w:val="en-GB"/>
        </w:rPr>
        <w:t>olitics</w:t>
      </w:r>
      <w:r>
        <w:rPr>
          <w:rFonts w:ascii="Times New Roman" w:eastAsia="Times New Roman" w:hAnsi="Times New Roman" w:cs="Times New Roman"/>
          <w:lang w:val="en-GB"/>
        </w:rPr>
        <w:t xml:space="preserve"> </w:t>
      </w:r>
      <w:r w:rsidR="00AF313B">
        <w:rPr>
          <w:rFonts w:ascii="Times New Roman" w:eastAsia="Times New Roman" w:hAnsi="Times New Roman" w:cs="Times New Roman"/>
          <w:lang w:val="en-GB"/>
        </w:rPr>
        <w:t xml:space="preserve">might be described </w:t>
      </w:r>
      <w:r w:rsidR="00025393">
        <w:rPr>
          <w:rFonts w:ascii="Times New Roman" w:eastAsia="Times New Roman" w:hAnsi="Times New Roman" w:cs="Times New Roman"/>
          <w:lang w:val="en-GB"/>
        </w:rPr>
        <w:t xml:space="preserve">fairly broadly </w:t>
      </w:r>
      <w:r w:rsidR="00AF313B">
        <w:rPr>
          <w:rFonts w:ascii="Times New Roman" w:eastAsia="Times New Roman" w:hAnsi="Times New Roman" w:cs="Times New Roman"/>
          <w:lang w:val="en-GB"/>
        </w:rPr>
        <w:t xml:space="preserve">as an effort to define </w:t>
      </w:r>
      <w:r w:rsidR="006B0717">
        <w:rPr>
          <w:rFonts w:ascii="Times New Roman" w:eastAsia="Times New Roman" w:hAnsi="Times New Roman" w:cs="Times New Roman"/>
          <w:lang w:val="en-GB"/>
        </w:rPr>
        <w:t xml:space="preserve">the </w:t>
      </w:r>
      <w:r>
        <w:rPr>
          <w:rFonts w:ascii="Times New Roman" w:eastAsia="Times New Roman" w:hAnsi="Times New Roman" w:cs="Times New Roman"/>
          <w:lang w:val="en-GB"/>
        </w:rPr>
        <w:t>obligations that we owe one to another, but Koch</w:t>
      </w:r>
      <w:r w:rsidR="00EC68C6">
        <w:rPr>
          <w:rFonts w:ascii="Times New Roman" w:eastAsia="Times New Roman" w:hAnsi="Times New Roman" w:cs="Times New Roman"/>
          <w:lang w:val="en-GB"/>
        </w:rPr>
        <w:t xml:space="preserve"> invokes the adage</w:t>
      </w:r>
      <w:r>
        <w:rPr>
          <w:rFonts w:ascii="Times New Roman" w:eastAsia="Times New Roman" w:hAnsi="Times New Roman" w:cs="Times New Roman"/>
          <w:lang w:val="en-GB"/>
        </w:rPr>
        <w:t xml:space="preserve"> that </w:t>
      </w:r>
      <w:r w:rsidR="00EC68C6">
        <w:rPr>
          <w:rFonts w:ascii="Times New Roman" w:eastAsia="Times New Roman" w:hAnsi="Times New Roman" w:cs="Times New Roman"/>
          <w:lang w:val="en-GB"/>
        </w:rPr>
        <w:t>“</w:t>
      </w:r>
      <w:r>
        <w:rPr>
          <w:rFonts w:ascii="Times New Roman" w:eastAsia="Times New Roman" w:hAnsi="Times New Roman" w:cs="Times New Roman"/>
          <w:lang w:val="en-GB"/>
        </w:rPr>
        <w:t xml:space="preserve">politics is applied ethics” and </w:t>
      </w:r>
      <w:r w:rsidR="00964782">
        <w:rPr>
          <w:rFonts w:ascii="Times New Roman" w:eastAsia="Times New Roman" w:hAnsi="Times New Roman" w:cs="Times New Roman"/>
          <w:lang w:val="en-GB"/>
        </w:rPr>
        <w:t xml:space="preserve">opines that it </w:t>
      </w:r>
      <w:r>
        <w:rPr>
          <w:rFonts w:ascii="Times New Roman" w:eastAsia="Times New Roman" w:hAnsi="Times New Roman" w:cs="Times New Roman"/>
          <w:lang w:val="en-GB"/>
        </w:rPr>
        <w:t>is “the dress that Philosophy wears when it seek</w:t>
      </w:r>
      <w:r w:rsidR="00F7772C">
        <w:rPr>
          <w:rFonts w:ascii="Times New Roman" w:eastAsia="Times New Roman" w:hAnsi="Times New Roman" w:cs="Times New Roman"/>
          <w:lang w:val="en-GB"/>
        </w:rPr>
        <w:t>s</w:t>
      </w:r>
      <w:r>
        <w:rPr>
          <w:rFonts w:ascii="Times New Roman" w:eastAsia="Times New Roman" w:hAnsi="Times New Roman" w:cs="Times New Roman"/>
          <w:lang w:val="en-GB"/>
        </w:rPr>
        <w:t xml:space="preserve"> to be seen as useful, its subject something that is practical and real, and thus important.”</w:t>
      </w:r>
      <w:r>
        <w:rPr>
          <w:rStyle w:val="FootnoteReference"/>
          <w:rFonts w:ascii="Times New Roman" w:eastAsia="Times New Roman" w:hAnsi="Times New Roman" w:cs="Times New Roman"/>
          <w:lang w:val="en-GB"/>
        </w:rPr>
        <w:footnoteReference w:id="114"/>
      </w:r>
      <w:r>
        <w:rPr>
          <w:rFonts w:ascii="Times New Roman" w:eastAsia="Times New Roman" w:hAnsi="Times New Roman" w:cs="Times New Roman"/>
          <w:lang w:val="en-GB"/>
        </w:rPr>
        <w:t xml:space="preserve"> </w:t>
      </w:r>
      <w:r w:rsidR="00954C89">
        <w:rPr>
          <w:rFonts w:ascii="Times New Roman" w:eastAsia="Times New Roman" w:hAnsi="Times New Roman" w:cs="Times New Roman"/>
          <w:lang w:val="en-GB"/>
        </w:rPr>
        <w:t>His framing may feel a little uncomfortable</w:t>
      </w:r>
      <w:r w:rsidR="007868AB">
        <w:rPr>
          <w:rFonts w:ascii="Times New Roman" w:eastAsia="Times New Roman" w:hAnsi="Times New Roman" w:cs="Times New Roman"/>
          <w:lang w:val="en-GB"/>
        </w:rPr>
        <w:t xml:space="preserve"> when he states that </w:t>
      </w:r>
      <w:r w:rsidR="007329F8" w:rsidRPr="007329F8">
        <w:rPr>
          <w:rFonts w:ascii="Times New Roman" w:eastAsia="Times New Roman" w:hAnsi="Times New Roman" w:cs="Times New Roman"/>
          <w:lang w:val="en-GB"/>
        </w:rPr>
        <w:t>we would have to b</w:t>
      </w:r>
      <w:r w:rsidR="007329F8">
        <w:rPr>
          <w:rFonts w:ascii="Times New Roman" w:eastAsia="Times New Roman" w:hAnsi="Times New Roman" w:cs="Times New Roman"/>
          <w:lang w:val="en-GB"/>
        </w:rPr>
        <w:t>e duplicitous or naïve to embrace the notion that either philosop</w:t>
      </w:r>
      <w:r w:rsidR="009827A5">
        <w:rPr>
          <w:rFonts w:ascii="Times New Roman" w:eastAsia="Times New Roman" w:hAnsi="Times New Roman" w:cs="Times New Roman"/>
          <w:lang w:val="en-GB"/>
        </w:rPr>
        <w:t>hy or politics can be entirely without bias</w:t>
      </w:r>
      <w:r w:rsidR="000B17B8" w:rsidRPr="007329F8">
        <w:rPr>
          <w:rFonts w:ascii="Times New Roman" w:eastAsia="Times New Roman" w:hAnsi="Times New Roman" w:cs="Times New Roman"/>
          <w:lang w:val="en-GB"/>
        </w:rPr>
        <w:t>,</w:t>
      </w:r>
      <w:r w:rsidR="00954C89">
        <w:rPr>
          <w:rFonts w:ascii="Times New Roman" w:eastAsia="Times New Roman" w:hAnsi="Times New Roman" w:cs="Times New Roman"/>
          <w:lang w:val="en-GB"/>
        </w:rPr>
        <w:t xml:space="preserve"> but </w:t>
      </w:r>
      <w:r w:rsidR="000B17B8">
        <w:rPr>
          <w:rFonts w:ascii="Times New Roman" w:eastAsia="Times New Roman" w:hAnsi="Times New Roman" w:cs="Times New Roman"/>
          <w:lang w:val="en-GB"/>
        </w:rPr>
        <w:t xml:space="preserve">surely </w:t>
      </w:r>
      <w:r w:rsidR="00954C89">
        <w:rPr>
          <w:rFonts w:ascii="Times New Roman" w:eastAsia="Times New Roman" w:hAnsi="Times New Roman" w:cs="Times New Roman"/>
          <w:lang w:val="en-GB"/>
        </w:rPr>
        <w:t>he is right to</w:t>
      </w:r>
      <w:r w:rsidR="00AF313B">
        <w:rPr>
          <w:rFonts w:ascii="Times New Roman" w:eastAsia="Times New Roman" w:hAnsi="Times New Roman" w:cs="Times New Roman"/>
          <w:lang w:val="en-GB"/>
        </w:rPr>
        <w:t xml:space="preserve"> </w:t>
      </w:r>
      <w:r w:rsidR="00954C89">
        <w:rPr>
          <w:rFonts w:ascii="Times New Roman" w:eastAsia="Times New Roman" w:hAnsi="Times New Roman" w:cs="Times New Roman"/>
          <w:lang w:val="en-GB"/>
        </w:rPr>
        <w:t>note</w:t>
      </w:r>
      <w:r w:rsidR="00BB383E">
        <w:rPr>
          <w:rFonts w:ascii="Times New Roman" w:eastAsia="Times New Roman" w:hAnsi="Times New Roman" w:cs="Times New Roman"/>
          <w:lang w:val="en-GB"/>
        </w:rPr>
        <w:t xml:space="preserve"> the impossibility of </w:t>
      </w:r>
      <w:r w:rsidR="000B17B8">
        <w:rPr>
          <w:rFonts w:ascii="Times New Roman" w:eastAsia="Times New Roman" w:hAnsi="Times New Roman" w:cs="Times New Roman"/>
          <w:lang w:val="en-GB"/>
        </w:rPr>
        <w:t>access</w:t>
      </w:r>
      <w:r w:rsidR="00BB383E">
        <w:rPr>
          <w:rFonts w:ascii="Times New Roman" w:eastAsia="Times New Roman" w:hAnsi="Times New Roman" w:cs="Times New Roman"/>
          <w:lang w:val="en-GB"/>
        </w:rPr>
        <w:t>ing</w:t>
      </w:r>
      <w:r w:rsidR="000B17B8">
        <w:rPr>
          <w:rFonts w:ascii="Times New Roman" w:eastAsia="Times New Roman" w:hAnsi="Times New Roman" w:cs="Times New Roman"/>
          <w:lang w:val="en-GB"/>
        </w:rPr>
        <w:t xml:space="preserve"> </w:t>
      </w:r>
      <w:r w:rsidR="00954C89">
        <w:rPr>
          <w:rFonts w:ascii="Times New Roman" w:eastAsia="Times New Roman" w:hAnsi="Times New Roman" w:cs="Times New Roman"/>
          <w:lang w:val="en-GB"/>
        </w:rPr>
        <w:t xml:space="preserve">“a morality that is </w:t>
      </w:r>
      <w:r w:rsidR="00787E93">
        <w:rPr>
          <w:rFonts w:ascii="Times New Roman" w:eastAsia="Times New Roman" w:hAnsi="Times New Roman" w:cs="Times New Roman"/>
          <w:lang w:val="en-GB"/>
        </w:rPr>
        <w:t xml:space="preserve">real, distinct, and value-free . . . </w:t>
      </w:r>
      <w:r w:rsidR="00954C89">
        <w:rPr>
          <w:rFonts w:ascii="Times New Roman" w:eastAsia="Times New Roman" w:hAnsi="Times New Roman" w:cs="Times New Roman"/>
          <w:lang w:val="en-GB"/>
        </w:rPr>
        <w:t xml:space="preserve">that could be </w:t>
      </w:r>
      <w:r w:rsidR="000B17B8">
        <w:rPr>
          <w:rFonts w:ascii="Times New Roman" w:eastAsia="Times New Roman" w:hAnsi="Times New Roman" w:cs="Times New Roman"/>
          <w:lang w:val="en-GB"/>
        </w:rPr>
        <w:t xml:space="preserve">discovered and pronounced rather than self-consciously constructed.” </w:t>
      </w:r>
      <w:r w:rsidR="000B17B8">
        <w:rPr>
          <w:rStyle w:val="FootnoteReference"/>
          <w:rFonts w:ascii="Times New Roman" w:eastAsia="Times New Roman" w:hAnsi="Times New Roman" w:cs="Times New Roman"/>
          <w:lang w:val="en-GB"/>
        </w:rPr>
        <w:footnoteReference w:id="115"/>
      </w:r>
      <w:r w:rsidR="006D01AF">
        <w:rPr>
          <w:rFonts w:ascii="Times New Roman" w:eastAsia="Times New Roman" w:hAnsi="Times New Roman" w:cs="Times New Roman"/>
          <w:lang w:val="en-GB"/>
        </w:rPr>
        <w:t xml:space="preserve"> A</w:t>
      </w:r>
      <w:r w:rsidR="00D50F91">
        <w:rPr>
          <w:rFonts w:ascii="Times New Roman" w:eastAsia="Times New Roman" w:hAnsi="Times New Roman" w:cs="Times New Roman"/>
          <w:lang w:val="en-GB"/>
        </w:rPr>
        <w:t>ny effort to make sense of</w:t>
      </w:r>
      <w:r w:rsidR="006D01AF">
        <w:rPr>
          <w:rFonts w:ascii="Times New Roman" w:eastAsia="Times New Roman" w:hAnsi="Times New Roman" w:cs="Times New Roman"/>
          <w:lang w:val="en-GB"/>
        </w:rPr>
        <w:t xml:space="preserve"> </w:t>
      </w:r>
      <w:r w:rsidR="00D50F91">
        <w:rPr>
          <w:rFonts w:ascii="Times New Roman" w:eastAsia="Times New Roman" w:hAnsi="Times New Roman" w:cs="Times New Roman"/>
          <w:lang w:val="en-GB"/>
        </w:rPr>
        <w:t xml:space="preserve">what is ethically at stake </w:t>
      </w:r>
      <w:r w:rsidR="00BB383E">
        <w:rPr>
          <w:rFonts w:ascii="Times New Roman" w:eastAsia="Times New Roman" w:hAnsi="Times New Roman" w:cs="Times New Roman"/>
          <w:lang w:val="en-GB"/>
        </w:rPr>
        <w:t xml:space="preserve">in </w:t>
      </w:r>
      <w:r w:rsidR="009827A5">
        <w:rPr>
          <w:rFonts w:ascii="Times New Roman" w:eastAsia="Times New Roman" w:hAnsi="Times New Roman" w:cs="Times New Roman"/>
          <w:lang w:val="en-GB"/>
        </w:rPr>
        <w:t xml:space="preserve">clinical </w:t>
      </w:r>
      <w:r w:rsidR="006D01AF">
        <w:rPr>
          <w:rFonts w:ascii="Times New Roman" w:eastAsia="Times New Roman" w:hAnsi="Times New Roman" w:cs="Times New Roman"/>
          <w:lang w:val="en-GB"/>
        </w:rPr>
        <w:t xml:space="preserve">cases </w:t>
      </w:r>
      <w:r w:rsidR="00025393">
        <w:rPr>
          <w:rFonts w:ascii="Times New Roman" w:eastAsia="Times New Roman" w:hAnsi="Times New Roman" w:cs="Times New Roman"/>
          <w:lang w:val="en-GB"/>
        </w:rPr>
        <w:t xml:space="preserve">like these </w:t>
      </w:r>
      <w:r w:rsidR="006D01AF">
        <w:rPr>
          <w:rFonts w:ascii="Times New Roman" w:eastAsia="Times New Roman" w:hAnsi="Times New Roman" w:cs="Times New Roman"/>
          <w:lang w:val="en-GB"/>
        </w:rPr>
        <w:t>oblige</w:t>
      </w:r>
      <w:r w:rsidR="00025393">
        <w:rPr>
          <w:rFonts w:ascii="Times New Roman" w:eastAsia="Times New Roman" w:hAnsi="Times New Roman" w:cs="Times New Roman"/>
          <w:lang w:val="en-GB"/>
        </w:rPr>
        <w:t>s</w:t>
      </w:r>
      <w:r w:rsidR="006D01AF">
        <w:rPr>
          <w:rFonts w:ascii="Times New Roman" w:eastAsia="Times New Roman" w:hAnsi="Times New Roman" w:cs="Times New Roman"/>
          <w:lang w:val="en-GB"/>
        </w:rPr>
        <w:t xml:space="preserve"> the PHE</w:t>
      </w:r>
      <w:r w:rsidR="00D50F91">
        <w:rPr>
          <w:rFonts w:ascii="Times New Roman" w:eastAsia="Times New Roman" w:hAnsi="Times New Roman" w:cs="Times New Roman"/>
          <w:lang w:val="en-GB"/>
        </w:rPr>
        <w:t xml:space="preserve"> (</w:t>
      </w:r>
      <w:r w:rsidR="00442E54">
        <w:rPr>
          <w:rFonts w:ascii="Times New Roman" w:eastAsia="Times New Roman" w:hAnsi="Times New Roman" w:cs="Times New Roman"/>
          <w:lang w:val="en-GB"/>
        </w:rPr>
        <w:t>and indeed, all engaged in the</w:t>
      </w:r>
      <w:r w:rsidR="006D01AF">
        <w:rPr>
          <w:rFonts w:ascii="Times New Roman" w:eastAsia="Times New Roman" w:hAnsi="Times New Roman" w:cs="Times New Roman"/>
          <w:lang w:val="en-GB"/>
        </w:rPr>
        <w:t xml:space="preserve"> process of moral deliberation</w:t>
      </w:r>
      <w:r w:rsidR="00D50F91">
        <w:rPr>
          <w:rFonts w:ascii="Times New Roman" w:eastAsia="Times New Roman" w:hAnsi="Times New Roman" w:cs="Times New Roman"/>
          <w:lang w:val="en-GB"/>
        </w:rPr>
        <w:t>)</w:t>
      </w:r>
      <w:r w:rsidR="006D01AF">
        <w:rPr>
          <w:rFonts w:ascii="Times New Roman" w:eastAsia="Times New Roman" w:hAnsi="Times New Roman" w:cs="Times New Roman"/>
          <w:lang w:val="en-GB"/>
        </w:rPr>
        <w:t xml:space="preserve">, to reflect </w:t>
      </w:r>
      <w:r w:rsidR="00442E54">
        <w:rPr>
          <w:rFonts w:ascii="Times New Roman" w:eastAsia="Times New Roman" w:hAnsi="Times New Roman" w:cs="Times New Roman"/>
          <w:lang w:val="en-GB"/>
        </w:rPr>
        <w:t xml:space="preserve">on </w:t>
      </w:r>
      <w:r w:rsidR="00E14F6B">
        <w:rPr>
          <w:rFonts w:ascii="Times New Roman" w:eastAsia="Times New Roman" w:hAnsi="Times New Roman" w:cs="Times New Roman"/>
          <w:lang w:val="en-GB"/>
        </w:rPr>
        <w:t xml:space="preserve">more than </w:t>
      </w:r>
      <w:r w:rsidR="009827A5">
        <w:rPr>
          <w:rFonts w:ascii="Times New Roman" w:eastAsia="Times New Roman" w:hAnsi="Times New Roman" w:cs="Times New Roman"/>
          <w:lang w:val="en-GB"/>
        </w:rPr>
        <w:t xml:space="preserve">the </w:t>
      </w:r>
      <w:r w:rsidR="0076423C">
        <w:rPr>
          <w:rFonts w:ascii="Times New Roman" w:eastAsia="Times New Roman" w:hAnsi="Times New Roman" w:cs="Times New Roman"/>
          <w:lang w:val="en-GB"/>
        </w:rPr>
        <w:t>immediate medical</w:t>
      </w:r>
      <w:r w:rsidR="006D01AF">
        <w:rPr>
          <w:rFonts w:ascii="Times New Roman" w:eastAsia="Times New Roman" w:hAnsi="Times New Roman" w:cs="Times New Roman"/>
          <w:lang w:val="en-GB"/>
        </w:rPr>
        <w:t xml:space="preserve"> ne</w:t>
      </w:r>
      <w:r w:rsidR="0076423C">
        <w:rPr>
          <w:rFonts w:ascii="Times New Roman" w:eastAsia="Times New Roman" w:hAnsi="Times New Roman" w:cs="Times New Roman"/>
          <w:lang w:val="en-GB"/>
        </w:rPr>
        <w:t xml:space="preserve">eds of </w:t>
      </w:r>
      <w:r w:rsidR="00E14F6B">
        <w:rPr>
          <w:rFonts w:ascii="Times New Roman" w:eastAsia="Times New Roman" w:hAnsi="Times New Roman" w:cs="Times New Roman"/>
          <w:lang w:val="en-GB"/>
        </w:rPr>
        <w:t>patients</w:t>
      </w:r>
      <w:r w:rsidR="0076423C">
        <w:rPr>
          <w:rFonts w:ascii="Times New Roman" w:eastAsia="Times New Roman" w:hAnsi="Times New Roman" w:cs="Times New Roman"/>
          <w:lang w:val="en-GB"/>
        </w:rPr>
        <w:t xml:space="preserve"> or</w:t>
      </w:r>
      <w:r w:rsidR="006D01AF">
        <w:rPr>
          <w:rFonts w:ascii="Times New Roman" w:eastAsia="Times New Roman" w:hAnsi="Times New Roman" w:cs="Times New Roman"/>
          <w:lang w:val="en-GB"/>
        </w:rPr>
        <w:t xml:space="preserve"> the </w:t>
      </w:r>
      <w:r w:rsidR="00D2739C">
        <w:rPr>
          <w:rFonts w:ascii="Times New Roman" w:eastAsia="Times New Roman" w:hAnsi="Times New Roman" w:cs="Times New Roman"/>
          <w:lang w:val="en-GB"/>
        </w:rPr>
        <w:t>i</w:t>
      </w:r>
      <w:r w:rsidR="0076423C">
        <w:rPr>
          <w:rFonts w:ascii="Times New Roman" w:eastAsia="Times New Roman" w:hAnsi="Times New Roman" w:cs="Times New Roman"/>
          <w:lang w:val="en-GB"/>
        </w:rPr>
        <w:t>nternal and external standards (</w:t>
      </w:r>
      <w:r w:rsidR="00E14F6B">
        <w:rPr>
          <w:rFonts w:ascii="Times New Roman" w:eastAsia="Times New Roman" w:hAnsi="Times New Roman" w:cs="Times New Roman"/>
          <w:lang w:val="en-GB"/>
        </w:rPr>
        <w:t xml:space="preserve">such as </w:t>
      </w:r>
      <w:r w:rsidR="0076423C">
        <w:rPr>
          <w:rFonts w:ascii="Times New Roman" w:eastAsia="Times New Roman" w:hAnsi="Times New Roman" w:cs="Times New Roman"/>
          <w:lang w:val="en-GB"/>
        </w:rPr>
        <w:t>policies and legal requirements)</w:t>
      </w:r>
      <w:r w:rsidR="00E14F6B">
        <w:rPr>
          <w:rFonts w:ascii="Times New Roman" w:eastAsia="Times New Roman" w:hAnsi="Times New Roman" w:cs="Times New Roman"/>
          <w:lang w:val="en-GB"/>
        </w:rPr>
        <w:t xml:space="preserve"> </w:t>
      </w:r>
      <w:r w:rsidR="00D50F91">
        <w:rPr>
          <w:rFonts w:ascii="Times New Roman" w:eastAsia="Times New Roman" w:hAnsi="Times New Roman" w:cs="Times New Roman"/>
          <w:lang w:val="en-GB"/>
        </w:rPr>
        <w:t xml:space="preserve">that </w:t>
      </w:r>
      <w:r w:rsidR="00442E54">
        <w:rPr>
          <w:rFonts w:ascii="Times New Roman" w:eastAsia="Times New Roman" w:hAnsi="Times New Roman" w:cs="Times New Roman"/>
          <w:lang w:val="en-GB"/>
        </w:rPr>
        <w:lastRenderedPageBreak/>
        <w:t>constrain or compel</w:t>
      </w:r>
      <w:r w:rsidR="00D50F91">
        <w:rPr>
          <w:rFonts w:ascii="Times New Roman" w:eastAsia="Times New Roman" w:hAnsi="Times New Roman" w:cs="Times New Roman"/>
          <w:lang w:val="en-GB"/>
        </w:rPr>
        <w:t xml:space="preserve"> certain ac</w:t>
      </w:r>
      <w:r w:rsidR="0076423C">
        <w:rPr>
          <w:rFonts w:ascii="Times New Roman" w:eastAsia="Times New Roman" w:hAnsi="Times New Roman" w:cs="Times New Roman"/>
          <w:lang w:val="en-GB"/>
        </w:rPr>
        <w:t>tions by</w:t>
      </w:r>
      <w:r w:rsidR="00F01BF1">
        <w:rPr>
          <w:rFonts w:ascii="Times New Roman" w:eastAsia="Times New Roman" w:hAnsi="Times New Roman" w:cs="Times New Roman"/>
          <w:lang w:val="en-GB"/>
        </w:rPr>
        <w:t xml:space="preserve"> practitioners and</w:t>
      </w:r>
      <w:r w:rsidR="00D50F91">
        <w:rPr>
          <w:rFonts w:ascii="Times New Roman" w:eastAsia="Times New Roman" w:hAnsi="Times New Roman" w:cs="Times New Roman"/>
          <w:lang w:val="en-GB"/>
        </w:rPr>
        <w:t xml:space="preserve"> </w:t>
      </w:r>
      <w:r w:rsidR="007F433B">
        <w:rPr>
          <w:rFonts w:ascii="Times New Roman" w:eastAsia="Times New Roman" w:hAnsi="Times New Roman" w:cs="Times New Roman"/>
          <w:lang w:val="en-GB"/>
        </w:rPr>
        <w:t xml:space="preserve">health care </w:t>
      </w:r>
      <w:r w:rsidR="00D50F91">
        <w:rPr>
          <w:rFonts w:ascii="Times New Roman" w:eastAsia="Times New Roman" w:hAnsi="Times New Roman" w:cs="Times New Roman"/>
          <w:lang w:val="en-GB"/>
        </w:rPr>
        <w:t>institution</w:t>
      </w:r>
      <w:r w:rsidR="00F01BF1">
        <w:rPr>
          <w:rFonts w:ascii="Times New Roman" w:eastAsia="Times New Roman" w:hAnsi="Times New Roman" w:cs="Times New Roman"/>
          <w:lang w:val="en-GB"/>
        </w:rPr>
        <w:t>s</w:t>
      </w:r>
      <w:r w:rsidR="00442E54">
        <w:rPr>
          <w:rFonts w:ascii="Times New Roman" w:eastAsia="Times New Roman" w:hAnsi="Times New Roman" w:cs="Times New Roman"/>
          <w:lang w:val="en-GB"/>
        </w:rPr>
        <w:t>.</w:t>
      </w:r>
      <w:r w:rsidR="007F433B">
        <w:rPr>
          <w:rStyle w:val="FootnoteReference"/>
          <w:rFonts w:ascii="Times New Roman" w:eastAsia="Times New Roman" w:hAnsi="Times New Roman" w:cs="Times New Roman"/>
          <w:lang w:val="en-GB"/>
        </w:rPr>
        <w:footnoteReference w:id="116"/>
      </w:r>
      <w:r w:rsidR="00442E54">
        <w:rPr>
          <w:rFonts w:ascii="Times New Roman" w:eastAsia="Times New Roman" w:hAnsi="Times New Roman" w:cs="Times New Roman"/>
          <w:lang w:val="en-GB"/>
        </w:rPr>
        <w:t xml:space="preserve"> Larger questions of justice </w:t>
      </w:r>
      <w:r w:rsidR="009E714C">
        <w:rPr>
          <w:rFonts w:ascii="Times New Roman" w:eastAsia="Times New Roman" w:hAnsi="Times New Roman" w:cs="Times New Roman"/>
          <w:lang w:val="en-GB"/>
        </w:rPr>
        <w:t xml:space="preserve">will also be </w:t>
      </w:r>
      <w:r w:rsidR="008F0E15">
        <w:rPr>
          <w:rFonts w:ascii="Times New Roman" w:eastAsia="Times New Roman" w:hAnsi="Times New Roman" w:cs="Times New Roman"/>
          <w:lang w:val="en-GB"/>
        </w:rPr>
        <w:t>lurking in the background</w:t>
      </w:r>
      <w:r w:rsidR="00BF4FDC">
        <w:rPr>
          <w:rFonts w:ascii="Times New Roman" w:eastAsia="Times New Roman" w:hAnsi="Times New Roman" w:cs="Times New Roman"/>
          <w:lang w:val="en-GB"/>
        </w:rPr>
        <w:t xml:space="preserve">, and these may be </w:t>
      </w:r>
      <w:r w:rsidR="008F0E15">
        <w:rPr>
          <w:rFonts w:ascii="Times New Roman" w:eastAsia="Times New Roman" w:hAnsi="Times New Roman" w:cs="Times New Roman"/>
          <w:lang w:val="en-GB"/>
        </w:rPr>
        <w:t xml:space="preserve">deliberately placed </w:t>
      </w:r>
      <w:r w:rsidR="00BF4FDC">
        <w:rPr>
          <w:rFonts w:ascii="Times New Roman" w:eastAsia="Times New Roman" w:hAnsi="Times New Roman" w:cs="Times New Roman"/>
          <w:lang w:val="en-GB"/>
        </w:rPr>
        <w:t>on</w:t>
      </w:r>
      <w:r w:rsidR="000535AC">
        <w:rPr>
          <w:rFonts w:ascii="Times New Roman" w:eastAsia="Times New Roman" w:hAnsi="Times New Roman" w:cs="Times New Roman"/>
          <w:lang w:val="en-GB"/>
        </w:rPr>
        <w:t>,</w:t>
      </w:r>
      <w:r w:rsidR="00BF4FDC">
        <w:rPr>
          <w:rFonts w:ascii="Times New Roman" w:eastAsia="Times New Roman" w:hAnsi="Times New Roman" w:cs="Times New Roman"/>
          <w:lang w:val="en-GB"/>
        </w:rPr>
        <w:t xml:space="preserve"> or be taken off</w:t>
      </w:r>
      <w:r w:rsidR="000535AC">
        <w:rPr>
          <w:rFonts w:ascii="Times New Roman" w:eastAsia="Times New Roman" w:hAnsi="Times New Roman" w:cs="Times New Roman"/>
          <w:lang w:val="en-GB"/>
        </w:rPr>
        <w:t>,</w:t>
      </w:r>
      <w:r w:rsidR="00BF4FDC">
        <w:rPr>
          <w:rFonts w:ascii="Times New Roman" w:eastAsia="Times New Roman" w:hAnsi="Times New Roman" w:cs="Times New Roman"/>
          <w:lang w:val="en-GB"/>
        </w:rPr>
        <w:t xml:space="preserve"> </w:t>
      </w:r>
      <w:r w:rsidR="009E714C">
        <w:rPr>
          <w:rFonts w:ascii="Times New Roman" w:eastAsia="Times New Roman" w:hAnsi="Times New Roman" w:cs="Times New Roman"/>
          <w:lang w:val="en-GB"/>
        </w:rPr>
        <w:t>the proverbial table</w:t>
      </w:r>
      <w:r w:rsidR="00F01BF1">
        <w:rPr>
          <w:rFonts w:ascii="Times New Roman" w:eastAsia="Times New Roman" w:hAnsi="Times New Roman" w:cs="Times New Roman"/>
          <w:lang w:val="en-GB"/>
        </w:rPr>
        <w:t xml:space="preserve"> in the course of an ethics consultation</w:t>
      </w:r>
      <w:r w:rsidR="003F0BB2">
        <w:rPr>
          <w:rFonts w:ascii="Times New Roman" w:eastAsia="Times New Roman" w:hAnsi="Times New Roman" w:cs="Times New Roman"/>
          <w:lang w:val="en-GB"/>
        </w:rPr>
        <w:t xml:space="preserve">. The following might be contributions to </w:t>
      </w:r>
      <w:r w:rsidR="00542AF4">
        <w:rPr>
          <w:rFonts w:ascii="Times New Roman" w:eastAsia="Times New Roman" w:hAnsi="Times New Roman" w:cs="Times New Roman"/>
          <w:lang w:val="en-GB"/>
        </w:rPr>
        <w:t xml:space="preserve">such a </w:t>
      </w:r>
      <w:r w:rsidR="003F0BB2">
        <w:rPr>
          <w:rFonts w:ascii="Times New Roman" w:eastAsia="Times New Roman" w:hAnsi="Times New Roman" w:cs="Times New Roman"/>
          <w:lang w:val="en-GB"/>
        </w:rPr>
        <w:t>conversation</w:t>
      </w:r>
      <w:r w:rsidR="00BB383E">
        <w:rPr>
          <w:rFonts w:ascii="Times New Roman" w:eastAsia="Times New Roman" w:hAnsi="Times New Roman" w:cs="Times New Roman"/>
          <w:lang w:val="en-GB"/>
        </w:rPr>
        <w:t>:</w:t>
      </w:r>
      <w:r w:rsidR="00A17574">
        <w:rPr>
          <w:rFonts w:ascii="Times New Roman" w:eastAsia="Times New Roman" w:hAnsi="Times New Roman" w:cs="Times New Roman"/>
          <w:lang w:val="en-GB"/>
        </w:rPr>
        <w:t xml:space="preserve"> How can the needs of these patients be met in the context of competing commitments</w:t>
      </w:r>
      <w:r w:rsidR="00F01BF1">
        <w:rPr>
          <w:rFonts w:ascii="Times New Roman" w:eastAsia="Times New Roman" w:hAnsi="Times New Roman" w:cs="Times New Roman"/>
          <w:lang w:val="en-GB"/>
        </w:rPr>
        <w:t xml:space="preserve"> to other (curr</w:t>
      </w:r>
      <w:r w:rsidR="00847E2B">
        <w:rPr>
          <w:rFonts w:ascii="Times New Roman" w:eastAsia="Times New Roman" w:hAnsi="Times New Roman" w:cs="Times New Roman"/>
          <w:lang w:val="en-GB"/>
        </w:rPr>
        <w:t xml:space="preserve">ent and future) patients and </w:t>
      </w:r>
      <w:r w:rsidR="00F01BF1">
        <w:rPr>
          <w:rFonts w:ascii="Times New Roman" w:eastAsia="Times New Roman" w:hAnsi="Times New Roman" w:cs="Times New Roman"/>
          <w:lang w:val="en-GB"/>
        </w:rPr>
        <w:t>staff members</w:t>
      </w:r>
      <w:r w:rsidR="00A17574">
        <w:rPr>
          <w:rFonts w:ascii="Times New Roman" w:eastAsia="Times New Roman" w:hAnsi="Times New Roman" w:cs="Times New Roman"/>
          <w:lang w:val="en-GB"/>
        </w:rPr>
        <w:t>? To what extent are these patients responsible for</w:t>
      </w:r>
      <w:r w:rsidR="0076423C">
        <w:rPr>
          <w:rFonts w:ascii="Times New Roman" w:eastAsia="Times New Roman" w:hAnsi="Times New Roman" w:cs="Times New Roman"/>
          <w:lang w:val="en-GB"/>
        </w:rPr>
        <w:t>, or victims of,</w:t>
      </w:r>
      <w:r w:rsidR="00A17574">
        <w:rPr>
          <w:rFonts w:ascii="Times New Roman" w:eastAsia="Times New Roman" w:hAnsi="Times New Roman" w:cs="Times New Roman"/>
          <w:lang w:val="en-GB"/>
        </w:rPr>
        <w:t xml:space="preserve"> their circumstances? What structural vulnerabilities </w:t>
      </w:r>
      <w:r w:rsidR="00BB383E">
        <w:rPr>
          <w:rFonts w:ascii="Times New Roman" w:eastAsia="Times New Roman" w:hAnsi="Times New Roman" w:cs="Times New Roman"/>
          <w:lang w:val="en-GB"/>
        </w:rPr>
        <w:t>render them unable</w:t>
      </w:r>
      <w:r w:rsidR="00090A07">
        <w:rPr>
          <w:rFonts w:ascii="Times New Roman" w:eastAsia="Times New Roman" w:hAnsi="Times New Roman" w:cs="Times New Roman"/>
          <w:lang w:val="en-GB"/>
        </w:rPr>
        <w:t>,</w:t>
      </w:r>
      <w:r w:rsidR="008F0E15">
        <w:rPr>
          <w:rFonts w:ascii="Times New Roman" w:eastAsia="Times New Roman" w:hAnsi="Times New Roman" w:cs="Times New Roman"/>
          <w:lang w:val="en-GB"/>
        </w:rPr>
        <w:t xml:space="preserve"> </w:t>
      </w:r>
      <w:r w:rsidR="00D2739C">
        <w:rPr>
          <w:rFonts w:ascii="Times New Roman" w:eastAsia="Times New Roman" w:hAnsi="Times New Roman" w:cs="Times New Roman"/>
          <w:lang w:val="en-GB"/>
        </w:rPr>
        <w:t>or less able</w:t>
      </w:r>
      <w:r w:rsidR="00090A07">
        <w:rPr>
          <w:rFonts w:ascii="Times New Roman" w:eastAsia="Times New Roman" w:hAnsi="Times New Roman" w:cs="Times New Roman"/>
          <w:lang w:val="en-GB"/>
        </w:rPr>
        <w:t>,</w:t>
      </w:r>
      <w:r w:rsidR="00D2739C">
        <w:rPr>
          <w:rFonts w:ascii="Times New Roman" w:eastAsia="Times New Roman" w:hAnsi="Times New Roman" w:cs="Times New Roman"/>
          <w:lang w:val="en-GB"/>
        </w:rPr>
        <w:t xml:space="preserve"> </w:t>
      </w:r>
      <w:r w:rsidR="008F0E15">
        <w:rPr>
          <w:rFonts w:ascii="Times New Roman" w:eastAsia="Times New Roman" w:hAnsi="Times New Roman" w:cs="Times New Roman"/>
          <w:lang w:val="en-GB"/>
        </w:rPr>
        <w:t xml:space="preserve">to access the benefits that are routinely </w:t>
      </w:r>
      <w:r w:rsidR="00BB383E">
        <w:rPr>
          <w:rFonts w:ascii="Times New Roman" w:eastAsia="Times New Roman" w:hAnsi="Times New Roman" w:cs="Times New Roman"/>
          <w:lang w:val="en-GB"/>
        </w:rPr>
        <w:t>afford</w:t>
      </w:r>
      <w:r w:rsidR="008F0E15">
        <w:rPr>
          <w:rFonts w:ascii="Times New Roman" w:eastAsia="Times New Roman" w:hAnsi="Times New Roman" w:cs="Times New Roman"/>
          <w:lang w:val="en-GB"/>
        </w:rPr>
        <w:t>ed</w:t>
      </w:r>
      <w:r w:rsidR="00BB383E">
        <w:rPr>
          <w:rFonts w:ascii="Times New Roman" w:eastAsia="Times New Roman" w:hAnsi="Times New Roman" w:cs="Times New Roman"/>
          <w:lang w:val="en-GB"/>
        </w:rPr>
        <w:t xml:space="preserve"> to others? What</w:t>
      </w:r>
      <w:r w:rsidR="00AC3628">
        <w:rPr>
          <w:rFonts w:ascii="Times New Roman" w:eastAsia="Times New Roman" w:hAnsi="Times New Roman" w:cs="Times New Roman"/>
          <w:lang w:val="en-GB"/>
        </w:rPr>
        <w:t xml:space="preserve"> should</w:t>
      </w:r>
      <w:r w:rsidR="00BB383E">
        <w:rPr>
          <w:rFonts w:ascii="Times New Roman" w:eastAsia="Times New Roman" w:hAnsi="Times New Roman" w:cs="Times New Roman"/>
          <w:lang w:val="en-GB"/>
        </w:rPr>
        <w:t xml:space="preserve"> </w:t>
      </w:r>
      <w:r w:rsidR="000E7C46">
        <w:rPr>
          <w:rFonts w:ascii="Times New Roman" w:eastAsia="Times New Roman" w:hAnsi="Times New Roman" w:cs="Times New Roman"/>
          <w:lang w:val="en-GB"/>
        </w:rPr>
        <w:t xml:space="preserve">health care </w:t>
      </w:r>
      <w:r w:rsidR="00BB383E">
        <w:rPr>
          <w:rFonts w:ascii="Times New Roman" w:eastAsia="Times New Roman" w:hAnsi="Times New Roman" w:cs="Times New Roman"/>
          <w:lang w:val="en-GB"/>
        </w:rPr>
        <w:t>pr</w:t>
      </w:r>
      <w:r w:rsidR="000E7C46">
        <w:rPr>
          <w:rFonts w:ascii="Times New Roman" w:eastAsia="Times New Roman" w:hAnsi="Times New Roman" w:cs="Times New Roman"/>
          <w:lang w:val="en-GB"/>
        </w:rPr>
        <w:t>ofessionals, or members of the larger community,</w:t>
      </w:r>
      <w:r w:rsidR="00BB383E">
        <w:rPr>
          <w:rFonts w:ascii="Times New Roman" w:eastAsia="Times New Roman" w:hAnsi="Times New Roman" w:cs="Times New Roman"/>
          <w:lang w:val="en-GB"/>
        </w:rPr>
        <w:t xml:space="preserve"> do to address the social </w:t>
      </w:r>
      <w:r w:rsidR="000E7C46">
        <w:rPr>
          <w:rFonts w:ascii="Times New Roman" w:eastAsia="Times New Roman" w:hAnsi="Times New Roman" w:cs="Times New Roman"/>
          <w:lang w:val="en-GB"/>
        </w:rPr>
        <w:t>determinants of health that render</w:t>
      </w:r>
      <w:r w:rsidR="00BB383E">
        <w:rPr>
          <w:rFonts w:ascii="Times New Roman" w:eastAsia="Times New Roman" w:hAnsi="Times New Roman" w:cs="Times New Roman"/>
          <w:lang w:val="en-GB"/>
        </w:rPr>
        <w:t xml:space="preserve"> these patients, and others like</w:t>
      </w:r>
      <w:r w:rsidR="00904668">
        <w:rPr>
          <w:rFonts w:ascii="Times New Roman" w:eastAsia="Times New Roman" w:hAnsi="Times New Roman" w:cs="Times New Roman"/>
          <w:lang w:val="en-GB"/>
        </w:rPr>
        <w:t xml:space="preserve"> them,</w:t>
      </w:r>
      <w:r w:rsidR="00BB383E">
        <w:rPr>
          <w:rFonts w:ascii="Times New Roman" w:eastAsia="Times New Roman" w:hAnsi="Times New Roman" w:cs="Times New Roman"/>
          <w:lang w:val="en-GB"/>
        </w:rPr>
        <w:t xml:space="preserve"> </w:t>
      </w:r>
      <w:r w:rsidR="00C63DF3">
        <w:rPr>
          <w:rFonts w:ascii="Times New Roman" w:eastAsia="Times New Roman" w:hAnsi="Times New Roman" w:cs="Times New Roman"/>
          <w:lang w:val="en-GB"/>
        </w:rPr>
        <w:t xml:space="preserve">more </w:t>
      </w:r>
      <w:r w:rsidR="00BB383E">
        <w:rPr>
          <w:rFonts w:ascii="Times New Roman" w:eastAsia="Times New Roman" w:hAnsi="Times New Roman" w:cs="Times New Roman"/>
          <w:lang w:val="en-GB"/>
        </w:rPr>
        <w:t>susceptible to disease, disability, or death than others of similar ages and abilities?</w:t>
      </w:r>
      <w:r w:rsidR="00025393">
        <w:rPr>
          <w:rFonts w:ascii="Times New Roman" w:eastAsia="Times New Roman" w:hAnsi="Times New Roman" w:cs="Times New Roman"/>
          <w:lang w:val="en-GB"/>
        </w:rPr>
        <w:t xml:space="preserve"> It should also be noted that a failure to surface, or to explicitly engage</w:t>
      </w:r>
      <w:r w:rsidR="00090A07">
        <w:rPr>
          <w:rFonts w:ascii="Times New Roman" w:eastAsia="Times New Roman" w:hAnsi="Times New Roman" w:cs="Times New Roman"/>
          <w:lang w:val="en-GB"/>
        </w:rPr>
        <w:t>, these questions</w:t>
      </w:r>
      <w:r w:rsidR="00025393">
        <w:rPr>
          <w:rFonts w:ascii="Times New Roman" w:eastAsia="Times New Roman" w:hAnsi="Times New Roman" w:cs="Times New Roman"/>
          <w:lang w:val="en-GB"/>
        </w:rPr>
        <w:t xml:space="preserve"> does not mean that those assemb</w:t>
      </w:r>
      <w:r w:rsidR="008F6CCA">
        <w:rPr>
          <w:rFonts w:ascii="Times New Roman" w:eastAsia="Times New Roman" w:hAnsi="Times New Roman" w:cs="Times New Roman"/>
          <w:lang w:val="en-GB"/>
        </w:rPr>
        <w:t xml:space="preserve">led have no </w:t>
      </w:r>
      <w:r w:rsidR="00025393">
        <w:rPr>
          <w:rFonts w:ascii="Times New Roman" w:eastAsia="Times New Roman" w:hAnsi="Times New Roman" w:cs="Times New Roman"/>
          <w:lang w:val="en-GB"/>
        </w:rPr>
        <w:t>position on their weight or significance. A willingness to overcome barriers that threaten a particular patient’s access to ongoing care may be profoundly influenced by the health care profession</w:t>
      </w:r>
      <w:r w:rsidR="00F01BF1">
        <w:rPr>
          <w:rFonts w:ascii="Times New Roman" w:eastAsia="Times New Roman" w:hAnsi="Times New Roman" w:cs="Times New Roman"/>
          <w:lang w:val="en-GB"/>
        </w:rPr>
        <w:t xml:space="preserve">als’ assumptions </w:t>
      </w:r>
      <w:r w:rsidR="00025393">
        <w:rPr>
          <w:rFonts w:ascii="Times New Roman" w:eastAsia="Times New Roman" w:hAnsi="Times New Roman" w:cs="Times New Roman"/>
          <w:lang w:val="en-GB"/>
        </w:rPr>
        <w:t>about</w:t>
      </w:r>
      <w:r w:rsidR="008F6CCA">
        <w:rPr>
          <w:rFonts w:ascii="Times New Roman" w:eastAsia="Times New Roman" w:hAnsi="Times New Roman" w:cs="Times New Roman"/>
          <w:lang w:val="en-GB"/>
        </w:rPr>
        <w:t xml:space="preserve"> the answers to these </w:t>
      </w:r>
      <w:r w:rsidR="00F01BF1">
        <w:rPr>
          <w:rFonts w:ascii="Times New Roman" w:eastAsia="Times New Roman" w:hAnsi="Times New Roman" w:cs="Times New Roman"/>
          <w:lang w:val="en-GB"/>
        </w:rPr>
        <w:t xml:space="preserve">and other </w:t>
      </w:r>
      <w:r w:rsidR="008F6CCA">
        <w:rPr>
          <w:rFonts w:ascii="Times New Roman" w:eastAsia="Times New Roman" w:hAnsi="Times New Roman" w:cs="Times New Roman"/>
          <w:lang w:val="en-GB"/>
        </w:rPr>
        <w:t xml:space="preserve">political questions. </w:t>
      </w:r>
    </w:p>
    <w:p w14:paraId="1A17DA64" w14:textId="1179F257" w:rsidR="00030B6B" w:rsidRPr="00964516" w:rsidRDefault="00030B6B" w:rsidP="00964516">
      <w:pPr>
        <w:pStyle w:val="FootnoteText"/>
        <w:spacing w:line="480" w:lineRule="auto"/>
        <w:ind w:firstLine="720"/>
      </w:pPr>
      <w:r w:rsidRPr="00E14FFD">
        <w:rPr>
          <w:lang w:val="en-GB"/>
        </w:rPr>
        <w:lastRenderedPageBreak/>
        <w:t>As we are about to see,</w:t>
      </w:r>
      <w:r w:rsidRPr="004A7C61">
        <w:t xml:space="preserve"> a feminist approach to healthcare ethics, including </w:t>
      </w:r>
      <w:r w:rsidR="00552760" w:rsidRPr="00964516">
        <w:t>that which is advocated by</w:t>
      </w:r>
      <w:r w:rsidRPr="00964516">
        <w:t xml:space="preserve"> Margaret Ur</w:t>
      </w:r>
      <w:r w:rsidRPr="00E14FFD">
        <w:t xml:space="preserve">ban Walker, can </w:t>
      </w:r>
      <w:r w:rsidR="00552760">
        <w:t xml:space="preserve">accommodate these insights without </w:t>
      </w:r>
      <w:r w:rsidR="00552760" w:rsidRPr="00E14FFD">
        <w:t xml:space="preserve">purging ethical deliberation </w:t>
      </w:r>
      <w:r w:rsidR="00552760" w:rsidRPr="004A7C61">
        <w:t xml:space="preserve">of </w:t>
      </w:r>
      <w:r w:rsidRPr="00964516">
        <w:t>the common vocabulary that principlism and other theoretical too</w:t>
      </w:r>
      <w:r w:rsidR="006351BB" w:rsidRPr="00E14FFD">
        <w:t>ls provide. On the contrary, Walker</w:t>
      </w:r>
      <w:r w:rsidRPr="00964516">
        <w:t xml:space="preserve"> maintains that </w:t>
      </w:r>
      <w:r w:rsidR="00A927BE">
        <w:t>“</w:t>
      </w:r>
      <w:r w:rsidRPr="00964516">
        <w:t>[m]oral concepts, principles, values, and argument forms may be starting points for moral deliberation” that need to be supplemented with an understanding that “‘moral problems’ are points in continuing histories of attempted mutual adjustments and understandings among people.”</w:t>
      </w:r>
      <w:r w:rsidR="00552760">
        <w:rPr>
          <w:rStyle w:val="FootnoteReference"/>
        </w:rPr>
        <w:footnoteReference w:id="117"/>
      </w:r>
      <w:r w:rsidR="00A927BE">
        <w:t xml:space="preserve"> </w:t>
      </w:r>
      <w:r w:rsidR="00FA6917">
        <w:t>Moral deliberation may not be able to escape the particular histories and value-orientations of those who participate in that effort but (contra Koch)</w:t>
      </w:r>
      <w:r w:rsidR="0079428A">
        <w:t>,</w:t>
      </w:r>
      <w:r w:rsidR="00FA6917">
        <w:t xml:space="preserve"> that may be </w:t>
      </w:r>
      <w:r w:rsidR="00903435">
        <w:t xml:space="preserve">viewed as </w:t>
      </w:r>
      <w:r w:rsidR="00FA6917">
        <w:t xml:space="preserve">an asset rather than a liability.   </w:t>
      </w:r>
      <w:r>
        <w:rPr>
          <w:sz w:val="20"/>
        </w:rPr>
        <w:t xml:space="preserve"> </w:t>
      </w:r>
    </w:p>
    <w:p w14:paraId="52F43679" w14:textId="77777777" w:rsidR="007868AB" w:rsidRDefault="00025393" w:rsidP="008F0E15">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 xml:space="preserve">   </w:t>
      </w:r>
    </w:p>
    <w:p w14:paraId="7DDAB331" w14:textId="77777777" w:rsidR="007868AB" w:rsidRPr="007868AB" w:rsidRDefault="008F6CCA" w:rsidP="007868AB">
      <w:pPr>
        <w:pStyle w:val="Body1"/>
        <w:spacing w:line="480" w:lineRule="auto"/>
        <w:rPr>
          <w:rFonts w:ascii="Times New Roman" w:eastAsia="Times New Roman" w:hAnsi="Times New Roman" w:cs="Times New Roman"/>
          <w:i/>
          <w:lang w:val="en-GB"/>
        </w:rPr>
      </w:pPr>
      <w:r>
        <w:rPr>
          <w:rFonts w:ascii="Times New Roman" w:eastAsia="Times New Roman" w:hAnsi="Times New Roman" w:cs="Times New Roman"/>
          <w:i/>
          <w:lang w:val="en-GB"/>
        </w:rPr>
        <w:t>Who abides and who decides?</w:t>
      </w:r>
      <w:r w:rsidR="007868AB" w:rsidRPr="007868AB">
        <w:rPr>
          <w:rFonts w:ascii="Times New Roman" w:eastAsia="Times New Roman" w:hAnsi="Times New Roman" w:cs="Times New Roman"/>
          <w:i/>
          <w:lang w:val="en-GB"/>
        </w:rPr>
        <w:t xml:space="preserve"> Joan Tronto on authority in ethics</w:t>
      </w:r>
    </w:p>
    <w:p w14:paraId="4A196CF1" w14:textId="77777777" w:rsidR="00220F75" w:rsidRDefault="007868AB" w:rsidP="007868AB">
      <w:pPr>
        <w:pStyle w:val="Body1"/>
        <w:spacing w:line="480" w:lineRule="auto"/>
        <w:ind w:firstLine="720"/>
        <w:rPr>
          <w:rFonts w:ascii="Times New Roman" w:eastAsia="Times New Roman" w:hAnsi="Times New Roman" w:cs="Times New Roman"/>
          <w:lang w:val="en-GB"/>
        </w:rPr>
      </w:pPr>
      <w:r w:rsidRPr="007868AB">
        <w:rPr>
          <w:rFonts w:ascii="Times New Roman" w:eastAsia="Times New Roman" w:hAnsi="Times New Roman" w:cs="Times New Roman"/>
          <w:lang w:val="en-GB"/>
        </w:rPr>
        <w:t xml:space="preserve">Joan Tronto has </w:t>
      </w:r>
      <w:r w:rsidR="001A04A1">
        <w:rPr>
          <w:rFonts w:ascii="Times New Roman" w:eastAsia="Times New Roman" w:hAnsi="Times New Roman" w:cs="Times New Roman"/>
          <w:lang w:val="en-GB"/>
        </w:rPr>
        <w:t xml:space="preserve">convincingly </w:t>
      </w:r>
      <w:r w:rsidRPr="007868AB">
        <w:rPr>
          <w:rFonts w:ascii="Times New Roman" w:eastAsia="Times New Roman" w:hAnsi="Times New Roman" w:cs="Times New Roman"/>
          <w:lang w:val="en-GB"/>
        </w:rPr>
        <w:t xml:space="preserve">argued that hard cases in applied ethics can profit from </w:t>
      </w:r>
      <w:r w:rsidR="001A04A1">
        <w:rPr>
          <w:rFonts w:ascii="Times New Roman" w:eastAsia="Times New Roman" w:hAnsi="Times New Roman" w:cs="Times New Roman"/>
          <w:lang w:val="en-GB"/>
        </w:rPr>
        <w:t xml:space="preserve">greater efforts to understand </w:t>
      </w:r>
      <w:r w:rsidRPr="007868AB">
        <w:rPr>
          <w:rFonts w:ascii="Times New Roman" w:eastAsia="Times New Roman" w:hAnsi="Times New Roman" w:cs="Times New Roman"/>
          <w:lang w:val="en-GB"/>
        </w:rPr>
        <w:t xml:space="preserve">the nature and grounds of </w:t>
      </w:r>
      <w:r w:rsidR="0076423C">
        <w:rPr>
          <w:rFonts w:ascii="Times New Roman" w:eastAsia="Times New Roman" w:hAnsi="Times New Roman" w:cs="Times New Roman"/>
          <w:lang w:val="en-GB"/>
        </w:rPr>
        <w:t xml:space="preserve">the ethicist’s </w:t>
      </w:r>
      <w:r w:rsidRPr="007868AB">
        <w:rPr>
          <w:rFonts w:ascii="Times New Roman" w:eastAsia="Times New Roman" w:hAnsi="Times New Roman" w:cs="Times New Roman"/>
          <w:lang w:val="en-GB"/>
        </w:rPr>
        <w:t>au</w:t>
      </w:r>
      <w:r w:rsidR="00472617">
        <w:rPr>
          <w:rFonts w:ascii="Times New Roman" w:eastAsia="Times New Roman" w:hAnsi="Times New Roman" w:cs="Times New Roman"/>
          <w:lang w:val="en-GB"/>
        </w:rPr>
        <w:t xml:space="preserve">thority. </w:t>
      </w:r>
      <w:r w:rsidRPr="007868AB">
        <w:rPr>
          <w:rFonts w:ascii="Times New Roman" w:eastAsia="Times New Roman" w:hAnsi="Times New Roman" w:cs="Times New Roman"/>
          <w:lang w:val="en-GB"/>
        </w:rPr>
        <w:t xml:space="preserve">While she does not reject the idea that PHEs can contribute to ethical deliberation in useful ways, she uses the lens of feminist political theory to take a closer look at relationships of power and vulnerability, and the use and abuse of ethical theory, in the clinical setting and beyond. With Art Caplan she derides efforts to engage in the crude exercise of “ethical engineering” or the unreflective </w:t>
      </w:r>
      <w:r w:rsidRPr="007868AB">
        <w:rPr>
          <w:rFonts w:ascii="Times New Roman" w:eastAsia="Times New Roman" w:hAnsi="Times New Roman" w:cs="Times New Roman"/>
          <w:lang w:val="en-GB"/>
        </w:rPr>
        <w:lastRenderedPageBreak/>
        <w:t>effort to apply principles to cases. In its place</w:t>
      </w:r>
      <w:r w:rsidR="00BF4FDC">
        <w:rPr>
          <w:rFonts w:ascii="Times New Roman" w:eastAsia="Times New Roman" w:hAnsi="Times New Roman" w:cs="Times New Roman"/>
          <w:lang w:val="en-GB"/>
        </w:rPr>
        <w:t xml:space="preserve"> she advocates for an </w:t>
      </w:r>
      <w:r w:rsidRPr="007868AB">
        <w:rPr>
          <w:rFonts w:ascii="Times New Roman" w:eastAsia="Times New Roman" w:hAnsi="Times New Roman" w:cs="Times New Roman"/>
          <w:lang w:val="en-GB"/>
        </w:rPr>
        <w:t xml:space="preserve">approach to ethics </w:t>
      </w:r>
      <w:r w:rsidR="00BF4FDC">
        <w:rPr>
          <w:rFonts w:ascii="Times New Roman" w:eastAsia="Times New Roman" w:hAnsi="Times New Roman" w:cs="Times New Roman"/>
          <w:lang w:val="en-GB"/>
        </w:rPr>
        <w:t xml:space="preserve">that </w:t>
      </w:r>
      <w:r w:rsidR="008F6CCA">
        <w:rPr>
          <w:rFonts w:ascii="Times New Roman" w:eastAsia="Times New Roman" w:hAnsi="Times New Roman" w:cs="Times New Roman"/>
          <w:lang w:val="en-GB"/>
        </w:rPr>
        <w:t>draws upon</w:t>
      </w:r>
      <w:r w:rsidRPr="007868AB">
        <w:rPr>
          <w:rFonts w:ascii="Times New Roman" w:eastAsia="Times New Roman" w:hAnsi="Times New Roman" w:cs="Times New Roman"/>
          <w:lang w:val="en-GB"/>
        </w:rPr>
        <w:t xml:space="preserve"> Margaret Urban Walker’s insight that re</w:t>
      </w:r>
      <w:r w:rsidR="00472617">
        <w:rPr>
          <w:rFonts w:ascii="Times New Roman" w:eastAsia="Times New Roman" w:hAnsi="Times New Roman" w:cs="Times New Roman"/>
          <w:lang w:val="en-GB"/>
        </w:rPr>
        <w:t xml:space="preserve">sponsibility is relational. A framework </w:t>
      </w:r>
      <w:r w:rsidR="00795F72">
        <w:rPr>
          <w:rFonts w:ascii="Times New Roman" w:eastAsia="Times New Roman" w:hAnsi="Times New Roman" w:cs="Times New Roman"/>
          <w:lang w:val="en-GB"/>
        </w:rPr>
        <w:t>that attends to</w:t>
      </w:r>
      <w:r w:rsidR="00472617">
        <w:rPr>
          <w:rFonts w:ascii="Times New Roman" w:eastAsia="Times New Roman" w:hAnsi="Times New Roman" w:cs="Times New Roman"/>
          <w:lang w:val="en-GB"/>
        </w:rPr>
        <w:t xml:space="preserve"> </w:t>
      </w:r>
      <w:r w:rsidR="00795F72">
        <w:rPr>
          <w:rFonts w:ascii="Times New Roman" w:eastAsia="Times New Roman" w:hAnsi="Times New Roman" w:cs="Times New Roman"/>
          <w:lang w:val="en-GB"/>
        </w:rPr>
        <w:t>“</w:t>
      </w:r>
      <w:r w:rsidR="00472617">
        <w:rPr>
          <w:rFonts w:ascii="Times New Roman" w:eastAsia="Times New Roman" w:hAnsi="Times New Roman" w:cs="Times New Roman"/>
          <w:lang w:val="en-GB"/>
        </w:rPr>
        <w:t>relational responsibility</w:t>
      </w:r>
      <w:r w:rsidR="00795F72">
        <w:rPr>
          <w:rFonts w:ascii="Times New Roman" w:eastAsia="Times New Roman" w:hAnsi="Times New Roman" w:cs="Times New Roman"/>
          <w:lang w:val="en-GB"/>
        </w:rPr>
        <w:t>”</w:t>
      </w:r>
      <w:r w:rsidR="00472617">
        <w:rPr>
          <w:rFonts w:ascii="Times New Roman" w:eastAsia="Times New Roman" w:hAnsi="Times New Roman" w:cs="Times New Roman"/>
          <w:lang w:val="en-GB"/>
        </w:rPr>
        <w:t xml:space="preserve"> </w:t>
      </w:r>
      <w:r w:rsidR="00BF4FDC">
        <w:rPr>
          <w:rFonts w:ascii="Times New Roman" w:eastAsia="Times New Roman" w:hAnsi="Times New Roman" w:cs="Times New Roman"/>
          <w:lang w:val="en-GB"/>
        </w:rPr>
        <w:t xml:space="preserve">is described as </w:t>
      </w:r>
      <w:r w:rsidR="001A04A1">
        <w:rPr>
          <w:rFonts w:ascii="Times New Roman" w:eastAsia="Times New Roman" w:hAnsi="Times New Roman" w:cs="Times New Roman"/>
          <w:lang w:val="en-GB"/>
        </w:rPr>
        <w:t>one which extends beyond a</w:t>
      </w:r>
      <w:r w:rsidRPr="007868AB">
        <w:rPr>
          <w:rFonts w:ascii="Times New Roman" w:eastAsia="Times New Roman" w:hAnsi="Times New Roman" w:cs="Times New Roman"/>
          <w:lang w:val="en-GB"/>
        </w:rPr>
        <w:t xml:space="preserve"> “dyadic understanding of negotiation, in which the individual reacts to an ‘other,’ understood, usually…in abstract terms.”</w:t>
      </w:r>
      <w:r w:rsidR="00795F72">
        <w:rPr>
          <w:rStyle w:val="FootnoteReference"/>
          <w:rFonts w:ascii="Times New Roman" w:eastAsia="Times New Roman" w:hAnsi="Times New Roman" w:cs="Times New Roman"/>
          <w:lang w:val="en-GB"/>
        </w:rPr>
        <w:footnoteReference w:id="118"/>
      </w:r>
      <w:r w:rsidRPr="007868AB">
        <w:rPr>
          <w:rFonts w:ascii="Times New Roman" w:eastAsia="Times New Roman" w:hAnsi="Times New Roman" w:cs="Times New Roman"/>
          <w:lang w:val="en-GB"/>
        </w:rPr>
        <w:t xml:space="preserve"> In Tronto’s words, “a relational approach presumes greater social complexity” and </w:t>
      </w:r>
      <w:r w:rsidR="001A04A1" w:rsidRPr="007868AB">
        <w:rPr>
          <w:rFonts w:ascii="Times New Roman" w:eastAsia="Times New Roman" w:hAnsi="Times New Roman" w:cs="Times New Roman"/>
          <w:lang w:val="en-GB"/>
        </w:rPr>
        <w:t>appreciates</w:t>
      </w:r>
      <w:r w:rsidRPr="007868AB">
        <w:rPr>
          <w:rFonts w:ascii="Times New Roman" w:eastAsia="Times New Roman" w:hAnsi="Times New Roman" w:cs="Times New Roman"/>
          <w:lang w:val="en-GB"/>
        </w:rPr>
        <w:t xml:space="preserve"> </w:t>
      </w:r>
      <w:r w:rsidR="001A04A1">
        <w:rPr>
          <w:rFonts w:ascii="Times New Roman" w:eastAsia="Times New Roman" w:hAnsi="Times New Roman" w:cs="Times New Roman"/>
          <w:lang w:val="en-GB"/>
        </w:rPr>
        <w:t xml:space="preserve">the insight </w:t>
      </w:r>
      <w:r w:rsidRPr="007868AB">
        <w:rPr>
          <w:rFonts w:ascii="Times New Roman" w:eastAsia="Times New Roman" w:hAnsi="Times New Roman" w:cs="Times New Roman"/>
          <w:lang w:val="en-GB"/>
        </w:rPr>
        <w:t>that “negotiations happen at once along many different dimensions, with others and social context both playing a role. The result is that judgments concerning authority turn out to be not only ‘social’ or anthropological,’ but also political.”</w:t>
      </w:r>
      <w:r w:rsidR="00CC02EB">
        <w:rPr>
          <w:rStyle w:val="FootnoteReference"/>
          <w:rFonts w:ascii="Times New Roman" w:eastAsia="Times New Roman" w:hAnsi="Times New Roman" w:cs="Times New Roman"/>
          <w:lang w:val="en-GB"/>
        </w:rPr>
        <w:footnoteReference w:id="119"/>
      </w:r>
      <w:r w:rsidRPr="007868AB">
        <w:rPr>
          <w:rFonts w:ascii="Times New Roman" w:eastAsia="Times New Roman" w:hAnsi="Times New Roman" w:cs="Times New Roman"/>
          <w:lang w:val="en-GB"/>
        </w:rPr>
        <w:t xml:space="preserve"> </w:t>
      </w:r>
    </w:p>
    <w:p w14:paraId="4C75230E" w14:textId="0904C450" w:rsidR="00DC1E9D" w:rsidRDefault="00C63F42" w:rsidP="007868AB">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A</w:t>
      </w:r>
      <w:r w:rsidR="00220F75">
        <w:rPr>
          <w:rFonts w:ascii="Times New Roman" w:eastAsia="Times New Roman" w:hAnsi="Times New Roman" w:cs="Times New Roman"/>
          <w:lang w:val="en-GB"/>
        </w:rPr>
        <w:t xml:space="preserve"> PHE who takes</w:t>
      </w:r>
      <w:r w:rsidR="00847E2B">
        <w:rPr>
          <w:rFonts w:ascii="Times New Roman" w:eastAsia="Times New Roman" w:hAnsi="Times New Roman" w:cs="Times New Roman"/>
          <w:lang w:val="en-GB"/>
        </w:rPr>
        <w:t xml:space="preserve"> Tronto’s insights seriously ought to</w:t>
      </w:r>
      <w:r w:rsidR="00220F75">
        <w:rPr>
          <w:rFonts w:ascii="Times New Roman" w:eastAsia="Times New Roman" w:hAnsi="Times New Roman" w:cs="Times New Roman"/>
          <w:lang w:val="en-GB"/>
        </w:rPr>
        <w:t xml:space="preserve"> take pains to alert her clinical teams to </w:t>
      </w:r>
      <w:r w:rsidR="00090A07">
        <w:rPr>
          <w:rFonts w:ascii="Times New Roman" w:eastAsia="Times New Roman" w:hAnsi="Times New Roman" w:cs="Times New Roman"/>
          <w:lang w:val="en-GB"/>
        </w:rPr>
        <w:t xml:space="preserve">the </w:t>
      </w:r>
      <w:r w:rsidR="00220F75">
        <w:rPr>
          <w:rFonts w:ascii="Times New Roman" w:eastAsia="Times New Roman" w:hAnsi="Times New Roman" w:cs="Times New Roman"/>
          <w:lang w:val="en-GB"/>
        </w:rPr>
        <w:t>features of Malek and Marcus’s situations that</w:t>
      </w:r>
      <w:r w:rsidR="005559BF">
        <w:rPr>
          <w:rFonts w:ascii="Times New Roman" w:eastAsia="Times New Roman" w:hAnsi="Times New Roman" w:cs="Times New Roman"/>
          <w:lang w:val="en-GB"/>
        </w:rPr>
        <w:t xml:space="preserve"> render</w:t>
      </w:r>
      <w:r w:rsidR="00220F75">
        <w:rPr>
          <w:rFonts w:ascii="Times New Roman" w:eastAsia="Times New Roman" w:hAnsi="Times New Roman" w:cs="Times New Roman"/>
          <w:lang w:val="en-GB"/>
        </w:rPr>
        <w:t xml:space="preserve"> questions of professional </w:t>
      </w:r>
      <w:r w:rsidR="00C33C73">
        <w:rPr>
          <w:rFonts w:ascii="Times New Roman" w:eastAsia="Times New Roman" w:hAnsi="Times New Roman" w:cs="Times New Roman"/>
          <w:lang w:val="en-GB"/>
        </w:rPr>
        <w:t xml:space="preserve">and personal </w:t>
      </w:r>
      <w:r w:rsidR="00220F75">
        <w:rPr>
          <w:rFonts w:ascii="Times New Roman" w:eastAsia="Times New Roman" w:hAnsi="Times New Roman" w:cs="Times New Roman"/>
          <w:lang w:val="en-GB"/>
        </w:rPr>
        <w:t xml:space="preserve">responsibility </w:t>
      </w:r>
      <w:r w:rsidR="00DC1E9D">
        <w:rPr>
          <w:rFonts w:ascii="Times New Roman" w:eastAsia="Times New Roman" w:hAnsi="Times New Roman" w:cs="Times New Roman"/>
          <w:lang w:val="en-GB"/>
        </w:rPr>
        <w:t>more nuanced</w:t>
      </w:r>
      <w:r w:rsidR="00220F75">
        <w:rPr>
          <w:rFonts w:ascii="Times New Roman" w:eastAsia="Times New Roman" w:hAnsi="Times New Roman" w:cs="Times New Roman"/>
          <w:lang w:val="en-GB"/>
        </w:rPr>
        <w:t xml:space="preserve"> than might be apparent at first blush. While all might agree</w:t>
      </w:r>
      <w:r w:rsidR="00267AC6">
        <w:rPr>
          <w:rFonts w:ascii="Times New Roman" w:eastAsia="Times New Roman" w:hAnsi="Times New Roman" w:cs="Times New Roman"/>
          <w:lang w:val="en-GB"/>
        </w:rPr>
        <w:t>, f</w:t>
      </w:r>
      <w:r w:rsidR="0054640E">
        <w:rPr>
          <w:rFonts w:ascii="Times New Roman" w:eastAsia="Times New Roman" w:hAnsi="Times New Roman" w:cs="Times New Roman"/>
          <w:lang w:val="en-GB"/>
        </w:rPr>
        <w:t>or example, that</w:t>
      </w:r>
      <w:r w:rsidR="00CA159F">
        <w:rPr>
          <w:rFonts w:ascii="Times New Roman" w:eastAsia="Times New Roman" w:hAnsi="Times New Roman" w:cs="Times New Roman"/>
          <w:lang w:val="en-GB"/>
        </w:rPr>
        <w:t xml:space="preserve"> </w:t>
      </w:r>
      <w:r w:rsidR="006F406B">
        <w:rPr>
          <w:rFonts w:ascii="Times New Roman" w:eastAsia="Times New Roman" w:hAnsi="Times New Roman" w:cs="Times New Roman"/>
          <w:lang w:val="en-GB"/>
        </w:rPr>
        <w:t>point of care</w:t>
      </w:r>
      <w:r w:rsidR="00CA159F">
        <w:rPr>
          <w:rFonts w:ascii="Times New Roman" w:eastAsia="Times New Roman" w:hAnsi="Times New Roman" w:cs="Times New Roman"/>
          <w:lang w:val="en-GB"/>
        </w:rPr>
        <w:t xml:space="preserve"> providers</w:t>
      </w:r>
      <w:r w:rsidR="00220F75">
        <w:rPr>
          <w:rFonts w:ascii="Times New Roman" w:eastAsia="Times New Roman" w:hAnsi="Times New Roman" w:cs="Times New Roman"/>
          <w:lang w:val="en-GB"/>
        </w:rPr>
        <w:t xml:space="preserve"> ought to respect competent and informed refusals of treatment</w:t>
      </w:r>
      <w:r w:rsidR="00267AC6">
        <w:rPr>
          <w:rFonts w:ascii="Times New Roman" w:eastAsia="Times New Roman" w:hAnsi="Times New Roman" w:cs="Times New Roman"/>
          <w:lang w:val="en-GB"/>
        </w:rPr>
        <w:t>,</w:t>
      </w:r>
      <w:r w:rsidR="00220F75">
        <w:rPr>
          <w:rFonts w:ascii="Times New Roman" w:eastAsia="Times New Roman" w:hAnsi="Times New Roman" w:cs="Times New Roman"/>
          <w:lang w:val="en-GB"/>
        </w:rPr>
        <w:t xml:space="preserve"> a relational </w:t>
      </w:r>
      <w:r w:rsidR="00660E67">
        <w:rPr>
          <w:rFonts w:ascii="Times New Roman" w:eastAsia="Times New Roman" w:hAnsi="Times New Roman" w:cs="Times New Roman"/>
          <w:lang w:val="en-GB"/>
        </w:rPr>
        <w:t>conception of responsibility c</w:t>
      </w:r>
      <w:r w:rsidR="00220F75">
        <w:rPr>
          <w:rFonts w:ascii="Times New Roman" w:eastAsia="Times New Roman" w:hAnsi="Times New Roman" w:cs="Times New Roman"/>
          <w:lang w:val="en-GB"/>
        </w:rPr>
        <w:t xml:space="preserve">ould </w:t>
      </w:r>
      <w:r w:rsidR="008D5F18">
        <w:rPr>
          <w:rFonts w:ascii="Times New Roman" w:eastAsia="Times New Roman" w:hAnsi="Times New Roman" w:cs="Times New Roman"/>
          <w:lang w:val="en-GB"/>
        </w:rPr>
        <w:t xml:space="preserve">encourage </w:t>
      </w:r>
      <w:r w:rsidR="00220F75">
        <w:rPr>
          <w:rFonts w:ascii="Times New Roman" w:eastAsia="Times New Roman" w:hAnsi="Times New Roman" w:cs="Times New Roman"/>
          <w:lang w:val="en-GB"/>
        </w:rPr>
        <w:t xml:space="preserve">creative problem-solving about how best to enhance the ability of </w:t>
      </w:r>
      <w:r w:rsidR="005953E3">
        <w:rPr>
          <w:rFonts w:ascii="Times New Roman" w:eastAsia="Times New Roman" w:hAnsi="Times New Roman" w:cs="Times New Roman"/>
          <w:lang w:val="en-GB"/>
        </w:rPr>
        <w:t xml:space="preserve">these </w:t>
      </w:r>
      <w:r w:rsidR="00220F75">
        <w:rPr>
          <w:rFonts w:ascii="Times New Roman" w:eastAsia="Times New Roman" w:hAnsi="Times New Roman" w:cs="Times New Roman"/>
          <w:lang w:val="en-GB"/>
        </w:rPr>
        <w:t xml:space="preserve">patients to </w:t>
      </w:r>
      <w:r w:rsidR="00CA159F">
        <w:rPr>
          <w:rFonts w:ascii="Times New Roman" w:eastAsia="Times New Roman" w:hAnsi="Times New Roman" w:cs="Times New Roman"/>
          <w:lang w:val="en-GB"/>
        </w:rPr>
        <w:t>accept</w:t>
      </w:r>
      <w:r w:rsidR="003F4D78">
        <w:rPr>
          <w:rFonts w:ascii="Times New Roman" w:eastAsia="Times New Roman" w:hAnsi="Times New Roman" w:cs="Times New Roman"/>
          <w:lang w:val="en-GB"/>
        </w:rPr>
        <w:t xml:space="preserve"> treatments that </w:t>
      </w:r>
      <w:r w:rsidR="00F051D3">
        <w:rPr>
          <w:rFonts w:ascii="Times New Roman" w:eastAsia="Times New Roman" w:hAnsi="Times New Roman" w:cs="Times New Roman"/>
          <w:lang w:val="en-GB"/>
        </w:rPr>
        <w:t xml:space="preserve">could benefit them while </w:t>
      </w:r>
      <w:r w:rsidR="00F874A9">
        <w:rPr>
          <w:rFonts w:ascii="Times New Roman" w:eastAsia="Times New Roman" w:hAnsi="Times New Roman" w:cs="Times New Roman"/>
          <w:lang w:val="en-GB"/>
        </w:rPr>
        <w:t xml:space="preserve">at the same time </w:t>
      </w:r>
      <w:r w:rsidR="00F051D3">
        <w:rPr>
          <w:rFonts w:ascii="Times New Roman" w:eastAsia="Times New Roman" w:hAnsi="Times New Roman" w:cs="Times New Roman"/>
          <w:lang w:val="en-GB"/>
        </w:rPr>
        <w:t xml:space="preserve">preserving their </w:t>
      </w:r>
      <w:r w:rsidR="009E3CA2">
        <w:rPr>
          <w:rFonts w:ascii="Times New Roman" w:eastAsia="Times New Roman" w:hAnsi="Times New Roman" w:cs="Times New Roman"/>
          <w:lang w:val="en-GB"/>
        </w:rPr>
        <w:t xml:space="preserve">dignity and </w:t>
      </w:r>
      <w:r w:rsidR="006F406B">
        <w:rPr>
          <w:rFonts w:ascii="Times New Roman" w:eastAsia="Times New Roman" w:hAnsi="Times New Roman" w:cs="Times New Roman"/>
          <w:lang w:val="en-GB"/>
        </w:rPr>
        <w:t xml:space="preserve">honouring their </w:t>
      </w:r>
      <w:r w:rsidR="009E3CA2">
        <w:rPr>
          <w:rFonts w:ascii="Times New Roman" w:eastAsia="Times New Roman" w:hAnsi="Times New Roman" w:cs="Times New Roman"/>
          <w:lang w:val="en-GB"/>
        </w:rPr>
        <w:t>desire</w:t>
      </w:r>
      <w:r w:rsidR="003F4D78">
        <w:rPr>
          <w:rFonts w:ascii="Times New Roman" w:eastAsia="Times New Roman" w:hAnsi="Times New Roman" w:cs="Times New Roman"/>
          <w:lang w:val="en-GB"/>
        </w:rPr>
        <w:t xml:space="preserve"> for independence. </w:t>
      </w:r>
      <w:r w:rsidR="00E90839">
        <w:rPr>
          <w:rFonts w:ascii="Times New Roman" w:eastAsia="Times New Roman" w:hAnsi="Times New Roman" w:cs="Times New Roman"/>
          <w:lang w:val="en-GB"/>
        </w:rPr>
        <w:t>When the therapeutic relationship is already fragile owing to mutual suspicion</w:t>
      </w:r>
      <w:r w:rsidR="00267AC6">
        <w:rPr>
          <w:rFonts w:ascii="Times New Roman" w:eastAsia="Times New Roman" w:hAnsi="Times New Roman" w:cs="Times New Roman"/>
          <w:lang w:val="en-GB"/>
        </w:rPr>
        <w:t xml:space="preserve"> or a clash of world views</w:t>
      </w:r>
      <w:r w:rsidR="00E90839">
        <w:rPr>
          <w:rFonts w:ascii="Times New Roman" w:eastAsia="Times New Roman" w:hAnsi="Times New Roman" w:cs="Times New Roman"/>
          <w:lang w:val="en-GB"/>
        </w:rPr>
        <w:t xml:space="preserve">, a focus on informed consent </w:t>
      </w:r>
      <w:r w:rsidR="00E90839">
        <w:rPr>
          <w:rFonts w:ascii="Times New Roman" w:eastAsia="Times New Roman" w:hAnsi="Times New Roman" w:cs="Times New Roman"/>
          <w:lang w:val="en-GB"/>
        </w:rPr>
        <w:lastRenderedPageBreak/>
        <w:t xml:space="preserve">and treatment adherence is unlikely to </w:t>
      </w:r>
      <w:r w:rsidR="00267AC6">
        <w:rPr>
          <w:rFonts w:ascii="Times New Roman" w:eastAsia="Times New Roman" w:hAnsi="Times New Roman" w:cs="Times New Roman"/>
          <w:lang w:val="en-GB"/>
        </w:rPr>
        <w:t xml:space="preserve">yield </w:t>
      </w:r>
      <w:r w:rsidR="00E90839">
        <w:rPr>
          <w:rFonts w:ascii="Times New Roman" w:eastAsia="Times New Roman" w:hAnsi="Times New Roman" w:cs="Times New Roman"/>
          <w:lang w:val="en-GB"/>
        </w:rPr>
        <w:t>effective or patient</w:t>
      </w:r>
      <w:r w:rsidR="0054640E">
        <w:rPr>
          <w:rFonts w:ascii="Times New Roman" w:eastAsia="Times New Roman" w:hAnsi="Times New Roman" w:cs="Times New Roman"/>
          <w:lang w:val="en-GB"/>
        </w:rPr>
        <w:t>-cent</w:t>
      </w:r>
      <w:r w:rsidR="00E90839">
        <w:rPr>
          <w:rFonts w:ascii="Times New Roman" w:eastAsia="Times New Roman" w:hAnsi="Times New Roman" w:cs="Times New Roman"/>
          <w:lang w:val="en-GB"/>
        </w:rPr>
        <w:t>red plan</w:t>
      </w:r>
      <w:r w:rsidR="00267AC6">
        <w:rPr>
          <w:rFonts w:ascii="Times New Roman" w:eastAsia="Times New Roman" w:hAnsi="Times New Roman" w:cs="Times New Roman"/>
          <w:lang w:val="en-GB"/>
        </w:rPr>
        <w:t>s</w:t>
      </w:r>
      <w:r w:rsidR="00E90839">
        <w:rPr>
          <w:rFonts w:ascii="Times New Roman" w:eastAsia="Times New Roman" w:hAnsi="Times New Roman" w:cs="Times New Roman"/>
          <w:lang w:val="en-GB"/>
        </w:rPr>
        <w:t xml:space="preserve"> of care.</w:t>
      </w:r>
      <w:r w:rsidR="00C33C73">
        <w:rPr>
          <w:rFonts w:ascii="Times New Roman" w:eastAsia="Times New Roman" w:hAnsi="Times New Roman" w:cs="Times New Roman"/>
          <w:lang w:val="en-GB"/>
        </w:rPr>
        <w:t xml:space="preserve"> On the other hand, </w:t>
      </w:r>
      <w:r w:rsidR="001C5069">
        <w:rPr>
          <w:rFonts w:ascii="Times New Roman" w:eastAsia="Times New Roman" w:hAnsi="Times New Roman" w:cs="Times New Roman"/>
          <w:lang w:val="en-GB"/>
        </w:rPr>
        <w:t>an awareness of</w:t>
      </w:r>
      <w:r w:rsidR="00993647">
        <w:rPr>
          <w:rFonts w:ascii="Times New Roman" w:eastAsia="Times New Roman" w:hAnsi="Times New Roman" w:cs="Times New Roman"/>
          <w:lang w:val="en-GB"/>
        </w:rPr>
        <w:t xml:space="preserve">, and </w:t>
      </w:r>
      <w:r w:rsidR="00C3795D">
        <w:rPr>
          <w:rFonts w:ascii="Times New Roman" w:eastAsia="Times New Roman" w:hAnsi="Times New Roman" w:cs="Times New Roman"/>
          <w:lang w:val="en-GB"/>
        </w:rPr>
        <w:t xml:space="preserve">a </w:t>
      </w:r>
      <w:r w:rsidR="00993647">
        <w:rPr>
          <w:rFonts w:ascii="Times New Roman" w:eastAsia="Times New Roman" w:hAnsi="Times New Roman" w:cs="Times New Roman"/>
          <w:lang w:val="en-GB"/>
        </w:rPr>
        <w:t>willingness to question</w:t>
      </w:r>
      <w:r w:rsidR="001C5069">
        <w:rPr>
          <w:rFonts w:ascii="Times New Roman" w:eastAsia="Times New Roman" w:hAnsi="Times New Roman" w:cs="Times New Roman"/>
          <w:lang w:val="en-GB"/>
        </w:rPr>
        <w:t xml:space="preserve">, </w:t>
      </w:r>
      <w:r w:rsidR="00993647">
        <w:rPr>
          <w:rFonts w:ascii="Times New Roman" w:eastAsia="Times New Roman" w:hAnsi="Times New Roman" w:cs="Times New Roman"/>
          <w:lang w:val="en-GB"/>
        </w:rPr>
        <w:t xml:space="preserve">the </w:t>
      </w:r>
      <w:r w:rsidR="00021269">
        <w:rPr>
          <w:rFonts w:ascii="Times New Roman" w:eastAsia="Times New Roman" w:hAnsi="Times New Roman" w:cs="Times New Roman"/>
          <w:lang w:val="en-GB"/>
        </w:rPr>
        <w:t>power structures</w:t>
      </w:r>
      <w:r w:rsidR="001C5069">
        <w:rPr>
          <w:rFonts w:ascii="Times New Roman" w:eastAsia="Times New Roman" w:hAnsi="Times New Roman" w:cs="Times New Roman"/>
          <w:lang w:val="en-GB"/>
        </w:rPr>
        <w:t xml:space="preserve"> that</w:t>
      </w:r>
      <w:r w:rsidR="00993647">
        <w:rPr>
          <w:rFonts w:ascii="Times New Roman" w:eastAsia="Times New Roman" w:hAnsi="Times New Roman" w:cs="Times New Roman"/>
          <w:lang w:val="en-GB"/>
        </w:rPr>
        <w:t xml:space="preserve"> create ethical conflicts or impede their resolution, </w:t>
      </w:r>
      <w:r w:rsidR="000127F6">
        <w:rPr>
          <w:rFonts w:ascii="Times New Roman" w:eastAsia="Times New Roman" w:hAnsi="Times New Roman" w:cs="Times New Roman"/>
          <w:lang w:val="en-GB"/>
        </w:rPr>
        <w:t xml:space="preserve">allows the parties to a </w:t>
      </w:r>
      <w:r w:rsidR="00242649">
        <w:rPr>
          <w:rFonts w:ascii="Times New Roman" w:eastAsia="Times New Roman" w:hAnsi="Times New Roman" w:cs="Times New Roman"/>
          <w:lang w:val="en-GB"/>
        </w:rPr>
        <w:t>consultation to exp</w:t>
      </w:r>
      <w:r w:rsidR="005559BF">
        <w:rPr>
          <w:rFonts w:ascii="Times New Roman" w:eastAsia="Times New Roman" w:hAnsi="Times New Roman" w:cs="Times New Roman"/>
          <w:lang w:val="en-GB"/>
        </w:rPr>
        <w:t>lore alternatives to conventional practices that may make treatment options more palatable. In this spirit</w:t>
      </w:r>
      <w:r w:rsidR="00090A07">
        <w:rPr>
          <w:rFonts w:ascii="Times New Roman" w:eastAsia="Times New Roman" w:hAnsi="Times New Roman" w:cs="Times New Roman"/>
          <w:lang w:val="en-GB"/>
        </w:rPr>
        <w:t>,</w:t>
      </w:r>
      <w:r w:rsidR="005559BF">
        <w:rPr>
          <w:rFonts w:ascii="Times New Roman" w:eastAsia="Times New Roman" w:hAnsi="Times New Roman" w:cs="Times New Roman"/>
          <w:lang w:val="en-GB"/>
        </w:rPr>
        <w:t xml:space="preserve"> the reasons for Marcus’s missed appointments </w:t>
      </w:r>
      <w:r w:rsidR="00B55606">
        <w:rPr>
          <w:rFonts w:ascii="Times New Roman" w:eastAsia="Times New Roman" w:hAnsi="Times New Roman" w:cs="Times New Roman"/>
          <w:lang w:val="en-GB"/>
        </w:rPr>
        <w:t>might be explored in a collaborative manner, and the sources of Malik’s anger</w:t>
      </w:r>
      <w:r w:rsidR="009915CE">
        <w:rPr>
          <w:rFonts w:ascii="Times New Roman" w:eastAsia="Times New Roman" w:hAnsi="Times New Roman" w:cs="Times New Roman"/>
          <w:lang w:val="en-GB"/>
        </w:rPr>
        <w:t xml:space="preserve"> probed by </w:t>
      </w:r>
      <w:r w:rsidR="008D5F18">
        <w:rPr>
          <w:rFonts w:ascii="Times New Roman" w:eastAsia="Times New Roman" w:hAnsi="Times New Roman" w:cs="Times New Roman"/>
          <w:lang w:val="en-GB"/>
        </w:rPr>
        <w:t>staff</w:t>
      </w:r>
      <w:r w:rsidR="00B55606">
        <w:rPr>
          <w:rFonts w:ascii="Times New Roman" w:eastAsia="Times New Roman" w:hAnsi="Times New Roman" w:cs="Times New Roman"/>
          <w:lang w:val="en-GB"/>
        </w:rPr>
        <w:t xml:space="preserve"> </w:t>
      </w:r>
      <w:r w:rsidR="009915CE">
        <w:rPr>
          <w:rFonts w:ascii="Times New Roman" w:eastAsia="Times New Roman" w:hAnsi="Times New Roman" w:cs="Times New Roman"/>
          <w:lang w:val="en-GB"/>
        </w:rPr>
        <w:t xml:space="preserve">members </w:t>
      </w:r>
      <w:r w:rsidR="00C3795D">
        <w:rPr>
          <w:rFonts w:ascii="Times New Roman" w:eastAsia="Times New Roman" w:hAnsi="Times New Roman" w:cs="Times New Roman"/>
          <w:lang w:val="en-GB"/>
        </w:rPr>
        <w:t>who have</w:t>
      </w:r>
      <w:r w:rsidR="00B55606">
        <w:rPr>
          <w:rFonts w:ascii="Times New Roman" w:eastAsia="Times New Roman" w:hAnsi="Times New Roman" w:cs="Times New Roman"/>
          <w:lang w:val="en-GB"/>
        </w:rPr>
        <w:t xml:space="preserve"> </w:t>
      </w:r>
      <w:r w:rsidR="008D5F18">
        <w:rPr>
          <w:rFonts w:ascii="Times New Roman" w:eastAsia="Times New Roman" w:hAnsi="Times New Roman" w:cs="Times New Roman"/>
          <w:lang w:val="en-GB"/>
        </w:rPr>
        <w:t xml:space="preserve">experience or </w:t>
      </w:r>
      <w:r w:rsidR="00B55606">
        <w:rPr>
          <w:rFonts w:ascii="Times New Roman" w:eastAsia="Times New Roman" w:hAnsi="Times New Roman" w:cs="Times New Roman"/>
          <w:lang w:val="en-GB"/>
        </w:rPr>
        <w:t xml:space="preserve">expertise in dealing with the feelings of loss and disempowerment that frequently attend patients in such straitened circumstances.   </w:t>
      </w:r>
      <w:r w:rsidR="005559BF">
        <w:rPr>
          <w:rFonts w:ascii="Times New Roman" w:eastAsia="Times New Roman" w:hAnsi="Times New Roman" w:cs="Times New Roman"/>
          <w:lang w:val="en-GB"/>
        </w:rPr>
        <w:t xml:space="preserve"> </w:t>
      </w:r>
      <w:r w:rsidR="000127F6">
        <w:rPr>
          <w:rFonts w:ascii="Times New Roman" w:eastAsia="Times New Roman" w:hAnsi="Times New Roman" w:cs="Times New Roman"/>
          <w:lang w:val="en-GB"/>
        </w:rPr>
        <w:t xml:space="preserve"> </w:t>
      </w:r>
      <w:r w:rsidR="00993647">
        <w:rPr>
          <w:rFonts w:ascii="Times New Roman" w:eastAsia="Times New Roman" w:hAnsi="Times New Roman" w:cs="Times New Roman"/>
          <w:lang w:val="en-GB"/>
        </w:rPr>
        <w:t xml:space="preserve"> </w:t>
      </w:r>
      <w:r w:rsidR="001C5069">
        <w:rPr>
          <w:rFonts w:ascii="Times New Roman" w:eastAsia="Times New Roman" w:hAnsi="Times New Roman" w:cs="Times New Roman"/>
          <w:lang w:val="en-GB"/>
        </w:rPr>
        <w:t xml:space="preserve">     </w:t>
      </w:r>
      <w:r w:rsidR="00E90839">
        <w:rPr>
          <w:rFonts w:ascii="Times New Roman" w:eastAsia="Times New Roman" w:hAnsi="Times New Roman" w:cs="Times New Roman"/>
          <w:lang w:val="en-GB"/>
        </w:rPr>
        <w:t xml:space="preserve"> </w:t>
      </w:r>
    </w:p>
    <w:p w14:paraId="44CEB131" w14:textId="77777777" w:rsidR="00CB0897" w:rsidRDefault="00EF3B33" w:rsidP="007868AB">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 xml:space="preserve">In this vein, </w:t>
      </w:r>
      <w:r w:rsidR="00E90839">
        <w:rPr>
          <w:rFonts w:ascii="Times New Roman" w:eastAsia="Times New Roman" w:hAnsi="Times New Roman" w:cs="Times New Roman"/>
          <w:lang w:val="en-GB"/>
        </w:rPr>
        <w:t xml:space="preserve">Tronto approvingly cites </w:t>
      </w:r>
      <w:r w:rsidR="00CA159F">
        <w:rPr>
          <w:rFonts w:ascii="Times New Roman" w:eastAsia="Times New Roman" w:hAnsi="Times New Roman" w:cs="Times New Roman"/>
          <w:lang w:val="en-GB"/>
        </w:rPr>
        <w:t xml:space="preserve">Arthur </w:t>
      </w:r>
      <w:r w:rsidR="00E90839">
        <w:rPr>
          <w:rFonts w:ascii="Times New Roman" w:eastAsia="Times New Roman" w:hAnsi="Times New Roman" w:cs="Times New Roman"/>
          <w:lang w:val="en-GB"/>
        </w:rPr>
        <w:t xml:space="preserve">Caplan’s </w:t>
      </w:r>
      <w:r w:rsidR="00ED7810">
        <w:rPr>
          <w:rFonts w:ascii="Times New Roman" w:eastAsia="Times New Roman" w:hAnsi="Times New Roman" w:cs="Times New Roman"/>
          <w:lang w:val="en-GB"/>
        </w:rPr>
        <w:t>hierarchy-challenging example</w:t>
      </w:r>
      <w:r w:rsidR="009D0628">
        <w:rPr>
          <w:rFonts w:ascii="Times New Roman" w:eastAsia="Times New Roman" w:hAnsi="Times New Roman" w:cs="Times New Roman"/>
          <w:lang w:val="en-GB"/>
        </w:rPr>
        <w:t>s</w:t>
      </w:r>
      <w:r w:rsidR="00ED7810">
        <w:rPr>
          <w:rFonts w:ascii="Times New Roman" w:eastAsia="Times New Roman" w:hAnsi="Times New Roman" w:cs="Times New Roman"/>
          <w:lang w:val="en-GB"/>
        </w:rPr>
        <w:t xml:space="preserve"> of </w:t>
      </w:r>
      <w:r>
        <w:rPr>
          <w:rFonts w:ascii="Times New Roman" w:eastAsia="Times New Roman" w:hAnsi="Times New Roman" w:cs="Times New Roman"/>
          <w:lang w:val="en-GB"/>
        </w:rPr>
        <w:t xml:space="preserve">so-called </w:t>
      </w:r>
      <w:r w:rsidR="00ED7810">
        <w:rPr>
          <w:rFonts w:ascii="Times New Roman" w:eastAsia="Times New Roman" w:hAnsi="Times New Roman" w:cs="Times New Roman"/>
          <w:lang w:val="en-GB"/>
        </w:rPr>
        <w:t>ethics</w:t>
      </w:r>
      <w:r w:rsidR="009D0628">
        <w:rPr>
          <w:rFonts w:ascii="Times New Roman" w:eastAsia="Times New Roman" w:hAnsi="Times New Roman" w:cs="Times New Roman"/>
          <w:lang w:val="en-GB"/>
        </w:rPr>
        <w:t xml:space="preserve"> interventions</w:t>
      </w:r>
      <w:r w:rsidR="00F874A9">
        <w:rPr>
          <w:rFonts w:ascii="Times New Roman" w:eastAsia="Times New Roman" w:hAnsi="Times New Roman" w:cs="Times New Roman"/>
          <w:lang w:val="en-GB"/>
        </w:rPr>
        <w:t>. The first th</w:t>
      </w:r>
      <w:r w:rsidR="00C3795D">
        <w:rPr>
          <w:rFonts w:ascii="Times New Roman" w:eastAsia="Times New Roman" w:hAnsi="Times New Roman" w:cs="Times New Roman"/>
          <w:lang w:val="en-GB"/>
        </w:rPr>
        <w:t>at she imparts</w:t>
      </w:r>
      <w:r w:rsidR="009D0628">
        <w:rPr>
          <w:rFonts w:ascii="Times New Roman" w:eastAsia="Times New Roman" w:hAnsi="Times New Roman" w:cs="Times New Roman"/>
          <w:lang w:val="en-GB"/>
        </w:rPr>
        <w:t xml:space="preserve"> </w:t>
      </w:r>
      <w:r w:rsidR="00CA159F">
        <w:rPr>
          <w:rFonts w:ascii="Times New Roman" w:eastAsia="Times New Roman" w:hAnsi="Times New Roman" w:cs="Times New Roman"/>
          <w:lang w:val="en-GB"/>
        </w:rPr>
        <w:t>occurred on bedside</w:t>
      </w:r>
      <w:r w:rsidR="00ED7810">
        <w:rPr>
          <w:rFonts w:ascii="Times New Roman" w:eastAsia="Times New Roman" w:hAnsi="Times New Roman" w:cs="Times New Roman"/>
          <w:lang w:val="en-GB"/>
        </w:rPr>
        <w:t xml:space="preserve"> </w:t>
      </w:r>
      <w:r w:rsidR="00074348">
        <w:rPr>
          <w:rFonts w:ascii="Times New Roman" w:eastAsia="Times New Roman" w:hAnsi="Times New Roman" w:cs="Times New Roman"/>
          <w:lang w:val="en-GB"/>
        </w:rPr>
        <w:t xml:space="preserve">teaching </w:t>
      </w:r>
      <w:r w:rsidR="009D0628">
        <w:rPr>
          <w:rFonts w:ascii="Times New Roman" w:eastAsia="Times New Roman" w:hAnsi="Times New Roman" w:cs="Times New Roman"/>
          <w:lang w:val="en-GB"/>
        </w:rPr>
        <w:t>“</w:t>
      </w:r>
      <w:r w:rsidR="00ED7810">
        <w:rPr>
          <w:rFonts w:ascii="Times New Roman" w:eastAsia="Times New Roman" w:hAnsi="Times New Roman" w:cs="Times New Roman"/>
          <w:lang w:val="en-GB"/>
        </w:rPr>
        <w:t>rounds</w:t>
      </w:r>
      <w:r w:rsidR="009D0628">
        <w:rPr>
          <w:rFonts w:ascii="Times New Roman" w:eastAsia="Times New Roman" w:hAnsi="Times New Roman" w:cs="Times New Roman"/>
          <w:lang w:val="en-GB"/>
        </w:rPr>
        <w:t>”</w:t>
      </w:r>
      <w:r w:rsidR="00ED7810">
        <w:rPr>
          <w:rFonts w:ascii="Times New Roman" w:eastAsia="Times New Roman" w:hAnsi="Times New Roman" w:cs="Times New Roman"/>
          <w:lang w:val="en-GB"/>
        </w:rPr>
        <w:t xml:space="preserve"> </w:t>
      </w:r>
      <w:r w:rsidR="00CA159F">
        <w:rPr>
          <w:rFonts w:ascii="Times New Roman" w:eastAsia="Times New Roman" w:hAnsi="Times New Roman" w:cs="Times New Roman"/>
          <w:lang w:val="en-GB"/>
        </w:rPr>
        <w:t xml:space="preserve">and </w:t>
      </w:r>
      <w:r>
        <w:rPr>
          <w:rFonts w:ascii="Times New Roman" w:eastAsia="Times New Roman" w:hAnsi="Times New Roman" w:cs="Times New Roman"/>
          <w:lang w:val="en-GB"/>
        </w:rPr>
        <w:t xml:space="preserve">simply </w:t>
      </w:r>
      <w:r w:rsidR="00CA159F">
        <w:rPr>
          <w:rFonts w:ascii="Times New Roman" w:eastAsia="Times New Roman" w:hAnsi="Times New Roman" w:cs="Times New Roman"/>
          <w:lang w:val="en-GB"/>
        </w:rPr>
        <w:t xml:space="preserve">consisted of a </w:t>
      </w:r>
      <w:r w:rsidR="00074348">
        <w:rPr>
          <w:rFonts w:ascii="Times New Roman" w:eastAsia="Times New Roman" w:hAnsi="Times New Roman" w:cs="Times New Roman"/>
          <w:lang w:val="en-GB"/>
        </w:rPr>
        <w:t>well-placed question concerning the</w:t>
      </w:r>
      <w:r w:rsidR="00CA159F">
        <w:rPr>
          <w:rFonts w:ascii="Times New Roman" w:eastAsia="Times New Roman" w:hAnsi="Times New Roman" w:cs="Times New Roman"/>
          <w:lang w:val="en-GB"/>
        </w:rPr>
        <w:t xml:space="preserve"> </w:t>
      </w:r>
      <w:r w:rsidR="00074348">
        <w:rPr>
          <w:rFonts w:ascii="Times New Roman" w:eastAsia="Times New Roman" w:hAnsi="Times New Roman" w:cs="Times New Roman"/>
          <w:lang w:val="en-GB"/>
        </w:rPr>
        <w:t>priority of</w:t>
      </w:r>
      <w:r w:rsidR="00CA159F">
        <w:rPr>
          <w:rFonts w:ascii="Times New Roman" w:eastAsia="Times New Roman" w:hAnsi="Times New Roman" w:cs="Times New Roman"/>
          <w:lang w:val="en-GB"/>
        </w:rPr>
        <w:t xml:space="preserve"> </w:t>
      </w:r>
      <w:r w:rsidR="0070560C">
        <w:rPr>
          <w:rFonts w:ascii="Times New Roman" w:eastAsia="Times New Roman" w:hAnsi="Times New Roman" w:cs="Times New Roman"/>
          <w:lang w:val="en-GB"/>
        </w:rPr>
        <w:t>a group of</w:t>
      </w:r>
      <w:r w:rsidR="00074348">
        <w:rPr>
          <w:rFonts w:ascii="Times New Roman" w:eastAsia="Times New Roman" w:hAnsi="Times New Roman" w:cs="Times New Roman"/>
          <w:lang w:val="en-GB"/>
        </w:rPr>
        <w:t xml:space="preserve"> residents’</w:t>
      </w:r>
      <w:r w:rsidR="00ED7810">
        <w:rPr>
          <w:rFonts w:ascii="Times New Roman" w:eastAsia="Times New Roman" w:hAnsi="Times New Roman" w:cs="Times New Roman"/>
          <w:lang w:val="en-GB"/>
        </w:rPr>
        <w:t xml:space="preserve"> </w:t>
      </w:r>
      <w:r w:rsidR="0070560C">
        <w:rPr>
          <w:rFonts w:ascii="Times New Roman" w:eastAsia="Times New Roman" w:hAnsi="Times New Roman" w:cs="Times New Roman"/>
          <w:lang w:val="en-GB"/>
        </w:rPr>
        <w:t xml:space="preserve">interest in </w:t>
      </w:r>
      <w:r w:rsidR="00700761">
        <w:rPr>
          <w:rFonts w:ascii="Times New Roman" w:eastAsia="Times New Roman" w:hAnsi="Times New Roman" w:cs="Times New Roman"/>
          <w:lang w:val="en-GB"/>
        </w:rPr>
        <w:t xml:space="preserve">efficiency versus a </w:t>
      </w:r>
      <w:r w:rsidR="00ED7810">
        <w:rPr>
          <w:rFonts w:ascii="Times New Roman" w:eastAsia="Times New Roman" w:hAnsi="Times New Roman" w:cs="Times New Roman"/>
          <w:lang w:val="en-GB"/>
        </w:rPr>
        <w:t>patient</w:t>
      </w:r>
      <w:r w:rsidR="00074348">
        <w:rPr>
          <w:rFonts w:ascii="Times New Roman" w:eastAsia="Times New Roman" w:hAnsi="Times New Roman" w:cs="Times New Roman"/>
          <w:lang w:val="en-GB"/>
        </w:rPr>
        <w:t>’</w:t>
      </w:r>
      <w:r w:rsidR="00267AC6">
        <w:rPr>
          <w:rFonts w:ascii="Times New Roman" w:eastAsia="Times New Roman" w:hAnsi="Times New Roman" w:cs="Times New Roman"/>
          <w:lang w:val="en-GB"/>
        </w:rPr>
        <w:t>s</w:t>
      </w:r>
      <w:r w:rsidR="00ED7810">
        <w:rPr>
          <w:rFonts w:ascii="Times New Roman" w:eastAsia="Times New Roman" w:hAnsi="Times New Roman" w:cs="Times New Roman"/>
          <w:lang w:val="en-GB"/>
        </w:rPr>
        <w:t xml:space="preserve"> desire for privacy while toileting</w:t>
      </w:r>
      <w:r w:rsidR="00074348">
        <w:rPr>
          <w:rFonts w:ascii="Times New Roman" w:eastAsia="Times New Roman" w:hAnsi="Times New Roman" w:cs="Times New Roman"/>
          <w:lang w:val="en-GB"/>
        </w:rPr>
        <w:t>.</w:t>
      </w:r>
      <w:r w:rsidR="00CA159F">
        <w:rPr>
          <w:rFonts w:ascii="Times New Roman" w:eastAsia="Times New Roman" w:hAnsi="Times New Roman" w:cs="Times New Roman"/>
          <w:lang w:val="en-GB"/>
        </w:rPr>
        <w:t xml:space="preserve"> </w:t>
      </w:r>
      <w:r w:rsidR="00074348">
        <w:rPr>
          <w:rFonts w:ascii="Times New Roman" w:eastAsia="Times New Roman" w:hAnsi="Times New Roman" w:cs="Times New Roman"/>
          <w:lang w:val="en-GB"/>
        </w:rPr>
        <w:t xml:space="preserve">The second was a proposal, </w:t>
      </w:r>
      <w:r w:rsidR="0070560C">
        <w:rPr>
          <w:rFonts w:ascii="Times New Roman" w:eastAsia="Times New Roman" w:hAnsi="Times New Roman" w:cs="Times New Roman"/>
          <w:lang w:val="en-GB"/>
        </w:rPr>
        <w:t>pitched</w:t>
      </w:r>
      <w:r w:rsidR="00074348">
        <w:rPr>
          <w:rFonts w:ascii="Times New Roman" w:eastAsia="Times New Roman" w:hAnsi="Times New Roman" w:cs="Times New Roman"/>
          <w:lang w:val="en-GB"/>
        </w:rPr>
        <w:t xml:space="preserve"> to emergency department staff</w:t>
      </w:r>
      <w:r w:rsidR="00D26393">
        <w:rPr>
          <w:rFonts w:ascii="Times New Roman" w:eastAsia="Times New Roman" w:hAnsi="Times New Roman" w:cs="Times New Roman"/>
          <w:lang w:val="en-GB"/>
        </w:rPr>
        <w:t xml:space="preserve"> (and presumably </w:t>
      </w:r>
      <w:r w:rsidR="00C3795D">
        <w:rPr>
          <w:rFonts w:ascii="Times New Roman" w:eastAsia="Times New Roman" w:hAnsi="Times New Roman" w:cs="Times New Roman"/>
          <w:lang w:val="en-GB"/>
        </w:rPr>
        <w:t xml:space="preserve">to </w:t>
      </w:r>
      <w:r w:rsidR="00D26393">
        <w:rPr>
          <w:rFonts w:ascii="Times New Roman" w:eastAsia="Times New Roman" w:hAnsi="Times New Roman" w:cs="Times New Roman"/>
          <w:lang w:val="en-GB"/>
        </w:rPr>
        <w:t>insurance</w:t>
      </w:r>
      <w:r w:rsidR="00074348">
        <w:rPr>
          <w:rFonts w:ascii="Times New Roman" w:eastAsia="Times New Roman" w:hAnsi="Times New Roman" w:cs="Times New Roman"/>
          <w:lang w:val="en-GB"/>
        </w:rPr>
        <w:t xml:space="preserve"> executives), to </w:t>
      </w:r>
      <w:r w:rsidR="00C3795D">
        <w:rPr>
          <w:rFonts w:ascii="Times New Roman" w:eastAsia="Times New Roman" w:hAnsi="Times New Roman" w:cs="Times New Roman"/>
          <w:lang w:val="en-GB"/>
        </w:rPr>
        <w:t xml:space="preserve">make an appeal to Medicare for </w:t>
      </w:r>
      <w:r w:rsidR="00074348">
        <w:rPr>
          <w:rFonts w:ascii="Times New Roman" w:eastAsia="Times New Roman" w:hAnsi="Times New Roman" w:cs="Times New Roman"/>
          <w:lang w:val="en-GB"/>
        </w:rPr>
        <w:t>fund</w:t>
      </w:r>
      <w:r w:rsidR="00C3795D">
        <w:rPr>
          <w:rFonts w:ascii="Times New Roman" w:eastAsia="Times New Roman" w:hAnsi="Times New Roman" w:cs="Times New Roman"/>
          <w:lang w:val="en-GB"/>
        </w:rPr>
        <w:t xml:space="preserve">ing to provide </w:t>
      </w:r>
      <w:r w:rsidR="00074348">
        <w:rPr>
          <w:rFonts w:ascii="Times New Roman" w:eastAsia="Times New Roman" w:hAnsi="Times New Roman" w:cs="Times New Roman"/>
          <w:lang w:val="en-GB"/>
        </w:rPr>
        <w:t xml:space="preserve">air conditioning units for those who were frequent hospital visitors owing to their vulnerability to heat exhaustion. </w:t>
      </w:r>
      <w:r w:rsidR="009D0628">
        <w:rPr>
          <w:rFonts w:ascii="Times New Roman" w:eastAsia="Times New Roman" w:hAnsi="Times New Roman" w:cs="Times New Roman"/>
          <w:lang w:val="en-GB"/>
        </w:rPr>
        <w:t xml:space="preserve">Tronto </w:t>
      </w:r>
      <w:r w:rsidR="00CD413B">
        <w:rPr>
          <w:rFonts w:ascii="Times New Roman" w:eastAsia="Times New Roman" w:hAnsi="Times New Roman" w:cs="Times New Roman"/>
          <w:lang w:val="en-GB"/>
        </w:rPr>
        <w:t>notes that although Caplan relayed</w:t>
      </w:r>
      <w:r w:rsidR="00DC1E9D">
        <w:rPr>
          <w:rFonts w:ascii="Times New Roman" w:eastAsia="Times New Roman" w:hAnsi="Times New Roman" w:cs="Times New Roman"/>
          <w:lang w:val="en-GB"/>
        </w:rPr>
        <w:t xml:space="preserve"> </w:t>
      </w:r>
      <w:r w:rsidR="0070560C">
        <w:rPr>
          <w:rFonts w:ascii="Times New Roman" w:eastAsia="Times New Roman" w:hAnsi="Times New Roman" w:cs="Times New Roman"/>
          <w:lang w:val="en-GB"/>
        </w:rPr>
        <w:t xml:space="preserve">these </w:t>
      </w:r>
      <w:r w:rsidR="00DC1E9D">
        <w:rPr>
          <w:rFonts w:ascii="Times New Roman" w:eastAsia="Times New Roman" w:hAnsi="Times New Roman" w:cs="Times New Roman"/>
          <w:lang w:val="en-GB"/>
        </w:rPr>
        <w:t xml:space="preserve">stories of his “moral efficacy in a hospital setting” </w:t>
      </w:r>
      <w:r w:rsidR="00CD413B">
        <w:rPr>
          <w:rFonts w:ascii="Times New Roman" w:eastAsia="Times New Roman" w:hAnsi="Times New Roman" w:cs="Times New Roman"/>
          <w:lang w:val="en-GB"/>
        </w:rPr>
        <w:t xml:space="preserve">in a self-deprecating manner, his homely narratives ought not </w:t>
      </w:r>
      <w:r w:rsidR="0054640E">
        <w:rPr>
          <w:rFonts w:ascii="Times New Roman" w:eastAsia="Times New Roman" w:hAnsi="Times New Roman" w:cs="Times New Roman"/>
          <w:lang w:val="en-GB"/>
        </w:rPr>
        <w:t xml:space="preserve">to </w:t>
      </w:r>
      <w:r w:rsidR="00CD413B">
        <w:rPr>
          <w:rFonts w:ascii="Times New Roman" w:eastAsia="Times New Roman" w:hAnsi="Times New Roman" w:cs="Times New Roman"/>
          <w:lang w:val="en-GB"/>
        </w:rPr>
        <w:t xml:space="preserve">obscure the fact that an ethicist can </w:t>
      </w:r>
      <w:r w:rsidR="00700761">
        <w:rPr>
          <w:rFonts w:ascii="Times New Roman" w:eastAsia="Times New Roman" w:hAnsi="Times New Roman" w:cs="Times New Roman"/>
          <w:lang w:val="en-GB"/>
        </w:rPr>
        <w:t xml:space="preserve">exercise her </w:t>
      </w:r>
      <w:r w:rsidR="00CD413B">
        <w:rPr>
          <w:rFonts w:ascii="Times New Roman" w:eastAsia="Times New Roman" w:hAnsi="Times New Roman" w:cs="Times New Roman"/>
          <w:lang w:val="en-GB"/>
        </w:rPr>
        <w:t>authority to good or bad effect.</w:t>
      </w:r>
      <w:r w:rsidR="00ED7810">
        <w:rPr>
          <w:rFonts w:ascii="Times New Roman" w:eastAsia="Times New Roman" w:hAnsi="Times New Roman" w:cs="Times New Roman"/>
          <w:lang w:val="en-GB"/>
        </w:rPr>
        <w:t xml:space="preserve"> </w:t>
      </w:r>
      <w:r w:rsidR="0070560C">
        <w:rPr>
          <w:rFonts w:ascii="Times New Roman" w:eastAsia="Times New Roman" w:hAnsi="Times New Roman" w:cs="Times New Roman"/>
          <w:lang w:val="en-GB"/>
        </w:rPr>
        <w:t>On Tronto’s</w:t>
      </w:r>
      <w:r w:rsidR="00D26393">
        <w:rPr>
          <w:rFonts w:ascii="Times New Roman" w:eastAsia="Times New Roman" w:hAnsi="Times New Roman" w:cs="Times New Roman"/>
          <w:lang w:val="en-GB"/>
        </w:rPr>
        <w:t xml:space="preserve"> view, d</w:t>
      </w:r>
      <w:r w:rsidR="00CD413B">
        <w:rPr>
          <w:rFonts w:ascii="Times New Roman" w:eastAsia="Times New Roman" w:hAnsi="Times New Roman" w:cs="Times New Roman"/>
          <w:lang w:val="en-GB"/>
        </w:rPr>
        <w:t xml:space="preserve">ebates about the role of </w:t>
      </w:r>
      <w:r w:rsidR="00CB0897">
        <w:rPr>
          <w:rFonts w:ascii="Times New Roman" w:eastAsia="Times New Roman" w:hAnsi="Times New Roman" w:cs="Times New Roman"/>
          <w:lang w:val="en-GB"/>
        </w:rPr>
        <w:t xml:space="preserve">principles and </w:t>
      </w:r>
      <w:r w:rsidR="00CD413B">
        <w:rPr>
          <w:rFonts w:ascii="Times New Roman" w:eastAsia="Times New Roman" w:hAnsi="Times New Roman" w:cs="Times New Roman"/>
          <w:lang w:val="en-GB"/>
        </w:rPr>
        <w:t xml:space="preserve">theory in </w:t>
      </w:r>
      <w:r w:rsidR="00CD413B">
        <w:rPr>
          <w:rFonts w:ascii="Times New Roman" w:eastAsia="Times New Roman" w:hAnsi="Times New Roman" w:cs="Times New Roman"/>
          <w:lang w:val="en-GB"/>
        </w:rPr>
        <w:lastRenderedPageBreak/>
        <w:t xml:space="preserve">bioethics </w:t>
      </w:r>
      <w:r w:rsidR="00CB0897">
        <w:rPr>
          <w:rFonts w:ascii="Times New Roman" w:eastAsia="Times New Roman" w:hAnsi="Times New Roman" w:cs="Times New Roman"/>
          <w:lang w:val="en-GB"/>
        </w:rPr>
        <w:t xml:space="preserve">provide only a partial glimpse into what is at stake in the clinical encounter: </w:t>
      </w:r>
    </w:p>
    <w:p w14:paraId="48708E3A" w14:textId="77777777" w:rsidR="00D26393" w:rsidRDefault="00CB0897" w:rsidP="00D6040E">
      <w:pPr>
        <w:pStyle w:val="Body1"/>
        <w:ind w:left="720"/>
        <w:rPr>
          <w:rFonts w:ascii="Times New Roman" w:eastAsia="Times New Roman" w:hAnsi="Times New Roman" w:cs="Times New Roman"/>
          <w:lang w:val="en-GB"/>
        </w:rPr>
      </w:pPr>
      <w:r>
        <w:rPr>
          <w:rFonts w:ascii="Times New Roman" w:eastAsia="Times New Roman" w:hAnsi="Times New Roman" w:cs="Times New Roman"/>
          <w:lang w:val="en-GB"/>
        </w:rPr>
        <w:t xml:space="preserve">…the answer to the question ”who” is authorized to do ethics depends not upon “what” justification practitioners of applied ethics offer, but rather on their social and political location, that is, an answer to the question “where” applied ethics occurs. In </w:t>
      </w:r>
      <w:r w:rsidR="00B36D59">
        <w:rPr>
          <w:rFonts w:ascii="Times New Roman" w:eastAsia="Times New Roman" w:hAnsi="Times New Roman" w:cs="Times New Roman"/>
          <w:lang w:val="en-GB"/>
        </w:rPr>
        <w:t>t</w:t>
      </w:r>
      <w:r>
        <w:rPr>
          <w:rFonts w:ascii="Times New Roman" w:eastAsia="Times New Roman" w:hAnsi="Times New Roman" w:cs="Times New Roman"/>
          <w:lang w:val="en-GB"/>
        </w:rPr>
        <w:t xml:space="preserve">his regard, there is a deep level on which the authority of applied </w:t>
      </w:r>
      <w:r w:rsidR="00B36D59">
        <w:rPr>
          <w:rFonts w:ascii="Times New Roman" w:eastAsia="Times New Roman" w:hAnsi="Times New Roman" w:cs="Times New Roman"/>
          <w:lang w:val="en-GB"/>
        </w:rPr>
        <w:t>e</w:t>
      </w:r>
      <w:r>
        <w:rPr>
          <w:rFonts w:ascii="Times New Roman" w:eastAsia="Times New Roman" w:hAnsi="Times New Roman" w:cs="Times New Roman"/>
          <w:lang w:val="en-GB"/>
        </w:rPr>
        <w:t xml:space="preserve">thics rests upon the </w:t>
      </w:r>
      <w:r w:rsidRPr="00B36D59">
        <w:rPr>
          <w:rFonts w:ascii="Times New Roman" w:eastAsia="Times New Roman" w:hAnsi="Times New Roman" w:cs="Times New Roman"/>
          <w:i/>
          <w:lang w:val="en-GB"/>
        </w:rPr>
        <w:t>political</w:t>
      </w:r>
      <w:r>
        <w:rPr>
          <w:rFonts w:ascii="Times New Roman" w:eastAsia="Times New Roman" w:hAnsi="Times New Roman" w:cs="Times New Roman"/>
          <w:lang w:val="en-GB"/>
        </w:rPr>
        <w:t xml:space="preserve"> realities of public and private institutions</w:t>
      </w:r>
      <w:r w:rsidR="00B36D59">
        <w:rPr>
          <w:rFonts w:ascii="Times New Roman" w:eastAsia="Times New Roman" w:hAnsi="Times New Roman" w:cs="Times New Roman"/>
          <w:lang w:val="en-GB"/>
        </w:rPr>
        <w:t>…these locations, when they put people with different levels of social responsibility, respectability, and power in relationship with one another, force a genuine ethical encounter.</w:t>
      </w:r>
      <w:r w:rsidR="00B36D59">
        <w:rPr>
          <w:rStyle w:val="FootnoteReference"/>
          <w:rFonts w:ascii="Times New Roman" w:eastAsia="Times New Roman" w:hAnsi="Times New Roman" w:cs="Times New Roman"/>
          <w:lang w:val="en-GB"/>
        </w:rPr>
        <w:footnoteReference w:id="120"/>
      </w:r>
      <w:r w:rsidR="00B36D59">
        <w:rPr>
          <w:rFonts w:ascii="Times New Roman" w:eastAsia="Times New Roman" w:hAnsi="Times New Roman" w:cs="Times New Roman"/>
          <w:lang w:val="en-GB"/>
        </w:rPr>
        <w:t xml:space="preserve"> </w:t>
      </w:r>
    </w:p>
    <w:p w14:paraId="210D105A" w14:textId="77777777" w:rsidR="00D6040E" w:rsidRDefault="00D6040E" w:rsidP="00D6040E">
      <w:pPr>
        <w:pStyle w:val="Body1"/>
        <w:ind w:left="720"/>
        <w:rPr>
          <w:rFonts w:ascii="Times New Roman" w:eastAsia="Times New Roman" w:hAnsi="Times New Roman" w:cs="Times New Roman"/>
          <w:lang w:val="en-GB"/>
        </w:rPr>
      </w:pPr>
    </w:p>
    <w:p w14:paraId="0D3918E7" w14:textId="77777777" w:rsidR="00581031" w:rsidRDefault="00EF3B33" w:rsidP="00581031">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 xml:space="preserve">For Tronto </w:t>
      </w:r>
      <w:r w:rsidR="002C0DB3">
        <w:rPr>
          <w:rFonts w:ascii="Times New Roman" w:eastAsia="Times New Roman" w:hAnsi="Times New Roman" w:cs="Times New Roman"/>
          <w:lang w:val="en-GB"/>
        </w:rPr>
        <w:t xml:space="preserve">then, </w:t>
      </w:r>
      <w:r w:rsidR="00DF6A04">
        <w:rPr>
          <w:rFonts w:ascii="Times New Roman" w:eastAsia="Times New Roman" w:hAnsi="Times New Roman" w:cs="Times New Roman"/>
          <w:lang w:val="en-GB"/>
        </w:rPr>
        <w:t>the justification for a PHE’s</w:t>
      </w:r>
      <w:r>
        <w:rPr>
          <w:rFonts w:ascii="Times New Roman" w:eastAsia="Times New Roman" w:hAnsi="Times New Roman" w:cs="Times New Roman"/>
          <w:lang w:val="en-GB"/>
        </w:rPr>
        <w:t xml:space="preserve"> role </w:t>
      </w:r>
      <w:r w:rsidR="00DF6A04">
        <w:rPr>
          <w:rFonts w:ascii="Times New Roman" w:eastAsia="Times New Roman" w:hAnsi="Times New Roman" w:cs="Times New Roman"/>
          <w:lang w:val="en-GB"/>
        </w:rPr>
        <w:t xml:space="preserve">will be found </w:t>
      </w:r>
      <w:r>
        <w:rPr>
          <w:rFonts w:ascii="Times New Roman" w:eastAsia="Times New Roman" w:hAnsi="Times New Roman" w:cs="Times New Roman"/>
          <w:lang w:val="en-GB"/>
        </w:rPr>
        <w:t>not via an appeal to theory as it conventionally is</w:t>
      </w:r>
      <w:r w:rsidR="00581031">
        <w:rPr>
          <w:rFonts w:ascii="Times New Roman" w:eastAsia="Times New Roman" w:hAnsi="Times New Roman" w:cs="Times New Roman"/>
          <w:lang w:val="en-GB"/>
        </w:rPr>
        <w:t xml:space="preserve"> understood; </w:t>
      </w:r>
      <w:r w:rsidR="00D9262B">
        <w:rPr>
          <w:rFonts w:ascii="Times New Roman" w:eastAsia="Times New Roman" w:hAnsi="Times New Roman" w:cs="Times New Roman"/>
          <w:lang w:val="en-GB"/>
        </w:rPr>
        <w:t xml:space="preserve">instead, </w:t>
      </w:r>
      <w:r w:rsidR="00581031">
        <w:rPr>
          <w:rFonts w:ascii="Times New Roman" w:eastAsia="Times New Roman" w:hAnsi="Times New Roman" w:cs="Times New Roman"/>
          <w:lang w:val="en-GB"/>
        </w:rPr>
        <w:t>i</w:t>
      </w:r>
      <w:r w:rsidR="00D338B6">
        <w:rPr>
          <w:rFonts w:ascii="Times New Roman" w:eastAsia="Times New Roman" w:hAnsi="Times New Roman" w:cs="Times New Roman"/>
          <w:lang w:val="en-GB"/>
        </w:rPr>
        <w:t>nstances of engagement</w:t>
      </w:r>
      <w:r w:rsidR="002C0DB3">
        <w:rPr>
          <w:rFonts w:ascii="Times New Roman" w:eastAsia="Times New Roman" w:hAnsi="Times New Roman" w:cs="Times New Roman"/>
          <w:lang w:val="en-GB"/>
        </w:rPr>
        <w:t>,</w:t>
      </w:r>
      <w:r w:rsidR="00D338B6">
        <w:rPr>
          <w:rFonts w:ascii="Times New Roman" w:eastAsia="Times New Roman" w:hAnsi="Times New Roman" w:cs="Times New Roman"/>
          <w:lang w:val="en-GB"/>
        </w:rPr>
        <w:t xml:space="preserve"> </w:t>
      </w:r>
      <w:r w:rsidR="002C0DB3">
        <w:rPr>
          <w:rFonts w:ascii="Times New Roman" w:eastAsia="Times New Roman" w:hAnsi="Times New Roman" w:cs="Times New Roman"/>
          <w:lang w:val="en-GB"/>
        </w:rPr>
        <w:t xml:space="preserve">or </w:t>
      </w:r>
      <w:r w:rsidR="006E7692">
        <w:rPr>
          <w:rFonts w:ascii="Times New Roman" w:eastAsia="Times New Roman" w:hAnsi="Times New Roman" w:cs="Times New Roman"/>
          <w:lang w:val="en-GB"/>
        </w:rPr>
        <w:t>“</w:t>
      </w:r>
      <w:r w:rsidR="002C0DB3">
        <w:rPr>
          <w:rFonts w:ascii="Times New Roman" w:eastAsia="Times New Roman" w:hAnsi="Times New Roman" w:cs="Times New Roman"/>
          <w:lang w:val="en-GB"/>
        </w:rPr>
        <w:t>genuine ethical encounters</w:t>
      </w:r>
      <w:r w:rsidR="006E7692">
        <w:rPr>
          <w:rFonts w:ascii="Times New Roman" w:eastAsia="Times New Roman" w:hAnsi="Times New Roman" w:cs="Times New Roman"/>
          <w:lang w:val="en-GB"/>
        </w:rPr>
        <w:t>,”</w:t>
      </w:r>
      <w:r w:rsidR="002C0DB3">
        <w:rPr>
          <w:rFonts w:ascii="Times New Roman" w:eastAsia="Times New Roman" w:hAnsi="Times New Roman" w:cs="Times New Roman"/>
          <w:lang w:val="en-GB"/>
        </w:rPr>
        <w:t xml:space="preserve"> </w:t>
      </w:r>
      <w:r w:rsidR="00581031">
        <w:rPr>
          <w:rFonts w:ascii="Times New Roman" w:eastAsia="Times New Roman" w:hAnsi="Times New Roman" w:cs="Times New Roman"/>
          <w:lang w:val="en-GB"/>
        </w:rPr>
        <w:t xml:space="preserve">provide the </w:t>
      </w:r>
      <w:r w:rsidR="00DF6A04">
        <w:rPr>
          <w:rFonts w:ascii="Times New Roman" w:eastAsia="Times New Roman" w:hAnsi="Times New Roman" w:cs="Times New Roman"/>
          <w:lang w:val="en-GB"/>
        </w:rPr>
        <w:t xml:space="preserve">appropriate </w:t>
      </w:r>
      <w:r w:rsidR="00581031">
        <w:rPr>
          <w:rFonts w:ascii="Times New Roman" w:eastAsia="Times New Roman" w:hAnsi="Times New Roman" w:cs="Times New Roman"/>
          <w:lang w:val="en-GB"/>
        </w:rPr>
        <w:t>grounds for the PHE’s authori</w:t>
      </w:r>
      <w:r w:rsidR="00700761">
        <w:rPr>
          <w:rFonts w:ascii="Times New Roman" w:eastAsia="Times New Roman" w:hAnsi="Times New Roman" w:cs="Times New Roman"/>
          <w:lang w:val="en-GB"/>
        </w:rPr>
        <w:t xml:space="preserve">ty. Interestingly, however, these ethical encounters </w:t>
      </w:r>
      <w:r w:rsidR="00581031">
        <w:rPr>
          <w:rFonts w:ascii="Times New Roman" w:eastAsia="Times New Roman" w:hAnsi="Times New Roman" w:cs="Times New Roman"/>
          <w:lang w:val="en-GB"/>
        </w:rPr>
        <w:t>offer</w:t>
      </w:r>
      <w:r w:rsidR="00D338B6">
        <w:rPr>
          <w:rFonts w:ascii="Times New Roman" w:eastAsia="Times New Roman" w:hAnsi="Times New Roman" w:cs="Times New Roman"/>
          <w:lang w:val="en-GB"/>
        </w:rPr>
        <w:t xml:space="preserve"> </w:t>
      </w:r>
      <w:r w:rsidR="00D9262B">
        <w:rPr>
          <w:rFonts w:ascii="Times New Roman" w:eastAsia="Times New Roman" w:hAnsi="Times New Roman" w:cs="Times New Roman"/>
          <w:lang w:val="en-GB"/>
        </w:rPr>
        <w:t xml:space="preserve">far </w:t>
      </w:r>
      <w:r w:rsidR="00D338B6">
        <w:rPr>
          <w:rFonts w:ascii="Times New Roman" w:eastAsia="Times New Roman" w:hAnsi="Times New Roman" w:cs="Times New Roman"/>
          <w:lang w:val="en-GB"/>
        </w:rPr>
        <w:t>more than a source of hope</w:t>
      </w:r>
      <w:r w:rsidR="00D9262B">
        <w:rPr>
          <w:rFonts w:ascii="Times New Roman" w:eastAsia="Times New Roman" w:hAnsi="Times New Roman" w:cs="Times New Roman"/>
          <w:lang w:val="en-GB"/>
        </w:rPr>
        <w:t xml:space="preserve"> for greater compassion in the delivery of</w:t>
      </w:r>
      <w:r w:rsidR="00D338B6">
        <w:rPr>
          <w:rFonts w:ascii="Times New Roman" w:eastAsia="Times New Roman" w:hAnsi="Times New Roman" w:cs="Times New Roman"/>
          <w:lang w:val="en-GB"/>
        </w:rPr>
        <w:t xml:space="preserve"> patient care, or even </w:t>
      </w:r>
      <w:r w:rsidR="002C0DB3">
        <w:rPr>
          <w:rFonts w:ascii="Times New Roman" w:eastAsia="Times New Roman" w:hAnsi="Times New Roman" w:cs="Times New Roman"/>
          <w:lang w:val="en-GB"/>
        </w:rPr>
        <w:t xml:space="preserve">for </w:t>
      </w:r>
      <w:r w:rsidR="00D338B6">
        <w:rPr>
          <w:rFonts w:ascii="Times New Roman" w:eastAsia="Times New Roman" w:hAnsi="Times New Roman" w:cs="Times New Roman"/>
          <w:lang w:val="en-GB"/>
        </w:rPr>
        <w:t>healthcare systems</w:t>
      </w:r>
      <w:r w:rsidR="00DF6A04">
        <w:rPr>
          <w:rFonts w:ascii="Times New Roman" w:eastAsia="Times New Roman" w:hAnsi="Times New Roman" w:cs="Times New Roman"/>
          <w:lang w:val="en-GB"/>
        </w:rPr>
        <w:t xml:space="preserve"> that enhance </w:t>
      </w:r>
      <w:r w:rsidR="00D9262B">
        <w:rPr>
          <w:rFonts w:ascii="Times New Roman" w:eastAsia="Times New Roman" w:hAnsi="Times New Roman" w:cs="Times New Roman"/>
          <w:lang w:val="en-GB"/>
        </w:rPr>
        <w:t>equity</w:t>
      </w:r>
      <w:r w:rsidR="00D338B6">
        <w:rPr>
          <w:rFonts w:ascii="Times New Roman" w:eastAsia="Times New Roman" w:hAnsi="Times New Roman" w:cs="Times New Roman"/>
          <w:lang w:val="en-GB"/>
        </w:rPr>
        <w:t xml:space="preserve">. Toronto suggests that </w:t>
      </w:r>
      <w:r w:rsidR="002C0DB3">
        <w:rPr>
          <w:rFonts w:ascii="Times New Roman" w:eastAsia="Times New Roman" w:hAnsi="Times New Roman" w:cs="Times New Roman"/>
          <w:lang w:val="en-GB"/>
        </w:rPr>
        <w:t>“</w:t>
      </w:r>
      <w:r w:rsidR="00581031">
        <w:rPr>
          <w:rFonts w:ascii="Times New Roman" w:eastAsia="Times New Roman" w:hAnsi="Times New Roman" w:cs="Times New Roman"/>
          <w:lang w:val="en-GB"/>
        </w:rPr>
        <w:t>[</w:t>
      </w:r>
      <w:r w:rsidR="002C0DB3">
        <w:rPr>
          <w:rFonts w:ascii="Times New Roman" w:eastAsia="Times New Roman" w:hAnsi="Times New Roman" w:cs="Times New Roman"/>
          <w:lang w:val="en-GB"/>
        </w:rPr>
        <w:t>a</w:t>
      </w:r>
      <w:r w:rsidR="00581031">
        <w:rPr>
          <w:rFonts w:ascii="Times New Roman" w:eastAsia="Times New Roman" w:hAnsi="Times New Roman" w:cs="Times New Roman"/>
          <w:lang w:val="en-GB"/>
        </w:rPr>
        <w:t>]</w:t>
      </w:r>
      <w:r w:rsidR="002C0DB3">
        <w:rPr>
          <w:rFonts w:ascii="Times New Roman" w:eastAsia="Times New Roman" w:hAnsi="Times New Roman" w:cs="Times New Roman"/>
          <w:lang w:val="en-GB"/>
        </w:rPr>
        <w:t xml:space="preserve"> more democratic and just society will try to make such locations more widespread and institutions more open. In this way, applied ethics in a democratic society points the way toward making society more democratic.”</w:t>
      </w:r>
      <w:r w:rsidR="00581031">
        <w:rPr>
          <w:rStyle w:val="FootnoteReference"/>
          <w:rFonts w:ascii="Times New Roman" w:eastAsia="Times New Roman" w:hAnsi="Times New Roman" w:cs="Times New Roman"/>
          <w:lang w:val="en-GB"/>
        </w:rPr>
        <w:footnoteReference w:id="121"/>
      </w:r>
      <w:r w:rsidR="002C0DB3">
        <w:rPr>
          <w:rFonts w:ascii="Times New Roman" w:eastAsia="Times New Roman" w:hAnsi="Times New Roman" w:cs="Times New Roman"/>
          <w:lang w:val="en-GB"/>
        </w:rPr>
        <w:t xml:space="preserve"> </w:t>
      </w:r>
    </w:p>
    <w:p w14:paraId="627CFEFA" w14:textId="6184A233" w:rsidR="0096138F" w:rsidRDefault="00581031" w:rsidP="00D338B6">
      <w:pPr>
        <w:pStyle w:val="Body1"/>
        <w:spacing w:line="480" w:lineRule="auto"/>
        <w:rPr>
          <w:rFonts w:ascii="Times New Roman" w:eastAsia="Times New Roman" w:hAnsi="Times New Roman" w:cs="Times New Roman"/>
          <w:lang w:val="en-GB"/>
        </w:rPr>
      </w:pPr>
      <w:r>
        <w:rPr>
          <w:rFonts w:ascii="Times New Roman" w:eastAsia="Times New Roman" w:hAnsi="Times New Roman" w:cs="Times New Roman"/>
          <w:lang w:val="en-GB"/>
        </w:rPr>
        <w:tab/>
        <w:t xml:space="preserve">This optimistic view of the work of applied ethicists – at </w:t>
      </w:r>
      <w:r w:rsidR="008D00FD">
        <w:rPr>
          <w:rFonts w:ascii="Times New Roman" w:eastAsia="Times New Roman" w:hAnsi="Times New Roman" w:cs="Times New Roman"/>
          <w:lang w:val="en-GB"/>
        </w:rPr>
        <w:t xml:space="preserve">least when </w:t>
      </w:r>
      <w:r>
        <w:rPr>
          <w:rFonts w:ascii="Times New Roman" w:eastAsia="Times New Roman" w:hAnsi="Times New Roman" w:cs="Times New Roman"/>
          <w:lang w:val="en-GB"/>
        </w:rPr>
        <w:t>t</w:t>
      </w:r>
      <w:r w:rsidR="008D00FD">
        <w:rPr>
          <w:rFonts w:ascii="Times New Roman" w:eastAsia="Times New Roman" w:hAnsi="Times New Roman" w:cs="Times New Roman"/>
          <w:lang w:val="en-GB"/>
        </w:rPr>
        <w:t>hat work</w:t>
      </w:r>
      <w:r>
        <w:rPr>
          <w:rFonts w:ascii="Times New Roman" w:eastAsia="Times New Roman" w:hAnsi="Times New Roman" w:cs="Times New Roman"/>
          <w:lang w:val="en-GB"/>
        </w:rPr>
        <w:t xml:space="preserve"> is politically infor</w:t>
      </w:r>
      <w:r w:rsidR="00DE0A84">
        <w:rPr>
          <w:rFonts w:ascii="Times New Roman" w:eastAsia="Times New Roman" w:hAnsi="Times New Roman" w:cs="Times New Roman"/>
          <w:lang w:val="en-GB"/>
        </w:rPr>
        <w:t>med and attentive to power differentials</w:t>
      </w:r>
      <w:r w:rsidR="009915CE">
        <w:rPr>
          <w:rFonts w:ascii="Times New Roman" w:eastAsia="Times New Roman" w:hAnsi="Times New Roman" w:cs="Times New Roman"/>
          <w:lang w:val="en-GB"/>
        </w:rPr>
        <w:t xml:space="preserve"> – is</w:t>
      </w:r>
      <w:r>
        <w:rPr>
          <w:rFonts w:ascii="Times New Roman" w:eastAsia="Times New Roman" w:hAnsi="Times New Roman" w:cs="Times New Roman"/>
          <w:lang w:val="en-GB"/>
        </w:rPr>
        <w:t xml:space="preserve"> a refreshing tonic after the </w:t>
      </w:r>
      <w:r w:rsidR="00C63F42">
        <w:rPr>
          <w:rFonts w:ascii="Times New Roman" w:eastAsia="Times New Roman" w:hAnsi="Times New Roman" w:cs="Times New Roman"/>
          <w:lang w:val="en-GB"/>
        </w:rPr>
        <w:t xml:space="preserve">harsh </w:t>
      </w:r>
      <w:r>
        <w:rPr>
          <w:rFonts w:ascii="Times New Roman" w:eastAsia="Times New Roman" w:hAnsi="Times New Roman" w:cs="Times New Roman"/>
          <w:lang w:val="en-GB"/>
        </w:rPr>
        <w:t>appraisals of the field’s critics. Working from</w:t>
      </w:r>
      <w:r w:rsidR="008D00FD">
        <w:rPr>
          <w:rFonts w:ascii="Times New Roman" w:eastAsia="Times New Roman" w:hAnsi="Times New Roman" w:cs="Times New Roman"/>
          <w:lang w:val="en-GB"/>
        </w:rPr>
        <w:t xml:space="preserve"> the </w:t>
      </w:r>
      <w:r>
        <w:rPr>
          <w:rFonts w:ascii="Times New Roman" w:eastAsia="Times New Roman" w:hAnsi="Times New Roman" w:cs="Times New Roman"/>
          <w:lang w:val="en-GB"/>
        </w:rPr>
        <w:t xml:space="preserve">assumption that PHEs inhabit a politically fraught and hierarchical </w:t>
      </w:r>
      <w:r w:rsidR="008D00FD">
        <w:rPr>
          <w:rFonts w:ascii="Times New Roman" w:eastAsia="Times New Roman" w:hAnsi="Times New Roman" w:cs="Times New Roman"/>
          <w:lang w:val="en-GB"/>
        </w:rPr>
        <w:t>environment</w:t>
      </w:r>
      <w:r w:rsidR="00847E2B">
        <w:rPr>
          <w:rFonts w:ascii="Times New Roman" w:eastAsia="Times New Roman" w:hAnsi="Times New Roman" w:cs="Times New Roman"/>
          <w:lang w:val="en-GB"/>
        </w:rPr>
        <w:t>,</w:t>
      </w:r>
      <w:r w:rsidR="008D00FD">
        <w:rPr>
          <w:rFonts w:ascii="Times New Roman" w:eastAsia="Times New Roman" w:hAnsi="Times New Roman" w:cs="Times New Roman"/>
          <w:lang w:val="en-GB"/>
        </w:rPr>
        <w:t xml:space="preserve"> Tronto draws </w:t>
      </w:r>
      <w:r w:rsidR="008D00FD">
        <w:rPr>
          <w:rFonts w:ascii="Times New Roman" w:eastAsia="Times New Roman" w:hAnsi="Times New Roman" w:cs="Times New Roman"/>
          <w:lang w:val="en-GB"/>
        </w:rPr>
        <w:lastRenderedPageBreak/>
        <w:t>a very different conclusion</w:t>
      </w:r>
      <w:r w:rsidR="00C51BE1">
        <w:rPr>
          <w:rFonts w:ascii="Times New Roman" w:eastAsia="Times New Roman" w:hAnsi="Times New Roman" w:cs="Times New Roman"/>
          <w:lang w:val="en-GB"/>
        </w:rPr>
        <w:t xml:space="preserve"> than Elliott, Koch, and many others. She suggests that a</w:t>
      </w:r>
      <w:r w:rsidR="008D00FD">
        <w:rPr>
          <w:rFonts w:ascii="Times New Roman" w:eastAsia="Times New Roman" w:hAnsi="Times New Roman" w:cs="Times New Roman"/>
          <w:lang w:val="en-GB"/>
        </w:rPr>
        <w:t>pplied ethicists need not be hopelessly compromised nor</w:t>
      </w:r>
      <w:r w:rsidR="00700761">
        <w:rPr>
          <w:rFonts w:ascii="Times New Roman" w:eastAsia="Times New Roman" w:hAnsi="Times New Roman" w:cs="Times New Roman"/>
          <w:lang w:val="en-GB"/>
        </w:rPr>
        <w:t xml:space="preserve"> must</w:t>
      </w:r>
      <w:r w:rsidR="00C51BE1">
        <w:rPr>
          <w:rFonts w:ascii="Times New Roman" w:eastAsia="Times New Roman" w:hAnsi="Times New Roman" w:cs="Times New Roman"/>
          <w:lang w:val="en-GB"/>
        </w:rPr>
        <w:t xml:space="preserve"> they </w:t>
      </w:r>
      <w:r w:rsidR="006E7692">
        <w:rPr>
          <w:rFonts w:ascii="Times New Roman" w:eastAsia="Times New Roman" w:hAnsi="Times New Roman" w:cs="Times New Roman"/>
          <w:lang w:val="en-GB"/>
        </w:rPr>
        <w:t>enrich themselves via</w:t>
      </w:r>
      <w:r w:rsidR="008D00FD">
        <w:rPr>
          <w:rFonts w:ascii="Times New Roman" w:eastAsia="Times New Roman" w:hAnsi="Times New Roman" w:cs="Times New Roman"/>
          <w:lang w:val="en-GB"/>
        </w:rPr>
        <w:t xml:space="preserve"> a supposed theft of others’ virtue. Tronto, like </w:t>
      </w:r>
      <w:r w:rsidR="00C51BE1">
        <w:rPr>
          <w:rFonts w:ascii="Times New Roman" w:eastAsia="Times New Roman" w:hAnsi="Times New Roman" w:cs="Times New Roman"/>
          <w:lang w:val="en-GB"/>
        </w:rPr>
        <w:t>Margar</w:t>
      </w:r>
      <w:r w:rsidR="00DA60E9">
        <w:rPr>
          <w:rFonts w:ascii="Times New Roman" w:eastAsia="Times New Roman" w:hAnsi="Times New Roman" w:cs="Times New Roman"/>
          <w:lang w:val="en-GB"/>
        </w:rPr>
        <w:t xml:space="preserve">et Urban Walker, may reject a view of ethics which assigns primacy to the special argumentative skills of moral philosophy as it is traditionally </w:t>
      </w:r>
      <w:r w:rsidR="006E7692">
        <w:rPr>
          <w:rFonts w:ascii="Times New Roman" w:eastAsia="Times New Roman" w:hAnsi="Times New Roman" w:cs="Times New Roman"/>
          <w:lang w:val="en-GB"/>
        </w:rPr>
        <w:t>understood;</w:t>
      </w:r>
      <w:r w:rsidR="00847E2B">
        <w:rPr>
          <w:rFonts w:ascii="Times New Roman" w:eastAsia="Times New Roman" w:hAnsi="Times New Roman" w:cs="Times New Roman"/>
          <w:lang w:val="en-GB"/>
        </w:rPr>
        <w:t xml:space="preserve"> that is, as a method </w:t>
      </w:r>
      <w:r w:rsidR="00DA60E9">
        <w:rPr>
          <w:rFonts w:ascii="Times New Roman" w:eastAsia="Times New Roman" w:hAnsi="Times New Roman" w:cs="Times New Roman"/>
          <w:lang w:val="en-GB"/>
        </w:rPr>
        <w:t>which abstracts from the messy vicissitudes of</w:t>
      </w:r>
      <w:r w:rsidR="00660E67">
        <w:rPr>
          <w:rFonts w:ascii="Times New Roman" w:eastAsia="Times New Roman" w:hAnsi="Times New Roman" w:cs="Times New Roman"/>
          <w:lang w:val="en-GB"/>
        </w:rPr>
        <w:t xml:space="preserve"> the lives of ordinary people</w:t>
      </w:r>
      <w:r w:rsidR="00DA60E9">
        <w:rPr>
          <w:rFonts w:ascii="Times New Roman" w:eastAsia="Times New Roman" w:hAnsi="Times New Roman" w:cs="Times New Roman"/>
          <w:lang w:val="en-GB"/>
        </w:rPr>
        <w:t xml:space="preserve">, but she does not judge the </w:t>
      </w:r>
      <w:r w:rsidR="0040392F">
        <w:rPr>
          <w:rFonts w:ascii="Times New Roman" w:eastAsia="Times New Roman" w:hAnsi="Times New Roman" w:cs="Times New Roman"/>
          <w:lang w:val="en-GB"/>
        </w:rPr>
        <w:t xml:space="preserve">ethics </w:t>
      </w:r>
      <w:r w:rsidR="00DA60E9">
        <w:rPr>
          <w:rFonts w:ascii="Times New Roman" w:eastAsia="Times New Roman" w:hAnsi="Times New Roman" w:cs="Times New Roman"/>
          <w:lang w:val="en-GB"/>
        </w:rPr>
        <w:t>enterprise worthless.</w:t>
      </w:r>
      <w:r w:rsidR="0040392F">
        <w:rPr>
          <w:rFonts w:ascii="Times New Roman" w:eastAsia="Times New Roman" w:hAnsi="Times New Roman" w:cs="Times New Roman"/>
          <w:lang w:val="en-GB"/>
        </w:rPr>
        <w:t xml:space="preserve"> I</w:t>
      </w:r>
      <w:r w:rsidR="00242250">
        <w:rPr>
          <w:rFonts w:ascii="Times New Roman" w:eastAsia="Times New Roman" w:hAnsi="Times New Roman" w:cs="Times New Roman"/>
          <w:lang w:val="en-GB"/>
        </w:rPr>
        <w:t>nstea</w:t>
      </w:r>
      <w:r w:rsidR="00CE56A7">
        <w:rPr>
          <w:rFonts w:ascii="Times New Roman" w:eastAsia="Times New Roman" w:hAnsi="Times New Roman" w:cs="Times New Roman"/>
          <w:lang w:val="en-GB"/>
        </w:rPr>
        <w:t xml:space="preserve">d, following </w:t>
      </w:r>
      <w:r w:rsidR="0040392F">
        <w:rPr>
          <w:rFonts w:ascii="Times New Roman" w:eastAsia="Times New Roman" w:hAnsi="Times New Roman" w:cs="Times New Roman"/>
          <w:lang w:val="en-GB"/>
        </w:rPr>
        <w:t>Walker</w:t>
      </w:r>
      <w:r w:rsidR="00242250">
        <w:rPr>
          <w:rFonts w:ascii="Times New Roman" w:eastAsia="Times New Roman" w:hAnsi="Times New Roman" w:cs="Times New Roman"/>
          <w:lang w:val="en-GB"/>
        </w:rPr>
        <w:t>, she maintains</w:t>
      </w:r>
      <w:r w:rsidR="0040392F">
        <w:rPr>
          <w:rFonts w:ascii="Times New Roman" w:eastAsia="Times New Roman" w:hAnsi="Times New Roman" w:cs="Times New Roman"/>
          <w:lang w:val="en-GB"/>
        </w:rPr>
        <w:t xml:space="preserve"> that</w:t>
      </w:r>
      <w:r w:rsidR="007F58EA">
        <w:rPr>
          <w:rFonts w:ascii="Times New Roman" w:eastAsia="Times New Roman" w:hAnsi="Times New Roman" w:cs="Times New Roman"/>
          <w:lang w:val="en-GB"/>
        </w:rPr>
        <w:t xml:space="preserve"> its value lies</w:t>
      </w:r>
      <w:r w:rsidR="0040392F">
        <w:rPr>
          <w:rFonts w:ascii="Times New Roman" w:eastAsia="Times New Roman" w:hAnsi="Times New Roman" w:cs="Times New Roman"/>
          <w:lang w:val="en-GB"/>
        </w:rPr>
        <w:t xml:space="preserve"> in its insistence that we engage with one another in a</w:t>
      </w:r>
      <w:r w:rsidR="00242250">
        <w:rPr>
          <w:rFonts w:ascii="Times New Roman" w:eastAsia="Times New Roman" w:hAnsi="Times New Roman" w:cs="Times New Roman"/>
          <w:lang w:val="en-GB"/>
        </w:rPr>
        <w:t>n</w:t>
      </w:r>
      <w:r w:rsidR="0040392F">
        <w:rPr>
          <w:rFonts w:ascii="Times New Roman" w:eastAsia="Times New Roman" w:hAnsi="Times New Roman" w:cs="Times New Roman"/>
          <w:lang w:val="en-GB"/>
        </w:rPr>
        <w:t xml:space="preserve"> </w:t>
      </w:r>
      <w:r w:rsidR="00242250">
        <w:rPr>
          <w:rFonts w:ascii="Times New Roman" w:eastAsia="Times New Roman" w:hAnsi="Times New Roman" w:cs="Times New Roman"/>
          <w:lang w:val="en-GB"/>
        </w:rPr>
        <w:t xml:space="preserve">ongoing </w:t>
      </w:r>
      <w:r w:rsidR="0040392F">
        <w:rPr>
          <w:rFonts w:ascii="Times New Roman" w:eastAsia="Times New Roman" w:hAnsi="Times New Roman" w:cs="Times New Roman"/>
          <w:lang w:val="en-GB"/>
        </w:rPr>
        <w:t xml:space="preserve">process of negotiation, a negotiation </w:t>
      </w:r>
      <w:r w:rsidR="00242250">
        <w:rPr>
          <w:rFonts w:ascii="Times New Roman" w:eastAsia="Times New Roman" w:hAnsi="Times New Roman" w:cs="Times New Roman"/>
          <w:lang w:val="en-GB"/>
        </w:rPr>
        <w:t>that presumes that we have relationships with one another, and challenges us to reflect on the nature and extent of the responsibilities</w:t>
      </w:r>
      <w:r w:rsidR="00660E67">
        <w:rPr>
          <w:rFonts w:ascii="Times New Roman" w:eastAsia="Times New Roman" w:hAnsi="Times New Roman" w:cs="Times New Roman"/>
          <w:lang w:val="en-GB"/>
        </w:rPr>
        <w:t xml:space="preserve"> that those relationships require</w:t>
      </w:r>
      <w:r w:rsidR="00242250">
        <w:rPr>
          <w:rFonts w:ascii="Times New Roman" w:eastAsia="Times New Roman" w:hAnsi="Times New Roman" w:cs="Times New Roman"/>
          <w:lang w:val="en-GB"/>
        </w:rPr>
        <w:t>.</w:t>
      </w:r>
      <w:r w:rsidR="00242250">
        <w:rPr>
          <w:rStyle w:val="FootnoteReference"/>
          <w:rFonts w:ascii="Times New Roman" w:eastAsia="Times New Roman" w:hAnsi="Times New Roman" w:cs="Times New Roman"/>
          <w:lang w:val="en-GB"/>
        </w:rPr>
        <w:footnoteReference w:id="122"/>
      </w:r>
      <w:r w:rsidR="00C63F42">
        <w:rPr>
          <w:rFonts w:ascii="Times New Roman" w:eastAsia="Times New Roman" w:hAnsi="Times New Roman" w:cs="Times New Roman"/>
          <w:lang w:val="en-GB"/>
        </w:rPr>
        <w:t xml:space="preserve"> Tro</w:t>
      </w:r>
      <w:r w:rsidR="00021269">
        <w:rPr>
          <w:rFonts w:ascii="Times New Roman" w:eastAsia="Times New Roman" w:hAnsi="Times New Roman" w:cs="Times New Roman"/>
          <w:lang w:val="en-GB"/>
        </w:rPr>
        <w:t>nto’s analysis may persuade PHE</w:t>
      </w:r>
      <w:r w:rsidR="00C63F42">
        <w:rPr>
          <w:rFonts w:ascii="Times New Roman" w:eastAsia="Times New Roman" w:hAnsi="Times New Roman" w:cs="Times New Roman"/>
          <w:lang w:val="en-GB"/>
        </w:rPr>
        <w:t>s to abide fewer injustice</w:t>
      </w:r>
      <w:r w:rsidR="00CE56A7">
        <w:rPr>
          <w:rFonts w:ascii="Times New Roman" w:eastAsia="Times New Roman" w:hAnsi="Times New Roman" w:cs="Times New Roman"/>
          <w:lang w:val="en-GB"/>
        </w:rPr>
        <w:t>s than they otherwise might and, most importantly,</w:t>
      </w:r>
      <w:r w:rsidR="00C63F42">
        <w:rPr>
          <w:rFonts w:ascii="Times New Roman" w:eastAsia="Times New Roman" w:hAnsi="Times New Roman" w:cs="Times New Roman"/>
          <w:lang w:val="en-GB"/>
        </w:rPr>
        <w:t xml:space="preserve"> it does </w:t>
      </w:r>
      <w:r w:rsidR="00D57F83">
        <w:rPr>
          <w:rFonts w:ascii="Times New Roman" w:eastAsia="Times New Roman" w:hAnsi="Times New Roman" w:cs="Times New Roman"/>
          <w:lang w:val="en-GB"/>
        </w:rPr>
        <w:t xml:space="preserve">not </w:t>
      </w:r>
      <w:r w:rsidR="00C63F42">
        <w:rPr>
          <w:rFonts w:ascii="Times New Roman" w:eastAsia="Times New Roman" w:hAnsi="Times New Roman" w:cs="Times New Roman"/>
          <w:lang w:val="en-GB"/>
        </w:rPr>
        <w:t>entail the conclusion</w:t>
      </w:r>
      <w:r w:rsidR="00D57F83">
        <w:rPr>
          <w:rFonts w:ascii="Times New Roman" w:eastAsia="Times New Roman" w:hAnsi="Times New Roman" w:cs="Times New Roman"/>
          <w:lang w:val="en-GB"/>
        </w:rPr>
        <w:t xml:space="preserve"> that </w:t>
      </w:r>
      <w:r w:rsidR="00847E2B">
        <w:rPr>
          <w:rFonts w:ascii="Times New Roman" w:eastAsia="Times New Roman" w:hAnsi="Times New Roman" w:cs="Times New Roman"/>
          <w:lang w:val="en-GB"/>
        </w:rPr>
        <w:t>an ethicist’s</w:t>
      </w:r>
      <w:r w:rsidR="00D57F83">
        <w:rPr>
          <w:rFonts w:ascii="Times New Roman" w:eastAsia="Times New Roman" w:hAnsi="Times New Roman" w:cs="Times New Roman"/>
          <w:lang w:val="en-GB"/>
        </w:rPr>
        <w:t xml:space="preserve"> </w:t>
      </w:r>
      <w:r w:rsidR="00847E2B">
        <w:rPr>
          <w:rFonts w:ascii="Times New Roman" w:eastAsia="Times New Roman" w:hAnsi="Times New Roman" w:cs="Times New Roman"/>
          <w:lang w:val="en-GB"/>
        </w:rPr>
        <w:t>influence on</w:t>
      </w:r>
      <w:r w:rsidR="0040224A">
        <w:rPr>
          <w:rFonts w:ascii="Times New Roman" w:eastAsia="Times New Roman" w:hAnsi="Times New Roman" w:cs="Times New Roman"/>
          <w:lang w:val="en-GB"/>
        </w:rPr>
        <w:t xml:space="preserve"> </w:t>
      </w:r>
      <w:r w:rsidR="00D57F83">
        <w:rPr>
          <w:rFonts w:ascii="Times New Roman" w:eastAsia="Times New Roman" w:hAnsi="Times New Roman" w:cs="Times New Roman"/>
          <w:lang w:val="en-GB"/>
        </w:rPr>
        <w:t>decision making is always compromised when it is situated in the clinic</w:t>
      </w:r>
      <w:r w:rsidR="007F58EA">
        <w:rPr>
          <w:rFonts w:ascii="Times New Roman" w:eastAsia="Times New Roman" w:hAnsi="Times New Roman" w:cs="Times New Roman"/>
          <w:lang w:val="en-GB"/>
        </w:rPr>
        <w:t xml:space="preserve"> or at the bedside</w:t>
      </w:r>
      <w:r w:rsidR="00D57F83">
        <w:rPr>
          <w:rFonts w:ascii="Times New Roman" w:eastAsia="Times New Roman" w:hAnsi="Times New Roman" w:cs="Times New Roman"/>
          <w:lang w:val="en-GB"/>
        </w:rPr>
        <w:t>.</w:t>
      </w:r>
      <w:r w:rsidR="00D57F83">
        <w:rPr>
          <w:rStyle w:val="FootnoteReference"/>
          <w:rFonts w:ascii="Times New Roman" w:eastAsia="Times New Roman" w:hAnsi="Times New Roman" w:cs="Times New Roman"/>
          <w:lang w:val="en-GB"/>
        </w:rPr>
        <w:footnoteReference w:id="123"/>
      </w:r>
    </w:p>
    <w:p w14:paraId="704EAB56" w14:textId="77777777" w:rsidR="009E714C" w:rsidRDefault="00D338B6" w:rsidP="00D338B6">
      <w:pPr>
        <w:pStyle w:val="Body1"/>
        <w:spacing w:line="480" w:lineRule="auto"/>
        <w:rPr>
          <w:rFonts w:ascii="Times New Roman" w:eastAsia="Times New Roman" w:hAnsi="Times New Roman" w:cs="Times New Roman"/>
          <w:lang w:val="en-GB"/>
        </w:rPr>
      </w:pPr>
      <w:r>
        <w:rPr>
          <w:rFonts w:ascii="Times New Roman" w:eastAsia="Times New Roman" w:hAnsi="Times New Roman" w:cs="Times New Roman"/>
          <w:lang w:val="en-GB"/>
        </w:rPr>
        <w:lastRenderedPageBreak/>
        <w:t xml:space="preserve"> </w:t>
      </w:r>
      <w:r w:rsidR="00B36D59">
        <w:rPr>
          <w:rFonts w:ascii="Times New Roman" w:eastAsia="Times New Roman" w:hAnsi="Times New Roman" w:cs="Times New Roman"/>
          <w:lang w:val="en-GB"/>
        </w:rPr>
        <w:t xml:space="preserve"> </w:t>
      </w:r>
      <w:r w:rsidR="00CB0897">
        <w:rPr>
          <w:rFonts w:ascii="Times New Roman" w:eastAsia="Times New Roman" w:hAnsi="Times New Roman" w:cs="Times New Roman"/>
          <w:lang w:val="en-GB"/>
        </w:rPr>
        <w:t xml:space="preserve">       </w:t>
      </w:r>
      <w:r w:rsidR="00E90839">
        <w:rPr>
          <w:rFonts w:ascii="Times New Roman" w:eastAsia="Times New Roman" w:hAnsi="Times New Roman" w:cs="Times New Roman"/>
          <w:lang w:val="en-GB"/>
        </w:rPr>
        <w:t xml:space="preserve"> </w:t>
      </w:r>
    </w:p>
    <w:p w14:paraId="150FFF60" w14:textId="77777777" w:rsidR="00405516" w:rsidRDefault="00B41EF0" w:rsidP="00405516">
      <w:pPr>
        <w:pStyle w:val="Body1"/>
        <w:spacing w:line="480" w:lineRule="auto"/>
        <w:rPr>
          <w:rFonts w:ascii="Times New Roman" w:eastAsia="Times New Roman" w:hAnsi="Times New Roman" w:cs="Times New Roman"/>
          <w:i/>
          <w:lang w:val="en-GB"/>
        </w:rPr>
      </w:pPr>
      <w:r w:rsidRPr="00542AF4">
        <w:rPr>
          <w:rFonts w:ascii="Times New Roman" w:eastAsia="Times New Roman" w:hAnsi="Times New Roman" w:cs="Times New Roman"/>
          <w:i/>
          <w:lang w:val="en-GB"/>
        </w:rPr>
        <w:t xml:space="preserve">Public (Health) Ethics: Fostering reflection and </w:t>
      </w:r>
      <w:r w:rsidR="00074691">
        <w:rPr>
          <w:rFonts w:ascii="Times New Roman" w:eastAsia="Times New Roman" w:hAnsi="Times New Roman" w:cs="Times New Roman"/>
          <w:i/>
          <w:lang w:val="en-GB"/>
        </w:rPr>
        <w:t xml:space="preserve">playing the long </w:t>
      </w:r>
      <w:r w:rsidRPr="00542AF4">
        <w:rPr>
          <w:rFonts w:ascii="Times New Roman" w:eastAsia="Times New Roman" w:hAnsi="Times New Roman" w:cs="Times New Roman"/>
          <w:i/>
          <w:lang w:val="en-GB"/>
        </w:rPr>
        <w:t xml:space="preserve">game  </w:t>
      </w:r>
    </w:p>
    <w:p w14:paraId="21C4C68A" w14:textId="77777777" w:rsidR="00FD34AB" w:rsidRPr="00405516" w:rsidRDefault="00B70580" w:rsidP="00405516">
      <w:pPr>
        <w:pStyle w:val="Body1"/>
        <w:spacing w:line="480" w:lineRule="auto"/>
        <w:ind w:firstLine="720"/>
        <w:rPr>
          <w:rFonts w:ascii="Times New Roman" w:eastAsia="Times New Roman" w:hAnsi="Times New Roman" w:cs="Times New Roman"/>
          <w:i/>
          <w:lang w:val="en-GB"/>
        </w:rPr>
      </w:pPr>
      <w:r>
        <w:rPr>
          <w:rFonts w:ascii="Times New Roman" w:eastAsia="Times New Roman" w:hAnsi="Times New Roman" w:cs="Times New Roman"/>
          <w:lang w:val="en-GB"/>
        </w:rPr>
        <w:t>The p</w:t>
      </w:r>
      <w:r w:rsidR="00C6237D">
        <w:rPr>
          <w:rFonts w:ascii="Times New Roman" w:eastAsia="Times New Roman" w:hAnsi="Times New Roman" w:cs="Times New Roman"/>
          <w:lang w:val="en-GB"/>
        </w:rPr>
        <w:t xml:space="preserve">hilosopher </w:t>
      </w:r>
      <w:r w:rsidR="00BF4FDC">
        <w:rPr>
          <w:rFonts w:ascii="Times New Roman" w:eastAsia="Times New Roman" w:hAnsi="Times New Roman" w:cs="Times New Roman"/>
          <w:lang w:val="en-GB"/>
        </w:rPr>
        <w:t>Susan Sherw</w:t>
      </w:r>
      <w:r w:rsidR="00FD34AB">
        <w:rPr>
          <w:rFonts w:ascii="Times New Roman" w:eastAsia="Times New Roman" w:hAnsi="Times New Roman" w:cs="Times New Roman"/>
          <w:lang w:val="en-GB"/>
        </w:rPr>
        <w:t xml:space="preserve">in has explored the problems associated with the embeddedness of </w:t>
      </w:r>
      <w:r w:rsidR="004D0401">
        <w:rPr>
          <w:rFonts w:ascii="Times New Roman" w:eastAsia="Times New Roman" w:hAnsi="Times New Roman" w:cs="Times New Roman"/>
          <w:lang w:val="en-GB"/>
        </w:rPr>
        <w:t>bio</w:t>
      </w:r>
      <w:r w:rsidR="00FD34AB">
        <w:rPr>
          <w:rFonts w:ascii="Times New Roman" w:eastAsia="Times New Roman" w:hAnsi="Times New Roman" w:cs="Times New Roman"/>
          <w:lang w:val="en-GB"/>
        </w:rPr>
        <w:t>ethicists</w:t>
      </w:r>
      <w:r w:rsidR="00BF4FDC">
        <w:rPr>
          <w:rFonts w:ascii="Times New Roman" w:eastAsia="Times New Roman" w:hAnsi="Times New Roman" w:cs="Times New Roman"/>
          <w:lang w:val="en-GB"/>
        </w:rPr>
        <w:t xml:space="preserve"> in a slightly </w:t>
      </w:r>
      <w:r w:rsidR="0022206A">
        <w:rPr>
          <w:rFonts w:ascii="Times New Roman" w:eastAsia="Times New Roman" w:hAnsi="Times New Roman" w:cs="Times New Roman"/>
          <w:lang w:val="en-GB"/>
        </w:rPr>
        <w:t xml:space="preserve">different </w:t>
      </w:r>
      <w:r w:rsidR="00BF4FDC">
        <w:rPr>
          <w:rFonts w:ascii="Times New Roman" w:eastAsia="Times New Roman" w:hAnsi="Times New Roman" w:cs="Times New Roman"/>
          <w:lang w:val="en-GB"/>
        </w:rPr>
        <w:t>but compati</w:t>
      </w:r>
      <w:r w:rsidR="0022206A">
        <w:rPr>
          <w:rFonts w:ascii="Times New Roman" w:eastAsia="Times New Roman" w:hAnsi="Times New Roman" w:cs="Times New Roman"/>
          <w:lang w:val="en-GB"/>
        </w:rPr>
        <w:t xml:space="preserve">ble </w:t>
      </w:r>
      <w:r w:rsidR="00BF4FDC">
        <w:rPr>
          <w:rFonts w:ascii="Times New Roman" w:eastAsia="Times New Roman" w:hAnsi="Times New Roman" w:cs="Times New Roman"/>
          <w:lang w:val="en-GB"/>
        </w:rPr>
        <w:t xml:space="preserve">way. </w:t>
      </w:r>
      <w:r w:rsidR="00C96B52">
        <w:rPr>
          <w:rFonts w:ascii="Times New Roman" w:eastAsia="Times New Roman" w:hAnsi="Times New Roman" w:cs="Times New Roman"/>
          <w:lang w:val="en-GB"/>
        </w:rPr>
        <w:t>She suggests that those engaged in</w:t>
      </w:r>
      <w:r w:rsidR="0096109B">
        <w:rPr>
          <w:rFonts w:ascii="Times New Roman" w:eastAsia="Times New Roman" w:hAnsi="Times New Roman" w:cs="Times New Roman"/>
          <w:lang w:val="en-GB"/>
        </w:rPr>
        <w:t xml:space="preserve"> </w:t>
      </w:r>
      <w:r w:rsidR="00C96B52">
        <w:rPr>
          <w:rFonts w:ascii="Times New Roman" w:eastAsia="Times New Roman" w:hAnsi="Times New Roman" w:cs="Times New Roman"/>
          <w:lang w:val="en-GB"/>
        </w:rPr>
        <w:t xml:space="preserve">ethical </w:t>
      </w:r>
      <w:r w:rsidR="0096109B">
        <w:rPr>
          <w:rFonts w:ascii="Times New Roman" w:eastAsia="Times New Roman" w:hAnsi="Times New Roman" w:cs="Times New Roman"/>
          <w:lang w:val="en-GB"/>
        </w:rPr>
        <w:t>analy</w:t>
      </w:r>
      <w:r w:rsidR="00C96B52">
        <w:rPr>
          <w:rFonts w:ascii="Times New Roman" w:eastAsia="Times New Roman" w:hAnsi="Times New Roman" w:cs="Times New Roman"/>
          <w:lang w:val="en-GB"/>
        </w:rPr>
        <w:t xml:space="preserve">sis </w:t>
      </w:r>
      <w:r w:rsidR="0022206A">
        <w:rPr>
          <w:rFonts w:ascii="Times New Roman" w:eastAsia="Times New Roman" w:hAnsi="Times New Roman" w:cs="Times New Roman"/>
          <w:lang w:val="en-GB"/>
        </w:rPr>
        <w:t>typically</w:t>
      </w:r>
      <w:r w:rsidR="0096109B">
        <w:rPr>
          <w:rFonts w:ascii="Times New Roman" w:eastAsia="Times New Roman" w:hAnsi="Times New Roman" w:cs="Times New Roman"/>
          <w:lang w:val="en-GB"/>
        </w:rPr>
        <w:t xml:space="preserve"> allow others to frame the</w:t>
      </w:r>
      <w:r w:rsidR="00C96B52">
        <w:rPr>
          <w:rFonts w:ascii="Times New Roman" w:eastAsia="Times New Roman" w:hAnsi="Times New Roman" w:cs="Times New Roman"/>
          <w:lang w:val="en-GB"/>
        </w:rPr>
        <w:t>ir</w:t>
      </w:r>
      <w:r w:rsidR="0096109B">
        <w:rPr>
          <w:rFonts w:ascii="Times New Roman" w:eastAsia="Times New Roman" w:hAnsi="Times New Roman" w:cs="Times New Roman"/>
          <w:lang w:val="en-GB"/>
        </w:rPr>
        <w:t xml:space="preserve"> debate</w:t>
      </w:r>
      <w:r w:rsidR="00C96B52">
        <w:rPr>
          <w:rFonts w:ascii="Times New Roman" w:eastAsia="Times New Roman" w:hAnsi="Times New Roman" w:cs="Times New Roman"/>
          <w:lang w:val="en-GB"/>
        </w:rPr>
        <w:t>s</w:t>
      </w:r>
      <w:r w:rsidR="0096109B">
        <w:rPr>
          <w:rFonts w:ascii="Times New Roman" w:eastAsia="Times New Roman" w:hAnsi="Times New Roman" w:cs="Times New Roman"/>
          <w:lang w:val="en-GB"/>
        </w:rPr>
        <w:t xml:space="preserve"> and </w:t>
      </w:r>
      <w:r w:rsidR="00C96B52">
        <w:rPr>
          <w:rFonts w:ascii="Times New Roman" w:eastAsia="Times New Roman" w:hAnsi="Times New Roman" w:cs="Times New Roman"/>
          <w:lang w:val="en-GB"/>
        </w:rPr>
        <w:t xml:space="preserve">to decide what </w:t>
      </w:r>
      <w:r w:rsidR="004D0401">
        <w:rPr>
          <w:rFonts w:ascii="Times New Roman" w:eastAsia="Times New Roman" w:hAnsi="Times New Roman" w:cs="Times New Roman"/>
          <w:lang w:val="en-GB"/>
        </w:rPr>
        <w:t>might count</w:t>
      </w:r>
      <w:r w:rsidR="00C96B52">
        <w:rPr>
          <w:rFonts w:ascii="Times New Roman" w:eastAsia="Times New Roman" w:hAnsi="Times New Roman" w:cs="Times New Roman"/>
          <w:lang w:val="en-GB"/>
        </w:rPr>
        <w:t xml:space="preserve"> as </w:t>
      </w:r>
      <w:r w:rsidR="0096109B">
        <w:rPr>
          <w:rFonts w:ascii="Times New Roman" w:eastAsia="Times New Roman" w:hAnsi="Times New Roman" w:cs="Times New Roman"/>
          <w:lang w:val="en-GB"/>
        </w:rPr>
        <w:t>appropriate</w:t>
      </w:r>
      <w:r w:rsidR="00727C76">
        <w:rPr>
          <w:rFonts w:ascii="Times New Roman" w:eastAsia="Times New Roman" w:hAnsi="Times New Roman" w:cs="Times New Roman"/>
          <w:lang w:val="en-GB"/>
        </w:rPr>
        <w:t>,</w:t>
      </w:r>
      <w:r w:rsidR="0096109B">
        <w:rPr>
          <w:rFonts w:ascii="Times New Roman" w:eastAsia="Times New Roman" w:hAnsi="Times New Roman" w:cs="Times New Roman"/>
          <w:lang w:val="en-GB"/>
        </w:rPr>
        <w:t xml:space="preserve"> or useful</w:t>
      </w:r>
      <w:r w:rsidR="00727C76">
        <w:rPr>
          <w:rFonts w:ascii="Times New Roman" w:eastAsia="Times New Roman" w:hAnsi="Times New Roman" w:cs="Times New Roman"/>
          <w:lang w:val="en-GB"/>
        </w:rPr>
        <w:t>,</w:t>
      </w:r>
      <w:r w:rsidR="0096109B">
        <w:rPr>
          <w:rFonts w:ascii="Times New Roman" w:eastAsia="Times New Roman" w:hAnsi="Times New Roman" w:cs="Times New Roman"/>
          <w:lang w:val="en-GB"/>
        </w:rPr>
        <w:t xml:space="preserve"> answer</w:t>
      </w:r>
      <w:r w:rsidR="00C96B52">
        <w:rPr>
          <w:rFonts w:ascii="Times New Roman" w:eastAsia="Times New Roman" w:hAnsi="Times New Roman" w:cs="Times New Roman"/>
          <w:lang w:val="en-GB"/>
        </w:rPr>
        <w:t>s to the questions that they surface</w:t>
      </w:r>
      <w:r w:rsidR="0096109B">
        <w:rPr>
          <w:rFonts w:ascii="Times New Roman" w:eastAsia="Times New Roman" w:hAnsi="Times New Roman" w:cs="Times New Roman"/>
          <w:lang w:val="en-GB"/>
        </w:rPr>
        <w:t>.</w:t>
      </w:r>
      <w:r w:rsidR="00456A07">
        <w:rPr>
          <w:rFonts w:ascii="Times New Roman" w:eastAsia="Times New Roman" w:hAnsi="Times New Roman" w:cs="Times New Roman"/>
          <w:lang w:val="en-GB"/>
        </w:rPr>
        <w:t xml:space="preserve"> </w:t>
      </w:r>
      <w:r w:rsidR="0022206A">
        <w:rPr>
          <w:rFonts w:ascii="Times New Roman" w:eastAsia="Times New Roman" w:hAnsi="Times New Roman" w:cs="Times New Roman"/>
          <w:lang w:val="en-GB"/>
        </w:rPr>
        <w:t>Invoking the analogy of a huckster’s shell game</w:t>
      </w:r>
      <w:r w:rsidR="00C96B52">
        <w:rPr>
          <w:rFonts w:ascii="Times New Roman" w:eastAsia="Times New Roman" w:hAnsi="Times New Roman" w:cs="Times New Roman"/>
          <w:lang w:val="en-GB"/>
        </w:rPr>
        <w:t>, one</w:t>
      </w:r>
      <w:r w:rsidR="0022206A">
        <w:rPr>
          <w:rFonts w:ascii="Times New Roman" w:eastAsia="Times New Roman" w:hAnsi="Times New Roman" w:cs="Times New Roman"/>
          <w:lang w:val="en-GB"/>
        </w:rPr>
        <w:t xml:space="preserve"> that relies on misdirection and sleight of hand t</w:t>
      </w:r>
      <w:r w:rsidR="00C96B52">
        <w:rPr>
          <w:rFonts w:ascii="Times New Roman" w:eastAsia="Times New Roman" w:hAnsi="Times New Roman" w:cs="Times New Roman"/>
          <w:lang w:val="en-GB"/>
        </w:rPr>
        <w:t>o engage the unwitting rube, Sherwin</w:t>
      </w:r>
      <w:r w:rsidR="004D0401">
        <w:rPr>
          <w:rFonts w:ascii="Times New Roman" w:eastAsia="Times New Roman" w:hAnsi="Times New Roman" w:cs="Times New Roman"/>
          <w:lang w:val="en-GB"/>
        </w:rPr>
        <w:t xml:space="preserve"> notices a</w:t>
      </w:r>
      <w:r w:rsidR="0022206A">
        <w:rPr>
          <w:rFonts w:ascii="Times New Roman" w:eastAsia="Times New Roman" w:hAnsi="Times New Roman" w:cs="Times New Roman"/>
          <w:lang w:val="en-GB"/>
        </w:rPr>
        <w:t xml:space="preserve"> troubling propensity for bioethicists (</w:t>
      </w:r>
      <w:r w:rsidR="006E7692">
        <w:rPr>
          <w:rFonts w:ascii="Times New Roman" w:eastAsia="Times New Roman" w:hAnsi="Times New Roman" w:cs="Times New Roman"/>
          <w:lang w:val="en-GB"/>
        </w:rPr>
        <w:t xml:space="preserve">both </w:t>
      </w:r>
      <w:r w:rsidR="0022206A">
        <w:rPr>
          <w:rFonts w:ascii="Times New Roman" w:eastAsia="Times New Roman" w:hAnsi="Times New Roman" w:cs="Times New Roman"/>
          <w:lang w:val="en-GB"/>
        </w:rPr>
        <w:t>applied and academic) to allow others to set the</w:t>
      </w:r>
      <w:r w:rsidR="006E7692">
        <w:rPr>
          <w:rFonts w:ascii="Times New Roman" w:eastAsia="Times New Roman" w:hAnsi="Times New Roman" w:cs="Times New Roman"/>
          <w:lang w:val="en-GB"/>
        </w:rPr>
        <w:t>ir</w:t>
      </w:r>
      <w:r w:rsidR="0022206A">
        <w:rPr>
          <w:rFonts w:ascii="Times New Roman" w:eastAsia="Times New Roman" w:hAnsi="Times New Roman" w:cs="Times New Roman"/>
          <w:lang w:val="en-GB"/>
        </w:rPr>
        <w:t xml:space="preserve"> clinical and research agendas</w:t>
      </w:r>
      <w:r w:rsidR="00A4537E">
        <w:rPr>
          <w:rFonts w:ascii="Times New Roman" w:eastAsia="Times New Roman" w:hAnsi="Times New Roman" w:cs="Times New Roman"/>
          <w:lang w:val="en-GB"/>
        </w:rPr>
        <w:t>:</w:t>
      </w:r>
      <w:r w:rsidR="00C96B52">
        <w:rPr>
          <w:rFonts w:ascii="Times New Roman" w:eastAsia="Times New Roman" w:hAnsi="Times New Roman" w:cs="Times New Roman"/>
          <w:lang w:val="en-GB"/>
        </w:rPr>
        <w:t xml:space="preserve"> </w:t>
      </w:r>
      <w:r w:rsidR="007F58EA">
        <w:rPr>
          <w:rFonts w:ascii="Times New Roman" w:eastAsia="Times New Roman" w:hAnsi="Times New Roman" w:cs="Times New Roman"/>
          <w:lang w:val="en-GB"/>
        </w:rPr>
        <w:t xml:space="preserve">in short, </w:t>
      </w:r>
      <w:r w:rsidR="00847E2B">
        <w:rPr>
          <w:rFonts w:ascii="Times New Roman" w:eastAsia="Times New Roman" w:hAnsi="Times New Roman" w:cs="Times New Roman"/>
          <w:lang w:val="en-GB"/>
        </w:rPr>
        <w:t xml:space="preserve">she observes, </w:t>
      </w:r>
      <w:r w:rsidR="00C96B52">
        <w:rPr>
          <w:rFonts w:ascii="Times New Roman" w:eastAsia="Times New Roman" w:hAnsi="Times New Roman" w:cs="Times New Roman"/>
          <w:lang w:val="en-GB"/>
        </w:rPr>
        <w:t>i</w:t>
      </w:r>
      <w:r w:rsidR="0022206A">
        <w:rPr>
          <w:rFonts w:ascii="Times New Roman" w:eastAsia="Times New Roman" w:hAnsi="Times New Roman" w:cs="Times New Roman"/>
          <w:lang w:val="en-GB"/>
        </w:rPr>
        <w:t>f ethicists</w:t>
      </w:r>
      <w:r w:rsidR="00C96B52">
        <w:rPr>
          <w:rFonts w:ascii="Times New Roman" w:eastAsia="Times New Roman" w:hAnsi="Times New Roman" w:cs="Times New Roman"/>
          <w:lang w:val="en-GB"/>
        </w:rPr>
        <w:t xml:space="preserve"> are not answering questions </w:t>
      </w:r>
      <w:r w:rsidR="0022206A">
        <w:rPr>
          <w:rFonts w:ascii="Times New Roman" w:eastAsia="Times New Roman" w:hAnsi="Times New Roman" w:cs="Times New Roman"/>
          <w:lang w:val="en-GB"/>
        </w:rPr>
        <w:t>posed by hospital administrators or concerned or cynical clinicians,</w:t>
      </w:r>
      <w:r w:rsidR="009915CE">
        <w:rPr>
          <w:rFonts w:ascii="Times New Roman" w:eastAsia="Times New Roman" w:hAnsi="Times New Roman" w:cs="Times New Roman"/>
          <w:lang w:val="en-GB"/>
        </w:rPr>
        <w:t xml:space="preserve"> they are shaping their</w:t>
      </w:r>
      <w:r w:rsidR="0022206A">
        <w:rPr>
          <w:rFonts w:ascii="Times New Roman" w:eastAsia="Times New Roman" w:hAnsi="Times New Roman" w:cs="Times New Roman"/>
          <w:lang w:val="en-GB"/>
        </w:rPr>
        <w:t xml:space="preserve"> agendas in accordance with </w:t>
      </w:r>
      <w:r w:rsidR="0054640E">
        <w:rPr>
          <w:rFonts w:ascii="Times New Roman" w:eastAsia="Times New Roman" w:hAnsi="Times New Roman" w:cs="Times New Roman"/>
          <w:lang w:val="en-GB"/>
        </w:rPr>
        <w:t>various</w:t>
      </w:r>
      <w:r w:rsidR="005623D0">
        <w:rPr>
          <w:rFonts w:ascii="Times New Roman" w:eastAsia="Times New Roman" w:hAnsi="Times New Roman" w:cs="Times New Roman"/>
          <w:lang w:val="en-GB"/>
        </w:rPr>
        <w:t xml:space="preserve"> funders’ priorities. </w:t>
      </w:r>
      <w:r w:rsidR="00847E2B">
        <w:rPr>
          <w:rFonts w:ascii="Times New Roman" w:eastAsia="Times New Roman" w:hAnsi="Times New Roman" w:cs="Times New Roman"/>
          <w:lang w:val="en-GB"/>
        </w:rPr>
        <w:t xml:space="preserve">On her view, </w:t>
      </w:r>
      <w:r w:rsidR="004D0401">
        <w:rPr>
          <w:rFonts w:ascii="Times New Roman" w:eastAsia="Times New Roman" w:hAnsi="Times New Roman" w:cs="Times New Roman"/>
          <w:lang w:val="en-GB"/>
        </w:rPr>
        <w:t xml:space="preserve">the </w:t>
      </w:r>
      <w:r w:rsidR="000F00CB">
        <w:rPr>
          <w:rFonts w:ascii="Times New Roman" w:eastAsia="Times New Roman" w:hAnsi="Times New Roman" w:cs="Times New Roman"/>
          <w:lang w:val="en-GB"/>
        </w:rPr>
        <w:t xml:space="preserve">persistence of </w:t>
      </w:r>
      <w:r w:rsidR="00610200">
        <w:rPr>
          <w:rFonts w:ascii="Times New Roman" w:eastAsia="Times New Roman" w:hAnsi="Times New Roman" w:cs="Times New Roman"/>
          <w:lang w:val="en-GB"/>
        </w:rPr>
        <w:t xml:space="preserve">the </w:t>
      </w:r>
      <w:r w:rsidR="000F00CB">
        <w:rPr>
          <w:rFonts w:ascii="Times New Roman" w:eastAsia="Times New Roman" w:hAnsi="Times New Roman" w:cs="Times New Roman"/>
          <w:lang w:val="en-GB"/>
        </w:rPr>
        <w:t>d</w:t>
      </w:r>
      <w:r w:rsidR="005623D0">
        <w:rPr>
          <w:rFonts w:ascii="Times New Roman" w:eastAsia="Times New Roman" w:hAnsi="Times New Roman" w:cs="Times New Roman"/>
          <w:lang w:val="en-GB"/>
        </w:rPr>
        <w:t>ebate</w:t>
      </w:r>
      <w:r w:rsidR="0022206A">
        <w:rPr>
          <w:rFonts w:ascii="Times New Roman" w:eastAsia="Times New Roman" w:hAnsi="Times New Roman" w:cs="Times New Roman"/>
          <w:lang w:val="en-GB"/>
        </w:rPr>
        <w:t xml:space="preserve"> concerning t</w:t>
      </w:r>
      <w:r w:rsidR="000F00CB">
        <w:rPr>
          <w:rFonts w:ascii="Times New Roman" w:eastAsia="Times New Roman" w:hAnsi="Times New Roman" w:cs="Times New Roman"/>
          <w:lang w:val="en-GB"/>
        </w:rPr>
        <w:t>he moral status of the foetus provides</w:t>
      </w:r>
      <w:r w:rsidR="0022206A">
        <w:rPr>
          <w:rFonts w:ascii="Times New Roman" w:eastAsia="Times New Roman" w:hAnsi="Times New Roman" w:cs="Times New Roman"/>
          <w:lang w:val="en-GB"/>
        </w:rPr>
        <w:t xml:space="preserve"> a paradigmatic example</w:t>
      </w:r>
      <w:r w:rsidR="004D0401">
        <w:rPr>
          <w:rFonts w:ascii="Times New Roman" w:eastAsia="Times New Roman" w:hAnsi="Times New Roman" w:cs="Times New Roman"/>
          <w:lang w:val="en-GB"/>
        </w:rPr>
        <w:t xml:space="preserve"> of this problem</w:t>
      </w:r>
      <w:r w:rsidR="000F00CB">
        <w:rPr>
          <w:rFonts w:ascii="Times New Roman" w:eastAsia="Times New Roman" w:hAnsi="Times New Roman" w:cs="Times New Roman"/>
          <w:lang w:val="en-GB"/>
        </w:rPr>
        <w:t xml:space="preserve">. So long as ethicists are </w:t>
      </w:r>
      <w:r w:rsidR="0022206A">
        <w:rPr>
          <w:rFonts w:ascii="Times New Roman" w:eastAsia="Times New Roman" w:hAnsi="Times New Roman" w:cs="Times New Roman"/>
          <w:lang w:val="en-GB"/>
        </w:rPr>
        <w:t xml:space="preserve">occupied </w:t>
      </w:r>
      <w:r w:rsidR="00DF6A04">
        <w:rPr>
          <w:rFonts w:ascii="Times New Roman" w:eastAsia="Times New Roman" w:hAnsi="Times New Roman" w:cs="Times New Roman"/>
          <w:lang w:val="en-GB"/>
        </w:rPr>
        <w:t>with</w:t>
      </w:r>
      <w:r w:rsidR="000F00CB">
        <w:rPr>
          <w:rFonts w:ascii="Times New Roman" w:eastAsia="Times New Roman" w:hAnsi="Times New Roman" w:cs="Times New Roman"/>
          <w:lang w:val="en-GB"/>
        </w:rPr>
        <w:t xml:space="preserve"> questions related to f</w:t>
      </w:r>
      <w:r w:rsidR="00DF6A04">
        <w:rPr>
          <w:rFonts w:ascii="Times New Roman" w:eastAsia="Times New Roman" w:hAnsi="Times New Roman" w:cs="Times New Roman"/>
          <w:lang w:val="en-GB"/>
        </w:rPr>
        <w:t>o</w:t>
      </w:r>
      <w:r w:rsidR="000F00CB">
        <w:rPr>
          <w:rFonts w:ascii="Times New Roman" w:eastAsia="Times New Roman" w:hAnsi="Times New Roman" w:cs="Times New Roman"/>
          <w:lang w:val="en-GB"/>
        </w:rPr>
        <w:t xml:space="preserve">etal personhood </w:t>
      </w:r>
      <w:r w:rsidR="0022206A">
        <w:rPr>
          <w:rFonts w:ascii="Times New Roman" w:eastAsia="Times New Roman" w:hAnsi="Times New Roman" w:cs="Times New Roman"/>
          <w:lang w:val="en-GB"/>
        </w:rPr>
        <w:t xml:space="preserve">they are diverted from other </w:t>
      </w:r>
      <w:r w:rsidR="00924CD0">
        <w:rPr>
          <w:rFonts w:ascii="Times New Roman" w:eastAsia="Times New Roman" w:hAnsi="Times New Roman" w:cs="Times New Roman"/>
          <w:lang w:val="en-GB"/>
        </w:rPr>
        <w:t xml:space="preserve">important </w:t>
      </w:r>
      <w:r w:rsidR="0022206A">
        <w:rPr>
          <w:rFonts w:ascii="Times New Roman" w:eastAsia="Times New Roman" w:hAnsi="Times New Roman" w:cs="Times New Roman"/>
          <w:lang w:val="en-GB"/>
        </w:rPr>
        <w:t xml:space="preserve">questions that can be profitably addressed: </w:t>
      </w:r>
      <w:r w:rsidR="00924CD0">
        <w:rPr>
          <w:rFonts w:ascii="Times New Roman" w:eastAsia="Times New Roman" w:hAnsi="Times New Roman" w:cs="Times New Roman"/>
          <w:lang w:val="en-GB"/>
        </w:rPr>
        <w:t>Does our communit</w:t>
      </w:r>
      <w:r w:rsidR="0054640E">
        <w:rPr>
          <w:rFonts w:ascii="Times New Roman" w:eastAsia="Times New Roman" w:hAnsi="Times New Roman" w:cs="Times New Roman"/>
          <w:lang w:val="en-GB"/>
        </w:rPr>
        <w:t>y treat women, especially single mothers,</w:t>
      </w:r>
      <w:r w:rsidR="00924CD0">
        <w:rPr>
          <w:rFonts w:ascii="Times New Roman" w:eastAsia="Times New Roman" w:hAnsi="Times New Roman" w:cs="Times New Roman"/>
          <w:lang w:val="en-GB"/>
        </w:rPr>
        <w:t xml:space="preserve"> fairly?</w:t>
      </w:r>
      <w:r w:rsidR="0022206A">
        <w:rPr>
          <w:rFonts w:ascii="Times New Roman" w:eastAsia="Times New Roman" w:hAnsi="Times New Roman" w:cs="Times New Roman"/>
          <w:lang w:val="en-GB"/>
        </w:rPr>
        <w:t xml:space="preserve"> </w:t>
      </w:r>
      <w:r w:rsidR="00924CD0">
        <w:rPr>
          <w:rFonts w:ascii="Times New Roman" w:eastAsia="Times New Roman" w:hAnsi="Times New Roman" w:cs="Times New Roman"/>
          <w:lang w:val="en-GB"/>
        </w:rPr>
        <w:t>What opportunities for flourishing ar</w:t>
      </w:r>
      <w:r w:rsidR="00472617">
        <w:rPr>
          <w:rFonts w:ascii="Times New Roman" w:eastAsia="Times New Roman" w:hAnsi="Times New Roman" w:cs="Times New Roman"/>
          <w:lang w:val="en-GB"/>
        </w:rPr>
        <w:t>e available to those born with disabilities</w:t>
      </w:r>
      <w:r w:rsidR="00847E2B">
        <w:rPr>
          <w:rFonts w:ascii="Times New Roman" w:eastAsia="Times New Roman" w:hAnsi="Times New Roman" w:cs="Times New Roman"/>
          <w:lang w:val="en-GB"/>
        </w:rPr>
        <w:t>? Which societal attitudes</w:t>
      </w:r>
      <w:r w:rsidR="00924CD0">
        <w:rPr>
          <w:rFonts w:ascii="Times New Roman" w:eastAsia="Times New Roman" w:hAnsi="Times New Roman" w:cs="Times New Roman"/>
          <w:lang w:val="en-GB"/>
        </w:rPr>
        <w:t xml:space="preserve"> make control o</w:t>
      </w:r>
      <w:r w:rsidR="00472617">
        <w:rPr>
          <w:rFonts w:ascii="Times New Roman" w:eastAsia="Times New Roman" w:hAnsi="Times New Roman" w:cs="Times New Roman"/>
          <w:lang w:val="en-GB"/>
        </w:rPr>
        <w:t>ver reproduction inaccessible</w:t>
      </w:r>
      <w:r w:rsidR="00924CD0">
        <w:rPr>
          <w:rFonts w:ascii="Times New Roman" w:eastAsia="Times New Roman" w:hAnsi="Times New Roman" w:cs="Times New Roman"/>
          <w:lang w:val="en-GB"/>
        </w:rPr>
        <w:t xml:space="preserve"> to </w:t>
      </w:r>
      <w:r w:rsidR="00472617">
        <w:rPr>
          <w:rFonts w:ascii="Times New Roman" w:eastAsia="Times New Roman" w:hAnsi="Times New Roman" w:cs="Times New Roman"/>
          <w:lang w:val="en-GB"/>
        </w:rPr>
        <w:t xml:space="preserve">some </w:t>
      </w:r>
      <w:r w:rsidR="00924CD0">
        <w:rPr>
          <w:rFonts w:ascii="Times New Roman" w:eastAsia="Times New Roman" w:hAnsi="Times New Roman" w:cs="Times New Roman"/>
          <w:lang w:val="en-GB"/>
        </w:rPr>
        <w:t xml:space="preserve">women? </w:t>
      </w:r>
      <w:r w:rsidR="00610200">
        <w:rPr>
          <w:rFonts w:ascii="Times New Roman" w:eastAsia="Times New Roman" w:hAnsi="Times New Roman" w:cs="Times New Roman"/>
          <w:lang w:val="en-GB"/>
        </w:rPr>
        <w:t xml:space="preserve">Importantly, </w:t>
      </w:r>
      <w:r w:rsidR="009E3CA2">
        <w:rPr>
          <w:rFonts w:ascii="Times New Roman" w:eastAsia="Times New Roman" w:hAnsi="Times New Roman" w:cs="Times New Roman"/>
          <w:lang w:val="en-GB"/>
        </w:rPr>
        <w:t xml:space="preserve">however, </w:t>
      </w:r>
      <w:r w:rsidR="0096109B">
        <w:rPr>
          <w:rFonts w:ascii="Times New Roman" w:eastAsia="Times New Roman" w:hAnsi="Times New Roman" w:cs="Times New Roman"/>
          <w:lang w:val="en-GB"/>
        </w:rPr>
        <w:t>She</w:t>
      </w:r>
      <w:r w:rsidR="00924CD0">
        <w:rPr>
          <w:rFonts w:ascii="Times New Roman" w:eastAsia="Times New Roman" w:hAnsi="Times New Roman" w:cs="Times New Roman"/>
          <w:lang w:val="en-GB"/>
        </w:rPr>
        <w:t>rwin</w:t>
      </w:r>
      <w:r w:rsidR="00CE56A7">
        <w:rPr>
          <w:rFonts w:ascii="Times New Roman" w:eastAsia="Times New Roman" w:hAnsi="Times New Roman" w:cs="Times New Roman"/>
          <w:lang w:val="en-GB"/>
        </w:rPr>
        <w:t xml:space="preserve"> appears not to </w:t>
      </w:r>
      <w:r w:rsidR="00CE56A7">
        <w:rPr>
          <w:rFonts w:ascii="Times New Roman" w:eastAsia="Times New Roman" w:hAnsi="Times New Roman" w:cs="Times New Roman"/>
          <w:lang w:val="en-GB"/>
        </w:rPr>
        <w:lastRenderedPageBreak/>
        <w:t>imply</w:t>
      </w:r>
      <w:r w:rsidR="0096109B">
        <w:rPr>
          <w:rFonts w:ascii="Times New Roman" w:eastAsia="Times New Roman" w:hAnsi="Times New Roman" w:cs="Times New Roman"/>
          <w:lang w:val="en-GB"/>
        </w:rPr>
        <w:t xml:space="preserve"> that PHEs are </w:t>
      </w:r>
      <w:r w:rsidR="009915CE">
        <w:rPr>
          <w:rFonts w:ascii="Times New Roman" w:eastAsia="Times New Roman" w:hAnsi="Times New Roman" w:cs="Times New Roman"/>
          <w:lang w:val="en-GB"/>
        </w:rPr>
        <w:t xml:space="preserve">like </w:t>
      </w:r>
      <w:r w:rsidR="0096109B">
        <w:rPr>
          <w:rFonts w:ascii="Times New Roman" w:eastAsia="Times New Roman" w:hAnsi="Times New Roman" w:cs="Times New Roman"/>
          <w:lang w:val="en-GB"/>
        </w:rPr>
        <w:t>conf</w:t>
      </w:r>
      <w:r w:rsidR="00F706D3">
        <w:rPr>
          <w:rFonts w:ascii="Times New Roman" w:eastAsia="Times New Roman" w:hAnsi="Times New Roman" w:cs="Times New Roman"/>
          <w:lang w:val="en-GB"/>
        </w:rPr>
        <w:t>ederates with</w:t>
      </w:r>
      <w:r w:rsidR="009A5ED8">
        <w:rPr>
          <w:rFonts w:ascii="Times New Roman" w:eastAsia="Times New Roman" w:hAnsi="Times New Roman" w:cs="Times New Roman"/>
          <w:lang w:val="en-GB"/>
        </w:rPr>
        <w:t xml:space="preserve"> confidence tricksters</w:t>
      </w:r>
      <w:r w:rsidR="0096109B">
        <w:rPr>
          <w:rFonts w:ascii="Times New Roman" w:eastAsia="Times New Roman" w:hAnsi="Times New Roman" w:cs="Times New Roman"/>
          <w:lang w:val="en-GB"/>
        </w:rPr>
        <w:t xml:space="preserve"> </w:t>
      </w:r>
      <w:r w:rsidR="0054640E">
        <w:rPr>
          <w:rFonts w:ascii="Times New Roman" w:eastAsia="Times New Roman" w:hAnsi="Times New Roman" w:cs="Times New Roman"/>
          <w:lang w:val="en-GB"/>
        </w:rPr>
        <w:t>run</w:t>
      </w:r>
      <w:r w:rsidR="009915CE">
        <w:rPr>
          <w:rFonts w:ascii="Times New Roman" w:eastAsia="Times New Roman" w:hAnsi="Times New Roman" w:cs="Times New Roman"/>
          <w:lang w:val="en-GB"/>
        </w:rPr>
        <w:t>ning</w:t>
      </w:r>
      <w:r w:rsidR="0054640E">
        <w:rPr>
          <w:rFonts w:ascii="Times New Roman" w:eastAsia="Times New Roman" w:hAnsi="Times New Roman" w:cs="Times New Roman"/>
          <w:lang w:val="en-GB"/>
        </w:rPr>
        <w:t xml:space="preserve"> a</w:t>
      </w:r>
      <w:r w:rsidR="00924CD0">
        <w:rPr>
          <w:rFonts w:ascii="Times New Roman" w:eastAsia="Times New Roman" w:hAnsi="Times New Roman" w:cs="Times New Roman"/>
          <w:lang w:val="en-GB"/>
        </w:rPr>
        <w:t xml:space="preserve"> shell game on an unwitting public.</w:t>
      </w:r>
      <w:r w:rsidR="0054640E">
        <w:rPr>
          <w:rFonts w:ascii="Times New Roman" w:eastAsia="Times New Roman" w:hAnsi="Times New Roman" w:cs="Times New Roman"/>
          <w:lang w:val="en-GB"/>
        </w:rPr>
        <w:t xml:space="preserve"> Instead, </w:t>
      </w:r>
      <w:r w:rsidR="00472617">
        <w:rPr>
          <w:rFonts w:ascii="Times New Roman" w:eastAsia="Times New Roman" w:hAnsi="Times New Roman" w:cs="Times New Roman"/>
          <w:lang w:val="en-GB"/>
        </w:rPr>
        <w:t>he</w:t>
      </w:r>
      <w:r w:rsidR="0054640E">
        <w:rPr>
          <w:rFonts w:ascii="Times New Roman" w:eastAsia="Times New Roman" w:hAnsi="Times New Roman" w:cs="Times New Roman"/>
          <w:lang w:val="en-GB"/>
        </w:rPr>
        <w:t>r</w:t>
      </w:r>
      <w:r w:rsidR="00472617">
        <w:rPr>
          <w:rFonts w:ascii="Times New Roman" w:eastAsia="Times New Roman" w:hAnsi="Times New Roman" w:cs="Times New Roman"/>
          <w:lang w:val="en-GB"/>
        </w:rPr>
        <w:t xml:space="preserve"> analogy suggests</w:t>
      </w:r>
      <w:r w:rsidR="009025A3">
        <w:rPr>
          <w:rFonts w:ascii="Times New Roman" w:eastAsia="Times New Roman" w:hAnsi="Times New Roman" w:cs="Times New Roman"/>
          <w:lang w:val="en-GB"/>
        </w:rPr>
        <w:t xml:space="preserve"> that although s</w:t>
      </w:r>
      <w:r w:rsidR="00472617">
        <w:rPr>
          <w:rFonts w:ascii="Times New Roman" w:eastAsia="Times New Roman" w:hAnsi="Times New Roman" w:cs="Times New Roman"/>
          <w:lang w:val="en-GB"/>
        </w:rPr>
        <w:t xml:space="preserve">ome </w:t>
      </w:r>
      <w:r w:rsidR="00A4537E">
        <w:rPr>
          <w:rFonts w:ascii="Times New Roman" w:eastAsia="Times New Roman" w:hAnsi="Times New Roman" w:cs="Times New Roman"/>
          <w:lang w:val="en-GB"/>
        </w:rPr>
        <w:t xml:space="preserve">ethicists </w:t>
      </w:r>
      <w:r w:rsidR="00472617">
        <w:rPr>
          <w:rFonts w:ascii="Times New Roman" w:eastAsia="Times New Roman" w:hAnsi="Times New Roman" w:cs="Times New Roman"/>
          <w:lang w:val="en-GB"/>
        </w:rPr>
        <w:t>may appreciate or endorse the way th</w:t>
      </w:r>
      <w:r w:rsidR="00BE7E09">
        <w:rPr>
          <w:rFonts w:ascii="Times New Roman" w:eastAsia="Times New Roman" w:hAnsi="Times New Roman" w:cs="Times New Roman"/>
          <w:lang w:val="en-GB"/>
        </w:rPr>
        <w:t>at th</w:t>
      </w:r>
      <w:r w:rsidR="009025A3">
        <w:rPr>
          <w:rFonts w:ascii="Times New Roman" w:eastAsia="Times New Roman" w:hAnsi="Times New Roman" w:cs="Times New Roman"/>
          <w:lang w:val="en-GB"/>
        </w:rPr>
        <w:t xml:space="preserve">e game is played, </w:t>
      </w:r>
      <w:r w:rsidR="009A5ED8">
        <w:rPr>
          <w:rFonts w:ascii="Times New Roman" w:eastAsia="Times New Roman" w:hAnsi="Times New Roman" w:cs="Times New Roman"/>
          <w:lang w:val="en-GB"/>
        </w:rPr>
        <w:t xml:space="preserve">it is </w:t>
      </w:r>
      <w:r w:rsidR="00610200">
        <w:rPr>
          <w:rFonts w:ascii="Times New Roman" w:eastAsia="Times New Roman" w:hAnsi="Times New Roman" w:cs="Times New Roman"/>
          <w:lang w:val="en-GB"/>
        </w:rPr>
        <w:t xml:space="preserve">far </w:t>
      </w:r>
      <w:r w:rsidR="009025A3">
        <w:rPr>
          <w:rFonts w:ascii="Times New Roman" w:eastAsia="Times New Roman" w:hAnsi="Times New Roman" w:cs="Times New Roman"/>
          <w:lang w:val="en-GB"/>
        </w:rPr>
        <w:t xml:space="preserve">more often </w:t>
      </w:r>
      <w:r w:rsidR="004161D9">
        <w:rPr>
          <w:rFonts w:ascii="Times New Roman" w:eastAsia="Times New Roman" w:hAnsi="Times New Roman" w:cs="Times New Roman"/>
          <w:lang w:val="en-GB"/>
        </w:rPr>
        <w:t>the case that</w:t>
      </w:r>
      <w:r w:rsidR="00BE7E09">
        <w:rPr>
          <w:rFonts w:ascii="Times New Roman" w:eastAsia="Times New Roman" w:hAnsi="Times New Roman" w:cs="Times New Roman"/>
          <w:lang w:val="en-GB"/>
        </w:rPr>
        <w:t xml:space="preserve"> they are </w:t>
      </w:r>
      <w:r w:rsidR="00472617">
        <w:rPr>
          <w:rFonts w:ascii="Times New Roman" w:eastAsia="Times New Roman" w:hAnsi="Times New Roman" w:cs="Times New Roman"/>
          <w:lang w:val="en-GB"/>
        </w:rPr>
        <w:t>unwitting or reluctant participants</w:t>
      </w:r>
      <w:r w:rsidR="00390BC8">
        <w:rPr>
          <w:rFonts w:ascii="Times New Roman" w:eastAsia="Times New Roman" w:hAnsi="Times New Roman" w:cs="Times New Roman"/>
          <w:lang w:val="en-GB"/>
        </w:rPr>
        <w:t xml:space="preserve"> who get drawn into a ga</w:t>
      </w:r>
      <w:r w:rsidR="009025A3">
        <w:rPr>
          <w:rFonts w:ascii="Times New Roman" w:eastAsia="Times New Roman" w:hAnsi="Times New Roman" w:cs="Times New Roman"/>
          <w:lang w:val="en-GB"/>
        </w:rPr>
        <w:t>me that is at best a diversion</w:t>
      </w:r>
      <w:r w:rsidR="00390BC8">
        <w:rPr>
          <w:rFonts w:ascii="Times New Roman" w:eastAsia="Times New Roman" w:hAnsi="Times New Roman" w:cs="Times New Roman"/>
          <w:lang w:val="en-GB"/>
        </w:rPr>
        <w:t xml:space="preserve"> from more important pursuits</w:t>
      </w:r>
      <w:r w:rsidR="004161D9">
        <w:rPr>
          <w:rFonts w:ascii="Times New Roman" w:eastAsia="Times New Roman" w:hAnsi="Times New Roman" w:cs="Times New Roman"/>
          <w:lang w:val="en-GB"/>
        </w:rPr>
        <w:t>,</w:t>
      </w:r>
      <w:r w:rsidR="00390BC8">
        <w:rPr>
          <w:rFonts w:ascii="Times New Roman" w:eastAsia="Times New Roman" w:hAnsi="Times New Roman" w:cs="Times New Roman"/>
          <w:lang w:val="en-GB"/>
        </w:rPr>
        <w:t xml:space="preserve"> an</w:t>
      </w:r>
      <w:r w:rsidR="00BE7E09">
        <w:rPr>
          <w:rFonts w:ascii="Times New Roman" w:eastAsia="Times New Roman" w:hAnsi="Times New Roman" w:cs="Times New Roman"/>
          <w:lang w:val="en-GB"/>
        </w:rPr>
        <w:t xml:space="preserve">d at </w:t>
      </w:r>
      <w:r w:rsidR="00CE56A7">
        <w:rPr>
          <w:rFonts w:ascii="Times New Roman" w:eastAsia="Times New Roman" w:hAnsi="Times New Roman" w:cs="Times New Roman"/>
          <w:lang w:val="en-GB"/>
        </w:rPr>
        <w:t>worst a source</w:t>
      </w:r>
      <w:r w:rsidR="00390BC8">
        <w:rPr>
          <w:rFonts w:ascii="Times New Roman" w:eastAsia="Times New Roman" w:hAnsi="Times New Roman" w:cs="Times New Roman"/>
          <w:lang w:val="en-GB"/>
        </w:rPr>
        <w:t xml:space="preserve"> of harm to those who are unable to escape its allure</w:t>
      </w:r>
      <w:r w:rsidR="00472617">
        <w:rPr>
          <w:rFonts w:ascii="Times New Roman" w:eastAsia="Times New Roman" w:hAnsi="Times New Roman" w:cs="Times New Roman"/>
          <w:lang w:val="en-GB"/>
        </w:rPr>
        <w:t>.</w:t>
      </w:r>
    </w:p>
    <w:p w14:paraId="15016C9C" w14:textId="77777777" w:rsidR="004161D9" w:rsidRDefault="00BE7E09" w:rsidP="00C63DF3">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The shell game ana</w:t>
      </w:r>
      <w:r w:rsidR="00CE56A7">
        <w:rPr>
          <w:rFonts w:ascii="Times New Roman" w:eastAsia="Times New Roman" w:hAnsi="Times New Roman" w:cs="Times New Roman"/>
          <w:lang w:val="en-GB"/>
        </w:rPr>
        <w:t>logy is more compelling than a</w:t>
      </w:r>
      <w:r>
        <w:rPr>
          <w:rFonts w:ascii="Times New Roman" w:eastAsia="Times New Roman" w:hAnsi="Times New Roman" w:cs="Times New Roman"/>
          <w:lang w:val="en-GB"/>
        </w:rPr>
        <w:t xml:space="preserve"> straightforw</w:t>
      </w:r>
      <w:r w:rsidR="00F706D3">
        <w:rPr>
          <w:rFonts w:ascii="Times New Roman" w:eastAsia="Times New Roman" w:hAnsi="Times New Roman" w:cs="Times New Roman"/>
          <w:lang w:val="en-GB"/>
        </w:rPr>
        <w:t>ard conflict of interest charge</w:t>
      </w:r>
      <w:r w:rsidR="00CE56A7">
        <w:rPr>
          <w:rFonts w:ascii="Times New Roman" w:eastAsia="Times New Roman" w:hAnsi="Times New Roman" w:cs="Times New Roman"/>
          <w:lang w:val="en-GB"/>
        </w:rPr>
        <w:t xml:space="preserve"> because it prompts the </w:t>
      </w:r>
      <w:r>
        <w:rPr>
          <w:rFonts w:ascii="Times New Roman" w:eastAsia="Times New Roman" w:hAnsi="Times New Roman" w:cs="Times New Roman"/>
          <w:lang w:val="en-GB"/>
        </w:rPr>
        <w:t xml:space="preserve">realisation that ethicists, like others in healthcare systems, can be prone to distraction and misdirection despite their </w:t>
      </w:r>
      <w:r w:rsidR="004161D9">
        <w:rPr>
          <w:rFonts w:ascii="Times New Roman" w:eastAsia="Times New Roman" w:hAnsi="Times New Roman" w:cs="Times New Roman"/>
          <w:lang w:val="en-GB"/>
        </w:rPr>
        <w:t xml:space="preserve">best </w:t>
      </w:r>
      <w:r>
        <w:rPr>
          <w:rFonts w:ascii="Times New Roman" w:eastAsia="Times New Roman" w:hAnsi="Times New Roman" w:cs="Times New Roman"/>
          <w:lang w:val="en-GB"/>
        </w:rPr>
        <w:t xml:space="preserve">efforts to keep their eyes focussed on worthwhile ends. If </w:t>
      </w:r>
      <w:r w:rsidR="000E5641">
        <w:rPr>
          <w:rFonts w:ascii="Times New Roman" w:eastAsia="Times New Roman" w:hAnsi="Times New Roman" w:cs="Times New Roman"/>
          <w:lang w:val="en-GB"/>
        </w:rPr>
        <w:t xml:space="preserve">they are </w:t>
      </w:r>
      <w:r w:rsidR="00610200">
        <w:rPr>
          <w:rFonts w:ascii="Times New Roman" w:eastAsia="Times New Roman" w:hAnsi="Times New Roman" w:cs="Times New Roman"/>
          <w:lang w:val="en-GB"/>
        </w:rPr>
        <w:t xml:space="preserve">permitted </w:t>
      </w:r>
      <w:r w:rsidR="000E5641">
        <w:rPr>
          <w:rFonts w:ascii="Times New Roman" w:eastAsia="Times New Roman" w:hAnsi="Times New Roman" w:cs="Times New Roman"/>
          <w:lang w:val="en-GB"/>
        </w:rPr>
        <w:t>to step a</w:t>
      </w:r>
      <w:r w:rsidR="00610200">
        <w:rPr>
          <w:rFonts w:ascii="Times New Roman" w:eastAsia="Times New Roman" w:hAnsi="Times New Roman" w:cs="Times New Roman"/>
          <w:lang w:val="en-GB"/>
        </w:rPr>
        <w:t>way from diversions</w:t>
      </w:r>
      <w:r w:rsidR="00F706D3">
        <w:rPr>
          <w:rFonts w:ascii="Times New Roman" w:eastAsia="Times New Roman" w:hAnsi="Times New Roman" w:cs="Times New Roman"/>
          <w:lang w:val="en-GB"/>
        </w:rPr>
        <w:t>, and are able to take</w:t>
      </w:r>
      <w:r w:rsidR="000E5641">
        <w:rPr>
          <w:rFonts w:ascii="Times New Roman" w:eastAsia="Times New Roman" w:hAnsi="Times New Roman" w:cs="Times New Roman"/>
          <w:lang w:val="en-GB"/>
        </w:rPr>
        <w:t xml:space="preserve"> </w:t>
      </w:r>
      <w:r w:rsidR="009A5ED8">
        <w:rPr>
          <w:rFonts w:ascii="Times New Roman" w:eastAsia="Times New Roman" w:hAnsi="Times New Roman" w:cs="Times New Roman"/>
          <w:lang w:val="en-GB"/>
        </w:rPr>
        <w:t xml:space="preserve">adequate </w:t>
      </w:r>
      <w:r>
        <w:rPr>
          <w:rFonts w:ascii="Times New Roman" w:eastAsia="Times New Roman" w:hAnsi="Times New Roman" w:cs="Times New Roman"/>
          <w:lang w:val="en-GB"/>
        </w:rPr>
        <w:t>time for re</w:t>
      </w:r>
      <w:r w:rsidR="000E5641">
        <w:rPr>
          <w:rFonts w:ascii="Times New Roman" w:eastAsia="Times New Roman" w:hAnsi="Times New Roman" w:cs="Times New Roman"/>
          <w:lang w:val="en-GB"/>
        </w:rPr>
        <w:t>flection,</w:t>
      </w:r>
      <w:r>
        <w:rPr>
          <w:rFonts w:ascii="Times New Roman" w:eastAsia="Times New Roman" w:hAnsi="Times New Roman" w:cs="Times New Roman"/>
          <w:lang w:val="en-GB"/>
        </w:rPr>
        <w:t xml:space="preserve"> e</w:t>
      </w:r>
      <w:r w:rsidR="000E5641">
        <w:rPr>
          <w:rFonts w:ascii="Times New Roman" w:eastAsia="Times New Roman" w:hAnsi="Times New Roman" w:cs="Times New Roman"/>
          <w:lang w:val="en-GB"/>
        </w:rPr>
        <w:t xml:space="preserve">thicists </w:t>
      </w:r>
      <w:r>
        <w:rPr>
          <w:rFonts w:ascii="Times New Roman" w:eastAsia="Times New Roman" w:hAnsi="Times New Roman" w:cs="Times New Roman"/>
          <w:lang w:val="en-GB"/>
        </w:rPr>
        <w:t xml:space="preserve">almost certainly </w:t>
      </w:r>
      <w:r w:rsidR="000E5641">
        <w:rPr>
          <w:rFonts w:ascii="Times New Roman" w:eastAsia="Times New Roman" w:hAnsi="Times New Roman" w:cs="Times New Roman"/>
          <w:lang w:val="en-GB"/>
        </w:rPr>
        <w:t xml:space="preserve">will </w:t>
      </w:r>
      <w:r>
        <w:rPr>
          <w:rFonts w:ascii="Times New Roman" w:eastAsia="Times New Roman" w:hAnsi="Times New Roman" w:cs="Times New Roman"/>
          <w:lang w:val="en-GB"/>
        </w:rPr>
        <w:t>agree</w:t>
      </w:r>
      <w:r w:rsidR="000E5641">
        <w:rPr>
          <w:rFonts w:ascii="Times New Roman" w:eastAsia="Times New Roman" w:hAnsi="Times New Roman" w:cs="Times New Roman"/>
          <w:lang w:val="en-GB"/>
        </w:rPr>
        <w:t xml:space="preserve"> that the interaction between performer and participant, like that between healthcare providers and patients, or between PHEs and their </w:t>
      </w:r>
      <w:r w:rsidR="009A5ED8">
        <w:rPr>
          <w:rFonts w:ascii="Times New Roman" w:eastAsia="Times New Roman" w:hAnsi="Times New Roman" w:cs="Times New Roman"/>
          <w:lang w:val="en-GB"/>
        </w:rPr>
        <w:t xml:space="preserve">various </w:t>
      </w:r>
      <w:r w:rsidR="000E5641">
        <w:rPr>
          <w:rFonts w:ascii="Times New Roman" w:eastAsia="Times New Roman" w:hAnsi="Times New Roman" w:cs="Times New Roman"/>
          <w:lang w:val="en-GB"/>
        </w:rPr>
        <w:t xml:space="preserve">clients, is better understood as </w:t>
      </w:r>
      <w:r w:rsidR="00F706D3">
        <w:rPr>
          <w:rFonts w:ascii="Times New Roman" w:eastAsia="Times New Roman" w:hAnsi="Times New Roman" w:cs="Times New Roman"/>
          <w:lang w:val="en-GB"/>
        </w:rPr>
        <w:t xml:space="preserve">a small </w:t>
      </w:r>
      <w:r w:rsidR="000E5641">
        <w:rPr>
          <w:rFonts w:ascii="Times New Roman" w:eastAsia="Times New Roman" w:hAnsi="Times New Roman" w:cs="Times New Roman"/>
          <w:lang w:val="en-GB"/>
        </w:rPr>
        <w:t>part of an incredibly complex environment. A carnival game is not merely a test of a barker’s sleight of hand or of a participant’s visual acu</w:t>
      </w:r>
      <w:r w:rsidR="009A5ED8">
        <w:rPr>
          <w:rFonts w:ascii="Times New Roman" w:eastAsia="Times New Roman" w:hAnsi="Times New Roman" w:cs="Times New Roman"/>
          <w:lang w:val="en-GB"/>
        </w:rPr>
        <w:t>ity. Both of these things keep the game interesting</w:t>
      </w:r>
      <w:r w:rsidR="004161D9">
        <w:rPr>
          <w:rFonts w:ascii="Times New Roman" w:eastAsia="Times New Roman" w:hAnsi="Times New Roman" w:cs="Times New Roman"/>
          <w:lang w:val="en-GB"/>
        </w:rPr>
        <w:t>,</w:t>
      </w:r>
      <w:r w:rsidR="000E5641">
        <w:rPr>
          <w:rFonts w:ascii="Times New Roman" w:eastAsia="Times New Roman" w:hAnsi="Times New Roman" w:cs="Times New Roman"/>
          <w:lang w:val="en-GB"/>
        </w:rPr>
        <w:t xml:space="preserve"> but it</w:t>
      </w:r>
      <w:r w:rsidR="004161D9">
        <w:rPr>
          <w:rFonts w:ascii="Times New Roman" w:eastAsia="Times New Roman" w:hAnsi="Times New Roman" w:cs="Times New Roman"/>
          <w:lang w:val="en-GB"/>
        </w:rPr>
        <w:t>s po</w:t>
      </w:r>
      <w:r w:rsidR="009A5ED8">
        <w:rPr>
          <w:rFonts w:ascii="Times New Roman" w:eastAsia="Times New Roman" w:hAnsi="Times New Roman" w:cs="Times New Roman"/>
          <w:lang w:val="en-GB"/>
        </w:rPr>
        <w:t xml:space="preserve">wer lies in its ability to </w:t>
      </w:r>
      <w:r w:rsidR="004161D9">
        <w:rPr>
          <w:rFonts w:ascii="Times New Roman" w:eastAsia="Times New Roman" w:hAnsi="Times New Roman" w:cs="Times New Roman"/>
          <w:lang w:val="en-GB"/>
        </w:rPr>
        <w:t>e</w:t>
      </w:r>
      <w:r w:rsidR="009A5ED8">
        <w:rPr>
          <w:rFonts w:ascii="Times New Roman" w:eastAsia="Times New Roman" w:hAnsi="Times New Roman" w:cs="Times New Roman"/>
          <w:lang w:val="en-GB"/>
        </w:rPr>
        <w:t>ngage</w:t>
      </w:r>
      <w:r w:rsidR="004161D9">
        <w:rPr>
          <w:rFonts w:ascii="Times New Roman" w:eastAsia="Times New Roman" w:hAnsi="Times New Roman" w:cs="Times New Roman"/>
          <w:lang w:val="en-GB"/>
        </w:rPr>
        <w:t xml:space="preserve"> bystanders and participants alike despite their awareness that more is going on than meets the eye. </w:t>
      </w:r>
    </w:p>
    <w:p w14:paraId="72B0534B" w14:textId="77777777" w:rsidR="00805557" w:rsidRDefault="004161D9" w:rsidP="004161D9">
      <w:pPr>
        <w:pStyle w:val="Body1"/>
        <w:spacing w:line="480" w:lineRule="auto"/>
        <w:rPr>
          <w:rFonts w:ascii="Times New Roman" w:eastAsia="Times New Roman" w:hAnsi="Times New Roman" w:cs="Times New Roman"/>
          <w:lang w:val="en-GB"/>
        </w:rPr>
      </w:pPr>
      <w:r>
        <w:rPr>
          <w:rFonts w:ascii="Times New Roman" w:eastAsia="Times New Roman" w:hAnsi="Times New Roman" w:cs="Times New Roman"/>
          <w:lang w:val="en-GB"/>
        </w:rPr>
        <w:tab/>
        <w:t>Although the analogy is a useful one, Sherwin is forthright about acknowledging it</w:t>
      </w:r>
      <w:r w:rsidR="00BD2929">
        <w:rPr>
          <w:rFonts w:ascii="Times New Roman" w:eastAsia="Times New Roman" w:hAnsi="Times New Roman" w:cs="Times New Roman"/>
          <w:lang w:val="en-GB"/>
        </w:rPr>
        <w:t>s limitations. A shell game is a carefully orchestrated performance</w:t>
      </w:r>
      <w:r w:rsidR="009A5ED8">
        <w:rPr>
          <w:rFonts w:ascii="Times New Roman" w:eastAsia="Times New Roman" w:hAnsi="Times New Roman" w:cs="Times New Roman"/>
          <w:lang w:val="en-GB"/>
        </w:rPr>
        <w:t>,</w:t>
      </w:r>
      <w:r w:rsidR="00BD2929">
        <w:rPr>
          <w:rFonts w:ascii="Times New Roman" w:eastAsia="Times New Roman" w:hAnsi="Times New Roman" w:cs="Times New Roman"/>
          <w:lang w:val="en-GB"/>
        </w:rPr>
        <w:t xml:space="preserve"> and winners and losers are clearly and immediately identifiable. </w:t>
      </w:r>
      <w:r w:rsidR="00805557">
        <w:rPr>
          <w:rFonts w:ascii="Times New Roman" w:eastAsia="Times New Roman" w:hAnsi="Times New Roman" w:cs="Times New Roman"/>
          <w:lang w:val="en-GB"/>
        </w:rPr>
        <w:t>T</w:t>
      </w:r>
      <w:r w:rsidR="00E356B3" w:rsidRPr="00E356B3">
        <w:rPr>
          <w:rFonts w:ascii="Times New Roman" w:eastAsia="Times New Roman" w:hAnsi="Times New Roman" w:cs="Times New Roman"/>
          <w:lang w:val="en-GB"/>
        </w:rPr>
        <w:t xml:space="preserve">he various </w:t>
      </w:r>
      <w:r w:rsidR="00C62BAF">
        <w:rPr>
          <w:rFonts w:ascii="Times New Roman" w:eastAsia="Times New Roman" w:hAnsi="Times New Roman" w:cs="Times New Roman"/>
          <w:lang w:val="en-GB"/>
        </w:rPr>
        <w:t>complex and interrelated variables</w:t>
      </w:r>
      <w:r w:rsidR="00E356B3" w:rsidRPr="00E356B3">
        <w:rPr>
          <w:rFonts w:ascii="Times New Roman" w:eastAsia="Times New Roman" w:hAnsi="Times New Roman" w:cs="Times New Roman"/>
          <w:lang w:val="en-GB"/>
        </w:rPr>
        <w:t xml:space="preserve"> that are predictive of </w:t>
      </w:r>
      <w:r w:rsidR="00805557">
        <w:rPr>
          <w:rFonts w:ascii="Times New Roman" w:eastAsia="Times New Roman" w:hAnsi="Times New Roman" w:cs="Times New Roman"/>
          <w:lang w:val="en-GB"/>
        </w:rPr>
        <w:t xml:space="preserve">any patient’s </w:t>
      </w:r>
      <w:r w:rsidR="00E356B3" w:rsidRPr="00E356B3">
        <w:rPr>
          <w:rFonts w:ascii="Times New Roman" w:eastAsia="Times New Roman" w:hAnsi="Times New Roman" w:cs="Times New Roman"/>
          <w:lang w:val="en-GB"/>
        </w:rPr>
        <w:lastRenderedPageBreak/>
        <w:t>health outcomes</w:t>
      </w:r>
      <w:r w:rsidR="00805557">
        <w:rPr>
          <w:rFonts w:ascii="Times New Roman" w:eastAsia="Times New Roman" w:hAnsi="Times New Roman" w:cs="Times New Roman"/>
          <w:lang w:val="en-GB"/>
        </w:rPr>
        <w:t>, however,</w:t>
      </w:r>
      <w:r w:rsidR="00E356B3" w:rsidRPr="00E356B3">
        <w:rPr>
          <w:rFonts w:ascii="Times New Roman" w:eastAsia="Times New Roman" w:hAnsi="Times New Roman" w:cs="Times New Roman"/>
          <w:lang w:val="en-GB"/>
        </w:rPr>
        <w:t xml:space="preserve"> are not</w:t>
      </w:r>
      <w:r w:rsidR="00F706D3">
        <w:rPr>
          <w:rFonts w:ascii="Times New Roman" w:eastAsia="Times New Roman" w:hAnsi="Times New Roman" w:cs="Times New Roman"/>
          <w:lang w:val="en-GB"/>
        </w:rPr>
        <w:t xml:space="preserve"> always easy to identify and they are certainly not directed by </w:t>
      </w:r>
      <w:r w:rsidR="00E356B3" w:rsidRPr="00E356B3">
        <w:rPr>
          <w:rFonts w:ascii="Times New Roman" w:eastAsia="Times New Roman" w:hAnsi="Times New Roman" w:cs="Times New Roman"/>
          <w:lang w:val="en-GB"/>
        </w:rPr>
        <w:t>a single actor</w:t>
      </w:r>
      <w:r w:rsidR="00F706D3">
        <w:rPr>
          <w:rFonts w:ascii="Times New Roman" w:eastAsia="Times New Roman" w:hAnsi="Times New Roman" w:cs="Times New Roman"/>
          <w:lang w:val="en-GB"/>
        </w:rPr>
        <w:t xml:space="preserve"> with </w:t>
      </w:r>
      <w:r w:rsidR="00BF37BA">
        <w:rPr>
          <w:rFonts w:ascii="Times New Roman" w:eastAsia="Times New Roman" w:hAnsi="Times New Roman" w:cs="Times New Roman"/>
          <w:lang w:val="en-GB"/>
        </w:rPr>
        <w:t>selfish</w:t>
      </w:r>
      <w:r w:rsidR="00610200">
        <w:rPr>
          <w:rFonts w:ascii="Times New Roman" w:eastAsia="Times New Roman" w:hAnsi="Times New Roman" w:cs="Times New Roman"/>
          <w:lang w:val="en-GB"/>
        </w:rPr>
        <w:t xml:space="preserve"> or </w:t>
      </w:r>
      <w:r w:rsidR="00F706D3">
        <w:rPr>
          <w:rFonts w:ascii="Times New Roman" w:eastAsia="Times New Roman" w:hAnsi="Times New Roman" w:cs="Times New Roman"/>
          <w:lang w:val="en-GB"/>
        </w:rPr>
        <w:t>malign intentions</w:t>
      </w:r>
      <w:r w:rsidR="00E356B3" w:rsidRPr="00E356B3">
        <w:rPr>
          <w:rFonts w:ascii="Times New Roman" w:eastAsia="Times New Roman" w:hAnsi="Times New Roman" w:cs="Times New Roman"/>
          <w:lang w:val="en-GB"/>
        </w:rPr>
        <w:t>.</w:t>
      </w:r>
      <w:r w:rsidR="00805557">
        <w:rPr>
          <w:rFonts w:ascii="Times New Roman" w:eastAsia="Times New Roman" w:hAnsi="Times New Roman" w:cs="Times New Roman"/>
          <w:lang w:val="en-GB"/>
        </w:rPr>
        <w:t xml:space="preserve"> </w:t>
      </w:r>
      <w:r w:rsidR="00BD2929">
        <w:rPr>
          <w:rFonts w:ascii="Times New Roman" w:eastAsia="Times New Roman" w:hAnsi="Times New Roman" w:cs="Times New Roman"/>
          <w:lang w:val="en-GB"/>
        </w:rPr>
        <w:t>An ethics consultation</w:t>
      </w:r>
      <w:r w:rsidR="00610200">
        <w:rPr>
          <w:rFonts w:ascii="Times New Roman" w:eastAsia="Times New Roman" w:hAnsi="Times New Roman" w:cs="Times New Roman"/>
          <w:lang w:val="en-GB"/>
        </w:rPr>
        <w:t xml:space="preserve">, such </w:t>
      </w:r>
      <w:r w:rsidR="00724F40">
        <w:rPr>
          <w:rFonts w:ascii="Times New Roman" w:eastAsia="Times New Roman" w:hAnsi="Times New Roman" w:cs="Times New Roman"/>
          <w:lang w:val="en-GB"/>
        </w:rPr>
        <w:t xml:space="preserve">as </w:t>
      </w:r>
      <w:r w:rsidR="00610200">
        <w:rPr>
          <w:rFonts w:ascii="Times New Roman" w:eastAsia="Times New Roman" w:hAnsi="Times New Roman" w:cs="Times New Roman"/>
          <w:lang w:val="en-GB"/>
        </w:rPr>
        <w:t xml:space="preserve">the </w:t>
      </w:r>
      <w:r w:rsidR="00BD2929">
        <w:rPr>
          <w:rFonts w:ascii="Times New Roman" w:eastAsia="Times New Roman" w:hAnsi="Times New Roman" w:cs="Times New Roman"/>
          <w:lang w:val="en-GB"/>
        </w:rPr>
        <w:t xml:space="preserve">one which </w:t>
      </w:r>
      <w:r w:rsidR="00E72CAE">
        <w:rPr>
          <w:rFonts w:ascii="Times New Roman" w:eastAsia="Times New Roman" w:hAnsi="Times New Roman" w:cs="Times New Roman"/>
          <w:lang w:val="en-GB"/>
        </w:rPr>
        <w:t>contemplate</w:t>
      </w:r>
      <w:r w:rsidR="00610200">
        <w:rPr>
          <w:rFonts w:ascii="Times New Roman" w:eastAsia="Times New Roman" w:hAnsi="Times New Roman" w:cs="Times New Roman"/>
          <w:lang w:val="en-GB"/>
        </w:rPr>
        <w:t>s</w:t>
      </w:r>
      <w:r w:rsidR="00DD2732">
        <w:rPr>
          <w:rFonts w:ascii="Times New Roman" w:eastAsia="Times New Roman" w:hAnsi="Times New Roman" w:cs="Times New Roman"/>
          <w:lang w:val="en-GB"/>
        </w:rPr>
        <w:t xml:space="preserve"> the </w:t>
      </w:r>
      <w:r w:rsidR="00BD2929">
        <w:rPr>
          <w:rFonts w:ascii="Times New Roman" w:eastAsia="Times New Roman" w:hAnsi="Times New Roman" w:cs="Times New Roman"/>
          <w:lang w:val="en-GB"/>
        </w:rPr>
        <w:t xml:space="preserve">prospect of </w:t>
      </w:r>
      <w:r w:rsidR="00E72CAE">
        <w:rPr>
          <w:rFonts w:ascii="Times New Roman" w:eastAsia="Times New Roman" w:hAnsi="Times New Roman" w:cs="Times New Roman"/>
          <w:lang w:val="en-GB"/>
        </w:rPr>
        <w:t>transferring</w:t>
      </w:r>
      <w:r w:rsidR="00AF1CE0">
        <w:rPr>
          <w:rFonts w:ascii="Times New Roman" w:eastAsia="Times New Roman" w:hAnsi="Times New Roman" w:cs="Times New Roman"/>
          <w:lang w:val="en-GB"/>
        </w:rPr>
        <w:t xml:space="preserve"> Malek</w:t>
      </w:r>
      <w:r w:rsidR="00DD2732">
        <w:rPr>
          <w:rFonts w:ascii="Times New Roman" w:eastAsia="Times New Roman" w:hAnsi="Times New Roman" w:cs="Times New Roman"/>
          <w:lang w:val="en-GB"/>
        </w:rPr>
        <w:t xml:space="preserve"> out of a rehabilitation bed, is </w:t>
      </w:r>
      <w:r w:rsidR="00F706D3">
        <w:rPr>
          <w:rFonts w:ascii="Times New Roman" w:eastAsia="Times New Roman" w:hAnsi="Times New Roman" w:cs="Times New Roman"/>
          <w:lang w:val="en-GB"/>
        </w:rPr>
        <w:t xml:space="preserve">likely to follow a </w:t>
      </w:r>
      <w:r w:rsidR="0058476D">
        <w:rPr>
          <w:rFonts w:ascii="Times New Roman" w:eastAsia="Times New Roman" w:hAnsi="Times New Roman" w:cs="Times New Roman"/>
          <w:lang w:val="en-GB"/>
        </w:rPr>
        <w:t xml:space="preserve">difficult </w:t>
      </w:r>
      <w:r w:rsidR="00F706D3">
        <w:rPr>
          <w:rFonts w:ascii="Times New Roman" w:eastAsia="Times New Roman" w:hAnsi="Times New Roman" w:cs="Times New Roman"/>
          <w:lang w:val="en-GB"/>
        </w:rPr>
        <w:t xml:space="preserve">and frustrating </w:t>
      </w:r>
      <w:r w:rsidR="00CE56A7">
        <w:rPr>
          <w:rFonts w:ascii="Times New Roman" w:eastAsia="Times New Roman" w:hAnsi="Times New Roman" w:cs="Times New Roman"/>
          <w:lang w:val="en-GB"/>
        </w:rPr>
        <w:t xml:space="preserve">clinical </w:t>
      </w:r>
      <w:r w:rsidR="00BF37BA">
        <w:rPr>
          <w:rFonts w:ascii="Times New Roman" w:eastAsia="Times New Roman" w:hAnsi="Times New Roman" w:cs="Times New Roman"/>
          <w:lang w:val="en-GB"/>
        </w:rPr>
        <w:t>interaction</w:t>
      </w:r>
      <w:r w:rsidR="00805557">
        <w:rPr>
          <w:rFonts w:ascii="Times New Roman" w:eastAsia="Times New Roman" w:hAnsi="Times New Roman" w:cs="Times New Roman"/>
          <w:lang w:val="en-GB"/>
        </w:rPr>
        <w:t xml:space="preserve"> or series of interactions,</w:t>
      </w:r>
      <w:r w:rsidR="00CE56A7">
        <w:rPr>
          <w:rFonts w:ascii="Times New Roman" w:eastAsia="Times New Roman" w:hAnsi="Times New Roman" w:cs="Times New Roman"/>
          <w:lang w:val="en-GB"/>
        </w:rPr>
        <w:t xml:space="preserve"> and</w:t>
      </w:r>
      <w:r w:rsidR="00325E93">
        <w:rPr>
          <w:rFonts w:ascii="Times New Roman" w:eastAsia="Times New Roman" w:hAnsi="Times New Roman" w:cs="Times New Roman"/>
          <w:lang w:val="en-GB"/>
        </w:rPr>
        <w:t xml:space="preserve"> </w:t>
      </w:r>
      <w:r w:rsidR="00805557">
        <w:rPr>
          <w:rFonts w:ascii="Times New Roman" w:eastAsia="Times New Roman" w:hAnsi="Times New Roman" w:cs="Times New Roman"/>
          <w:lang w:val="en-GB"/>
        </w:rPr>
        <w:t>can offer</w:t>
      </w:r>
      <w:r w:rsidR="00325E93">
        <w:rPr>
          <w:rFonts w:ascii="Times New Roman" w:eastAsia="Times New Roman" w:hAnsi="Times New Roman" w:cs="Times New Roman"/>
          <w:lang w:val="en-GB"/>
        </w:rPr>
        <w:t xml:space="preserve"> few or no easy wins.</w:t>
      </w:r>
      <w:r w:rsidR="00E72CAE">
        <w:rPr>
          <w:rFonts w:ascii="Times New Roman" w:eastAsia="Times New Roman" w:hAnsi="Times New Roman" w:cs="Times New Roman"/>
          <w:lang w:val="en-GB"/>
        </w:rPr>
        <w:t xml:space="preserve"> Even if his </w:t>
      </w:r>
      <w:r w:rsidR="00805557">
        <w:rPr>
          <w:rFonts w:ascii="Times New Roman" w:eastAsia="Times New Roman" w:hAnsi="Times New Roman" w:cs="Times New Roman"/>
          <w:lang w:val="en-GB"/>
        </w:rPr>
        <w:t xml:space="preserve">care </w:t>
      </w:r>
      <w:r w:rsidR="00CE56A7">
        <w:rPr>
          <w:rFonts w:ascii="Times New Roman" w:eastAsia="Times New Roman" w:hAnsi="Times New Roman" w:cs="Times New Roman"/>
          <w:lang w:val="en-GB"/>
        </w:rPr>
        <w:t>providers are</w:t>
      </w:r>
      <w:r w:rsidR="00E72CAE">
        <w:rPr>
          <w:rFonts w:ascii="Times New Roman" w:eastAsia="Times New Roman" w:hAnsi="Times New Roman" w:cs="Times New Roman"/>
          <w:lang w:val="en-GB"/>
        </w:rPr>
        <w:t xml:space="preserve"> to find him a more appro</w:t>
      </w:r>
      <w:r w:rsidR="00CE56A7">
        <w:rPr>
          <w:rFonts w:ascii="Times New Roman" w:eastAsia="Times New Roman" w:hAnsi="Times New Roman" w:cs="Times New Roman"/>
          <w:lang w:val="en-GB"/>
        </w:rPr>
        <w:t>priate care setting (one that i</w:t>
      </w:r>
      <w:r w:rsidR="008F490C">
        <w:rPr>
          <w:rFonts w:ascii="Times New Roman" w:eastAsia="Times New Roman" w:hAnsi="Times New Roman" w:cs="Times New Roman"/>
          <w:lang w:val="en-GB"/>
        </w:rPr>
        <w:t>s</w:t>
      </w:r>
      <w:r w:rsidR="00E72CAE">
        <w:rPr>
          <w:rFonts w:ascii="Times New Roman" w:eastAsia="Times New Roman" w:hAnsi="Times New Roman" w:cs="Times New Roman"/>
          <w:lang w:val="en-GB"/>
        </w:rPr>
        <w:t xml:space="preserve"> resourced with good psychological supports</w:t>
      </w:r>
      <w:r w:rsidR="008F490C">
        <w:rPr>
          <w:rFonts w:ascii="Times New Roman" w:eastAsia="Times New Roman" w:hAnsi="Times New Roman" w:cs="Times New Roman"/>
          <w:lang w:val="en-GB"/>
        </w:rPr>
        <w:t>, skilled wound care nurses, and social workers with superb connections to community resources</w:t>
      </w:r>
      <w:r w:rsidR="00E72CAE">
        <w:rPr>
          <w:rFonts w:ascii="Times New Roman" w:eastAsia="Times New Roman" w:hAnsi="Times New Roman" w:cs="Times New Roman"/>
          <w:lang w:val="en-GB"/>
        </w:rPr>
        <w:t>)</w:t>
      </w:r>
      <w:r w:rsidR="0058476D">
        <w:rPr>
          <w:rFonts w:ascii="Times New Roman" w:eastAsia="Times New Roman" w:hAnsi="Times New Roman" w:cs="Times New Roman"/>
          <w:lang w:val="en-GB"/>
        </w:rPr>
        <w:t>,</w:t>
      </w:r>
      <w:r w:rsidR="00E72CAE">
        <w:rPr>
          <w:rFonts w:ascii="Times New Roman" w:eastAsia="Times New Roman" w:hAnsi="Times New Roman" w:cs="Times New Roman"/>
          <w:lang w:val="en-GB"/>
        </w:rPr>
        <w:t xml:space="preserve"> </w:t>
      </w:r>
      <w:r w:rsidR="00AF1CE0">
        <w:rPr>
          <w:rFonts w:ascii="Times New Roman" w:eastAsia="Times New Roman" w:hAnsi="Times New Roman" w:cs="Times New Roman"/>
          <w:lang w:val="en-GB"/>
        </w:rPr>
        <w:t>Malek</w:t>
      </w:r>
      <w:r w:rsidR="005E1BCA">
        <w:rPr>
          <w:rFonts w:ascii="Times New Roman" w:eastAsia="Times New Roman" w:hAnsi="Times New Roman" w:cs="Times New Roman"/>
          <w:lang w:val="en-GB"/>
        </w:rPr>
        <w:t>’s</w:t>
      </w:r>
      <w:r w:rsidR="00CE56A7">
        <w:rPr>
          <w:rFonts w:ascii="Times New Roman" w:eastAsia="Times New Roman" w:hAnsi="Times New Roman" w:cs="Times New Roman"/>
          <w:lang w:val="en-GB"/>
        </w:rPr>
        <w:t xml:space="preserve"> post-discharge prospects are</w:t>
      </w:r>
      <w:r w:rsidR="005E1BCA">
        <w:rPr>
          <w:rFonts w:ascii="Times New Roman" w:eastAsia="Times New Roman" w:hAnsi="Times New Roman" w:cs="Times New Roman"/>
          <w:lang w:val="en-GB"/>
        </w:rPr>
        <w:t xml:space="preserve"> likely </w:t>
      </w:r>
      <w:r w:rsidR="00CE56A7">
        <w:rPr>
          <w:rFonts w:ascii="Times New Roman" w:eastAsia="Times New Roman" w:hAnsi="Times New Roman" w:cs="Times New Roman"/>
          <w:lang w:val="en-GB"/>
        </w:rPr>
        <w:t xml:space="preserve">to </w:t>
      </w:r>
      <w:r w:rsidR="00E72CAE">
        <w:rPr>
          <w:rFonts w:ascii="Times New Roman" w:eastAsia="Times New Roman" w:hAnsi="Times New Roman" w:cs="Times New Roman"/>
          <w:lang w:val="en-GB"/>
        </w:rPr>
        <w:t>be bleak</w:t>
      </w:r>
      <w:r w:rsidR="00805557">
        <w:rPr>
          <w:rFonts w:ascii="Times New Roman" w:eastAsia="Times New Roman" w:hAnsi="Times New Roman" w:cs="Times New Roman"/>
          <w:lang w:val="en-GB"/>
        </w:rPr>
        <w:t>,</w:t>
      </w:r>
      <w:r w:rsidR="00E72CAE">
        <w:rPr>
          <w:rFonts w:ascii="Times New Roman" w:eastAsia="Times New Roman" w:hAnsi="Times New Roman" w:cs="Times New Roman"/>
          <w:lang w:val="en-GB"/>
        </w:rPr>
        <w:t xml:space="preserve"> and the conditions which led to h</w:t>
      </w:r>
      <w:r w:rsidR="008F490C">
        <w:rPr>
          <w:rFonts w:ascii="Times New Roman" w:eastAsia="Times New Roman" w:hAnsi="Times New Roman" w:cs="Times New Roman"/>
          <w:lang w:val="en-GB"/>
        </w:rPr>
        <w:t xml:space="preserve">is disaffection </w:t>
      </w:r>
      <w:r w:rsidR="00CE56A7">
        <w:rPr>
          <w:rFonts w:ascii="Times New Roman" w:eastAsia="Times New Roman" w:hAnsi="Times New Roman" w:cs="Times New Roman"/>
          <w:lang w:val="en-GB"/>
        </w:rPr>
        <w:t>and injury will</w:t>
      </w:r>
      <w:r w:rsidR="00E356B3">
        <w:rPr>
          <w:rFonts w:ascii="Times New Roman" w:eastAsia="Times New Roman" w:hAnsi="Times New Roman" w:cs="Times New Roman"/>
          <w:lang w:val="en-GB"/>
        </w:rPr>
        <w:t xml:space="preserve"> almost certainly remain unresolved for him and fo</w:t>
      </w:r>
      <w:r w:rsidR="008F490C">
        <w:rPr>
          <w:rFonts w:ascii="Times New Roman" w:eastAsia="Times New Roman" w:hAnsi="Times New Roman" w:cs="Times New Roman"/>
          <w:lang w:val="en-GB"/>
        </w:rPr>
        <w:t>r those who remain within his circle of intimates</w:t>
      </w:r>
      <w:r w:rsidR="00E356B3">
        <w:rPr>
          <w:rFonts w:ascii="Times New Roman" w:eastAsia="Times New Roman" w:hAnsi="Times New Roman" w:cs="Times New Roman"/>
          <w:lang w:val="en-GB"/>
        </w:rPr>
        <w:t>.</w:t>
      </w:r>
      <w:r w:rsidR="0058476D">
        <w:rPr>
          <w:rStyle w:val="FootnoteReference"/>
          <w:rFonts w:ascii="Times New Roman" w:eastAsia="Times New Roman" w:hAnsi="Times New Roman" w:cs="Times New Roman"/>
          <w:lang w:val="en-GB"/>
        </w:rPr>
        <w:footnoteReference w:id="124"/>
      </w:r>
      <w:r w:rsidR="00E72CAE">
        <w:rPr>
          <w:rFonts w:ascii="Times New Roman" w:eastAsia="Times New Roman" w:hAnsi="Times New Roman" w:cs="Times New Roman"/>
          <w:lang w:val="en-GB"/>
        </w:rPr>
        <w:t xml:space="preserve"> </w:t>
      </w:r>
      <w:r w:rsidR="00325E93">
        <w:rPr>
          <w:rFonts w:ascii="Times New Roman" w:eastAsia="Times New Roman" w:hAnsi="Times New Roman" w:cs="Times New Roman"/>
          <w:lang w:val="en-GB"/>
        </w:rPr>
        <w:t xml:space="preserve"> </w:t>
      </w:r>
    </w:p>
    <w:p w14:paraId="71784E0B" w14:textId="22C4CD04" w:rsidR="00805557" w:rsidRDefault="00805557" w:rsidP="00805557">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For all of these reasons it may be correct to suggest that PHEs should</w:t>
      </w:r>
      <w:r w:rsidR="00C72E42">
        <w:rPr>
          <w:rFonts w:ascii="Times New Roman" w:eastAsia="Times New Roman" w:hAnsi="Times New Roman" w:cs="Times New Roman"/>
          <w:lang w:val="en-GB"/>
        </w:rPr>
        <w:t xml:space="preserve"> engage in </w:t>
      </w:r>
      <w:r>
        <w:rPr>
          <w:rFonts w:ascii="Times New Roman" w:eastAsia="Times New Roman" w:hAnsi="Times New Roman" w:cs="Times New Roman"/>
          <w:lang w:val="en-GB"/>
        </w:rPr>
        <w:t xml:space="preserve">discussions with a </w:t>
      </w:r>
      <w:r w:rsidR="00C72E42">
        <w:rPr>
          <w:rFonts w:ascii="Times New Roman" w:eastAsia="Times New Roman" w:hAnsi="Times New Roman" w:cs="Times New Roman"/>
          <w:lang w:val="en-GB"/>
        </w:rPr>
        <w:t xml:space="preserve">far </w:t>
      </w:r>
      <w:r>
        <w:rPr>
          <w:rFonts w:ascii="Times New Roman" w:eastAsia="Times New Roman" w:hAnsi="Times New Roman" w:cs="Times New Roman"/>
          <w:lang w:val="en-GB"/>
        </w:rPr>
        <w:t xml:space="preserve">larger group of stakeholders than they ordinarily do. </w:t>
      </w:r>
      <w:r w:rsidR="00CE56A7">
        <w:rPr>
          <w:rFonts w:ascii="Times New Roman" w:eastAsia="Times New Roman" w:hAnsi="Times New Roman" w:cs="Times New Roman"/>
          <w:lang w:val="en-GB"/>
        </w:rPr>
        <w:t>Lasting and just</w:t>
      </w:r>
      <w:r w:rsidR="00740D49">
        <w:rPr>
          <w:rFonts w:ascii="Times New Roman" w:eastAsia="Times New Roman" w:hAnsi="Times New Roman" w:cs="Times New Roman"/>
          <w:lang w:val="en-GB"/>
        </w:rPr>
        <w:t xml:space="preserve"> solutions </w:t>
      </w:r>
      <w:r w:rsidR="009025A3">
        <w:rPr>
          <w:rFonts w:ascii="Times New Roman" w:eastAsia="Times New Roman" w:hAnsi="Times New Roman" w:cs="Times New Roman"/>
          <w:lang w:val="en-GB"/>
        </w:rPr>
        <w:t xml:space="preserve">to health-related challenges </w:t>
      </w:r>
      <w:r w:rsidR="00740D49">
        <w:rPr>
          <w:rFonts w:ascii="Times New Roman" w:eastAsia="Times New Roman" w:hAnsi="Times New Roman" w:cs="Times New Roman"/>
          <w:lang w:val="en-GB"/>
        </w:rPr>
        <w:t xml:space="preserve">require conversations </w:t>
      </w:r>
      <w:r w:rsidR="009025A3">
        <w:rPr>
          <w:rFonts w:ascii="Times New Roman" w:eastAsia="Times New Roman" w:hAnsi="Times New Roman" w:cs="Times New Roman"/>
          <w:lang w:val="en-GB"/>
        </w:rPr>
        <w:t xml:space="preserve">that must take place </w:t>
      </w:r>
      <w:r w:rsidR="00740D49">
        <w:rPr>
          <w:rFonts w:ascii="Times New Roman" w:eastAsia="Times New Roman" w:hAnsi="Times New Roman" w:cs="Times New Roman"/>
          <w:lang w:val="en-GB"/>
        </w:rPr>
        <w:t>beyond</w:t>
      </w:r>
      <w:r w:rsidR="00847E2B">
        <w:rPr>
          <w:rFonts w:ascii="Times New Roman" w:eastAsia="Times New Roman" w:hAnsi="Times New Roman" w:cs="Times New Roman"/>
          <w:lang w:val="en-GB"/>
        </w:rPr>
        <w:t xml:space="preserve"> the bedside or </w:t>
      </w:r>
      <w:r w:rsidR="00740D49">
        <w:rPr>
          <w:rFonts w:ascii="Times New Roman" w:eastAsia="Times New Roman" w:hAnsi="Times New Roman" w:cs="Times New Roman"/>
          <w:lang w:val="en-GB"/>
        </w:rPr>
        <w:t>the boardroom</w:t>
      </w:r>
      <w:r w:rsidR="00335EB6">
        <w:rPr>
          <w:rFonts w:ascii="Times New Roman" w:eastAsia="Times New Roman" w:hAnsi="Times New Roman" w:cs="Times New Roman"/>
          <w:lang w:val="en-GB"/>
        </w:rPr>
        <w:t xml:space="preserve">. </w:t>
      </w:r>
      <w:r w:rsidR="00CE56A7">
        <w:rPr>
          <w:rFonts w:ascii="Times New Roman" w:eastAsia="Times New Roman" w:hAnsi="Times New Roman" w:cs="Times New Roman"/>
          <w:lang w:val="en-GB"/>
        </w:rPr>
        <w:t>Unfortunately, a</w:t>
      </w:r>
      <w:r>
        <w:rPr>
          <w:rFonts w:ascii="Times New Roman" w:eastAsia="Times New Roman" w:hAnsi="Times New Roman" w:cs="Times New Roman"/>
          <w:lang w:val="en-GB"/>
        </w:rPr>
        <w:t xml:space="preserve">s Sherwin </w:t>
      </w:r>
      <w:r w:rsidR="00CE56A7">
        <w:rPr>
          <w:rFonts w:ascii="Times New Roman" w:eastAsia="Times New Roman" w:hAnsi="Times New Roman" w:cs="Times New Roman"/>
          <w:lang w:val="en-GB"/>
        </w:rPr>
        <w:t>has observed</w:t>
      </w:r>
      <w:r w:rsidR="008F490C">
        <w:rPr>
          <w:rFonts w:ascii="Times New Roman" w:eastAsia="Times New Roman" w:hAnsi="Times New Roman" w:cs="Times New Roman"/>
          <w:lang w:val="en-GB"/>
        </w:rPr>
        <w:t xml:space="preserve">, bioethicists, </w:t>
      </w:r>
      <w:r w:rsidR="008B7946">
        <w:rPr>
          <w:rFonts w:ascii="Times New Roman" w:eastAsia="Times New Roman" w:hAnsi="Times New Roman" w:cs="Times New Roman"/>
          <w:lang w:val="en-GB"/>
        </w:rPr>
        <w:t xml:space="preserve">generally </w:t>
      </w:r>
      <w:r w:rsidR="008F490C">
        <w:rPr>
          <w:rFonts w:ascii="Times New Roman" w:eastAsia="Times New Roman" w:hAnsi="Times New Roman" w:cs="Times New Roman"/>
          <w:lang w:val="en-GB"/>
        </w:rPr>
        <w:t xml:space="preserve">have </w:t>
      </w:r>
      <w:r w:rsidR="005E1BCA">
        <w:rPr>
          <w:rFonts w:ascii="Times New Roman" w:eastAsia="Times New Roman" w:hAnsi="Times New Roman" w:cs="Times New Roman"/>
          <w:lang w:val="en-GB"/>
        </w:rPr>
        <w:t>not played the long game when it comes to ethical concerns</w:t>
      </w:r>
      <w:r>
        <w:rPr>
          <w:rFonts w:ascii="Times New Roman" w:eastAsia="Times New Roman" w:hAnsi="Times New Roman" w:cs="Times New Roman"/>
          <w:lang w:val="en-GB"/>
        </w:rPr>
        <w:t xml:space="preserve">: </w:t>
      </w:r>
    </w:p>
    <w:p w14:paraId="2F56E81E" w14:textId="77777777" w:rsidR="00805557" w:rsidRDefault="00805557" w:rsidP="00805557">
      <w:pPr>
        <w:pStyle w:val="Body1"/>
        <w:ind w:left="720"/>
        <w:rPr>
          <w:rFonts w:ascii="Times New Roman" w:eastAsia="Times New Roman" w:hAnsi="Times New Roman" w:cs="Times New Roman"/>
          <w:lang w:val="en-GB"/>
        </w:rPr>
      </w:pPr>
      <w:r>
        <w:rPr>
          <w:rFonts w:ascii="Times New Roman" w:eastAsia="Times New Roman" w:hAnsi="Times New Roman" w:cs="Times New Roman"/>
          <w:lang w:val="en-GB"/>
        </w:rPr>
        <w:lastRenderedPageBreak/>
        <w:t>Repeatedly, bioethicists either: (1) focus on questions of individual responsibility and individual rights and ignore discussion about the moral dim</w:t>
      </w:r>
      <w:r w:rsidR="009025A3">
        <w:rPr>
          <w:rFonts w:ascii="Times New Roman" w:eastAsia="Times New Roman" w:hAnsi="Times New Roman" w:cs="Times New Roman"/>
          <w:lang w:val="en-GB"/>
        </w:rPr>
        <w:t>ensions of public policy, or (2</w:t>
      </w:r>
      <w:r>
        <w:rPr>
          <w:rFonts w:ascii="Times New Roman" w:eastAsia="Times New Roman" w:hAnsi="Times New Roman" w:cs="Times New Roman"/>
          <w:lang w:val="en-GB"/>
        </w:rPr>
        <w:t>) they take existing public policy as the norm and ask about how to modify it for improvement. They (we) are sidetracked, again and again, from examination of important larger ethical issues by the need to answer narrower issues that get put in our paths through the terms of a debate that others have initiated. These distractions make it difficult to find and hold fast to a vi</w:t>
      </w:r>
      <w:r w:rsidR="00BB3A3B">
        <w:rPr>
          <w:rFonts w:ascii="Times New Roman" w:eastAsia="Times New Roman" w:hAnsi="Times New Roman" w:cs="Times New Roman"/>
          <w:lang w:val="en-GB"/>
        </w:rPr>
        <w:t>sion of ethical priorities while</w:t>
      </w:r>
      <w:r>
        <w:rPr>
          <w:rFonts w:ascii="Times New Roman" w:eastAsia="Times New Roman" w:hAnsi="Times New Roman" w:cs="Times New Roman"/>
          <w:lang w:val="en-GB"/>
        </w:rPr>
        <w:t xml:space="preserve"> trying to address the moral framework introduced by others, that is, we are caught up in the temptations of ethics as a shell game.</w:t>
      </w:r>
      <w:r>
        <w:rPr>
          <w:rStyle w:val="FootnoteReference"/>
          <w:rFonts w:ascii="Times New Roman" w:eastAsia="Times New Roman" w:hAnsi="Times New Roman" w:cs="Times New Roman"/>
          <w:lang w:val="en-GB"/>
        </w:rPr>
        <w:footnoteReference w:id="125"/>
      </w:r>
      <w:r>
        <w:rPr>
          <w:rFonts w:ascii="Times New Roman" w:eastAsia="Times New Roman" w:hAnsi="Times New Roman" w:cs="Times New Roman"/>
          <w:lang w:val="en-GB"/>
        </w:rPr>
        <w:t xml:space="preserve">                    </w:t>
      </w:r>
    </w:p>
    <w:p w14:paraId="3413A4EF" w14:textId="77777777" w:rsidR="00C43BA5" w:rsidRDefault="00C43BA5" w:rsidP="00C43BA5">
      <w:pPr>
        <w:pStyle w:val="Body1"/>
        <w:rPr>
          <w:rFonts w:ascii="Times New Roman" w:eastAsia="Times New Roman" w:hAnsi="Times New Roman" w:cs="Times New Roman"/>
          <w:lang w:val="en-GB"/>
        </w:rPr>
      </w:pPr>
    </w:p>
    <w:p w14:paraId="70AB3D16" w14:textId="344E6874" w:rsidR="000121FC" w:rsidRDefault="00C43BA5" w:rsidP="00C43BA5">
      <w:pPr>
        <w:pStyle w:val="Body1"/>
        <w:spacing w:line="480" w:lineRule="auto"/>
        <w:rPr>
          <w:rFonts w:ascii="Times New Roman" w:eastAsia="Times New Roman" w:hAnsi="Times New Roman" w:cs="Times New Roman"/>
          <w:lang w:val="en-GB"/>
        </w:rPr>
      </w:pPr>
      <w:r>
        <w:rPr>
          <w:rFonts w:ascii="Times New Roman" w:eastAsia="Times New Roman" w:hAnsi="Times New Roman" w:cs="Times New Roman"/>
          <w:lang w:val="en-GB"/>
        </w:rPr>
        <w:tab/>
      </w:r>
      <w:r w:rsidR="009E3CA2">
        <w:rPr>
          <w:rFonts w:ascii="Times New Roman" w:eastAsia="Times New Roman" w:hAnsi="Times New Roman" w:cs="Times New Roman"/>
          <w:lang w:val="en-GB"/>
        </w:rPr>
        <w:t xml:space="preserve">Sherwin </w:t>
      </w:r>
      <w:r>
        <w:rPr>
          <w:rFonts w:ascii="Times New Roman" w:eastAsia="Times New Roman" w:hAnsi="Times New Roman" w:cs="Times New Roman"/>
          <w:lang w:val="en-GB"/>
        </w:rPr>
        <w:t>surely</w:t>
      </w:r>
      <w:r w:rsidR="009E3CA2">
        <w:rPr>
          <w:rFonts w:ascii="Times New Roman" w:eastAsia="Times New Roman" w:hAnsi="Times New Roman" w:cs="Times New Roman"/>
          <w:lang w:val="en-GB"/>
        </w:rPr>
        <w:t xml:space="preserve"> is</w:t>
      </w:r>
      <w:r w:rsidR="00A835BA">
        <w:rPr>
          <w:rFonts w:ascii="Times New Roman" w:eastAsia="Times New Roman" w:hAnsi="Times New Roman" w:cs="Times New Roman"/>
          <w:lang w:val="en-GB"/>
        </w:rPr>
        <w:t xml:space="preserve"> correct to urge</w:t>
      </w:r>
      <w:r>
        <w:rPr>
          <w:rFonts w:ascii="Times New Roman" w:eastAsia="Times New Roman" w:hAnsi="Times New Roman" w:cs="Times New Roman"/>
          <w:lang w:val="en-GB"/>
        </w:rPr>
        <w:t xml:space="preserve"> those workin</w:t>
      </w:r>
      <w:r w:rsidR="00A835BA">
        <w:rPr>
          <w:rFonts w:ascii="Times New Roman" w:eastAsia="Times New Roman" w:hAnsi="Times New Roman" w:cs="Times New Roman"/>
          <w:lang w:val="en-GB"/>
        </w:rPr>
        <w:t>g in applied ethics to expand</w:t>
      </w:r>
      <w:r w:rsidR="001D2037">
        <w:rPr>
          <w:rFonts w:ascii="Times New Roman" w:eastAsia="Times New Roman" w:hAnsi="Times New Roman" w:cs="Times New Roman"/>
          <w:lang w:val="en-GB"/>
        </w:rPr>
        <w:t xml:space="preserve"> their sphere of concern to include factors which lie beyond the traditional scope</w:t>
      </w:r>
      <w:r>
        <w:rPr>
          <w:rFonts w:ascii="Times New Roman" w:eastAsia="Times New Roman" w:hAnsi="Times New Roman" w:cs="Times New Roman"/>
          <w:lang w:val="en-GB"/>
        </w:rPr>
        <w:t xml:space="preserve"> of clinical ethics, or even </w:t>
      </w:r>
      <w:r w:rsidR="00A049A2">
        <w:rPr>
          <w:rFonts w:ascii="Times New Roman" w:eastAsia="Times New Roman" w:hAnsi="Times New Roman" w:cs="Times New Roman"/>
          <w:lang w:val="en-GB"/>
        </w:rPr>
        <w:t xml:space="preserve">of </w:t>
      </w:r>
      <w:r>
        <w:rPr>
          <w:rFonts w:ascii="Times New Roman" w:eastAsia="Times New Roman" w:hAnsi="Times New Roman" w:cs="Times New Roman"/>
          <w:lang w:val="en-GB"/>
        </w:rPr>
        <w:t xml:space="preserve">public health ethics. She </w:t>
      </w:r>
      <w:r w:rsidR="000121FC">
        <w:rPr>
          <w:rFonts w:ascii="Times New Roman" w:eastAsia="Times New Roman" w:hAnsi="Times New Roman" w:cs="Times New Roman"/>
          <w:lang w:val="en-GB"/>
        </w:rPr>
        <w:t>has coined the phrase ‘public ethics’ to describe her vision fo</w:t>
      </w:r>
      <w:r w:rsidR="009C031C">
        <w:rPr>
          <w:rFonts w:ascii="Times New Roman" w:eastAsia="Times New Roman" w:hAnsi="Times New Roman" w:cs="Times New Roman"/>
          <w:lang w:val="en-GB"/>
        </w:rPr>
        <w:t>r a new kind</w:t>
      </w:r>
      <w:r w:rsidR="000121FC">
        <w:rPr>
          <w:rFonts w:ascii="Times New Roman" w:eastAsia="Times New Roman" w:hAnsi="Times New Roman" w:cs="Times New Roman"/>
          <w:lang w:val="en-GB"/>
        </w:rPr>
        <w:t xml:space="preserve"> of ethics which </w:t>
      </w:r>
      <w:r w:rsidR="009C031C">
        <w:rPr>
          <w:rFonts w:ascii="Times New Roman" w:eastAsia="Times New Roman" w:hAnsi="Times New Roman" w:cs="Times New Roman"/>
          <w:lang w:val="en-GB"/>
        </w:rPr>
        <w:t xml:space="preserve">appreciates that “[t]here are moral responsibilities at every level regarding how we are to behave, individually and collectively, if we are to avoid the </w:t>
      </w:r>
      <w:r w:rsidR="00531223">
        <w:rPr>
          <w:rFonts w:ascii="Times New Roman" w:eastAsia="Times New Roman" w:hAnsi="Times New Roman" w:cs="Times New Roman"/>
          <w:lang w:val="en-GB"/>
        </w:rPr>
        <w:t xml:space="preserve">worst </w:t>
      </w:r>
      <w:r w:rsidR="009C031C">
        <w:rPr>
          <w:rFonts w:ascii="Times New Roman" w:eastAsia="Times New Roman" w:hAnsi="Times New Roman" w:cs="Times New Roman"/>
          <w:lang w:val="en-GB"/>
        </w:rPr>
        <w:t>effects of global warming, ethnic hatred, water shortages, extreme poverty, and so on.”</w:t>
      </w:r>
      <w:r w:rsidR="001D2037">
        <w:rPr>
          <w:rStyle w:val="FootnoteReference"/>
          <w:rFonts w:ascii="Times New Roman" w:eastAsia="Times New Roman" w:hAnsi="Times New Roman" w:cs="Times New Roman"/>
          <w:lang w:val="en-GB"/>
        </w:rPr>
        <w:footnoteReference w:id="126"/>
      </w:r>
      <w:r w:rsidR="001D2037">
        <w:rPr>
          <w:rFonts w:ascii="Times New Roman" w:eastAsia="Times New Roman" w:hAnsi="Times New Roman" w:cs="Times New Roman"/>
          <w:lang w:val="en-GB"/>
        </w:rPr>
        <w:t xml:space="preserve"> Sherwin’s proposed p</w:t>
      </w:r>
      <w:r w:rsidR="009C031C">
        <w:rPr>
          <w:rFonts w:ascii="Times New Roman" w:eastAsia="Times New Roman" w:hAnsi="Times New Roman" w:cs="Times New Roman"/>
          <w:lang w:val="en-GB"/>
        </w:rPr>
        <w:t xml:space="preserve">ublic ethics not only contemplates collaboration with non-traditional partners in the effort to </w:t>
      </w:r>
      <w:r w:rsidR="00C6285E">
        <w:rPr>
          <w:rFonts w:ascii="Times New Roman" w:eastAsia="Times New Roman" w:hAnsi="Times New Roman" w:cs="Times New Roman"/>
          <w:lang w:val="en-GB"/>
        </w:rPr>
        <w:t>answer large bioethical questions</w:t>
      </w:r>
      <w:r w:rsidR="00D918F4">
        <w:rPr>
          <w:rFonts w:ascii="Times New Roman" w:eastAsia="Times New Roman" w:hAnsi="Times New Roman" w:cs="Times New Roman"/>
          <w:lang w:val="en-GB"/>
        </w:rPr>
        <w:t xml:space="preserve"> and </w:t>
      </w:r>
      <w:r w:rsidR="00E17AAC">
        <w:rPr>
          <w:rFonts w:ascii="Times New Roman" w:eastAsia="Times New Roman" w:hAnsi="Times New Roman" w:cs="Times New Roman"/>
          <w:lang w:val="en-GB"/>
        </w:rPr>
        <w:t xml:space="preserve">to </w:t>
      </w:r>
      <w:r w:rsidR="00D918F4">
        <w:rPr>
          <w:rFonts w:ascii="Times New Roman" w:eastAsia="Times New Roman" w:hAnsi="Times New Roman" w:cs="Times New Roman"/>
          <w:lang w:val="en-GB"/>
        </w:rPr>
        <w:t>promote more equitable</w:t>
      </w:r>
      <w:r w:rsidR="00C6285E">
        <w:rPr>
          <w:rFonts w:ascii="Times New Roman" w:eastAsia="Times New Roman" w:hAnsi="Times New Roman" w:cs="Times New Roman"/>
          <w:lang w:val="en-GB"/>
        </w:rPr>
        <w:t xml:space="preserve"> outcomes</w:t>
      </w:r>
      <w:r w:rsidR="001D2037">
        <w:rPr>
          <w:rFonts w:ascii="Times New Roman" w:eastAsia="Times New Roman" w:hAnsi="Times New Roman" w:cs="Times New Roman"/>
          <w:lang w:val="en-GB"/>
        </w:rPr>
        <w:t xml:space="preserve"> for individual patients</w:t>
      </w:r>
      <w:r w:rsidR="00C6285E">
        <w:rPr>
          <w:rFonts w:ascii="Times New Roman" w:eastAsia="Times New Roman" w:hAnsi="Times New Roman" w:cs="Times New Roman"/>
          <w:lang w:val="en-GB"/>
        </w:rPr>
        <w:t>. It also incorporates a feminist relational perspective</w:t>
      </w:r>
      <w:r w:rsidR="00504020">
        <w:rPr>
          <w:rFonts w:ascii="Times New Roman" w:eastAsia="Times New Roman" w:hAnsi="Times New Roman" w:cs="Times New Roman"/>
          <w:lang w:val="en-GB"/>
        </w:rPr>
        <w:t xml:space="preserve"> which</w:t>
      </w:r>
      <w:r w:rsidR="00C6285E">
        <w:rPr>
          <w:rFonts w:ascii="Times New Roman" w:eastAsia="Times New Roman" w:hAnsi="Times New Roman" w:cs="Times New Roman"/>
          <w:lang w:val="en-GB"/>
        </w:rPr>
        <w:t xml:space="preserve"> “looks not only at the behaviour of individual patients, providers, and administrators</w:t>
      </w:r>
      <w:r w:rsidR="00504020">
        <w:rPr>
          <w:rFonts w:ascii="Times New Roman" w:eastAsia="Times New Roman" w:hAnsi="Times New Roman" w:cs="Times New Roman"/>
          <w:lang w:val="en-GB"/>
        </w:rPr>
        <w:t xml:space="preserve">, but also at society and asks how dominant values and institutional options tend to direct individuals in particular </w:t>
      </w:r>
      <w:r w:rsidR="00504020">
        <w:rPr>
          <w:rFonts w:ascii="Times New Roman" w:eastAsia="Times New Roman" w:hAnsi="Times New Roman" w:cs="Times New Roman"/>
          <w:lang w:val="en-GB"/>
        </w:rPr>
        <w:lastRenderedPageBreak/>
        <w:t>directions despite obvious problems with these options.”</w:t>
      </w:r>
      <w:r w:rsidR="001D2037">
        <w:rPr>
          <w:rStyle w:val="FootnoteReference"/>
          <w:rFonts w:ascii="Times New Roman" w:eastAsia="Times New Roman" w:hAnsi="Times New Roman" w:cs="Times New Roman"/>
          <w:lang w:val="en-GB"/>
        </w:rPr>
        <w:footnoteReference w:id="127"/>
      </w:r>
      <w:r w:rsidR="001D2037">
        <w:rPr>
          <w:rFonts w:ascii="Times New Roman" w:eastAsia="Times New Roman" w:hAnsi="Times New Roman" w:cs="Times New Roman"/>
          <w:lang w:val="en-GB"/>
        </w:rPr>
        <w:t xml:space="preserve"> </w:t>
      </w:r>
      <w:r w:rsidR="00504020">
        <w:rPr>
          <w:rFonts w:ascii="Times New Roman" w:eastAsia="Times New Roman" w:hAnsi="Times New Roman" w:cs="Times New Roman"/>
          <w:lang w:val="en-GB"/>
        </w:rPr>
        <w:t xml:space="preserve">Sherwin is clear that this work is not </w:t>
      </w:r>
      <w:r w:rsidR="00DB1B12">
        <w:rPr>
          <w:rFonts w:ascii="Times New Roman" w:eastAsia="Times New Roman" w:hAnsi="Times New Roman" w:cs="Times New Roman"/>
          <w:lang w:val="en-GB"/>
        </w:rPr>
        <w:t xml:space="preserve">solely </w:t>
      </w:r>
      <w:r w:rsidR="00504020">
        <w:rPr>
          <w:rFonts w:ascii="Times New Roman" w:eastAsia="Times New Roman" w:hAnsi="Times New Roman" w:cs="Times New Roman"/>
          <w:lang w:val="en-GB"/>
        </w:rPr>
        <w:t xml:space="preserve">the responsibility of those who call themselves bioethicists, but she does seem to believe </w:t>
      </w:r>
      <w:r w:rsidR="005166AD">
        <w:rPr>
          <w:rFonts w:ascii="Times New Roman" w:eastAsia="Times New Roman" w:hAnsi="Times New Roman" w:cs="Times New Roman"/>
          <w:lang w:val="en-GB"/>
        </w:rPr>
        <w:t xml:space="preserve">that </w:t>
      </w:r>
      <w:r w:rsidR="00504020">
        <w:rPr>
          <w:rFonts w:ascii="Times New Roman" w:eastAsia="Times New Roman" w:hAnsi="Times New Roman" w:cs="Times New Roman"/>
          <w:lang w:val="en-GB"/>
        </w:rPr>
        <w:t xml:space="preserve">they have skills well suited to joining this important effort.     </w:t>
      </w:r>
      <w:r w:rsidR="00C6285E">
        <w:rPr>
          <w:rFonts w:ascii="Times New Roman" w:eastAsia="Times New Roman" w:hAnsi="Times New Roman" w:cs="Times New Roman"/>
          <w:lang w:val="en-GB"/>
        </w:rPr>
        <w:t xml:space="preserve"> </w:t>
      </w:r>
    </w:p>
    <w:p w14:paraId="74537425" w14:textId="7174B918" w:rsidR="004A629C" w:rsidRDefault="000121FC" w:rsidP="004A629C">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To return to the metaphor which drew us to Sherwin’s insights in the firs</w:t>
      </w:r>
      <w:r w:rsidR="001D2037">
        <w:rPr>
          <w:rFonts w:ascii="Times New Roman" w:eastAsia="Times New Roman" w:hAnsi="Times New Roman" w:cs="Times New Roman"/>
          <w:lang w:val="en-GB"/>
        </w:rPr>
        <w:t>t instance, this conception of public e</w:t>
      </w:r>
      <w:r w:rsidR="00A835BA">
        <w:rPr>
          <w:rFonts w:ascii="Times New Roman" w:eastAsia="Times New Roman" w:hAnsi="Times New Roman" w:cs="Times New Roman"/>
          <w:lang w:val="en-GB"/>
        </w:rPr>
        <w:t>thics challenges</w:t>
      </w:r>
      <w:r>
        <w:rPr>
          <w:rFonts w:ascii="Times New Roman" w:eastAsia="Times New Roman" w:hAnsi="Times New Roman" w:cs="Times New Roman"/>
          <w:lang w:val="en-GB"/>
        </w:rPr>
        <w:t xml:space="preserve"> </w:t>
      </w:r>
      <w:r w:rsidR="00DB1B12">
        <w:rPr>
          <w:rFonts w:ascii="Times New Roman" w:eastAsia="Times New Roman" w:hAnsi="Times New Roman" w:cs="Times New Roman"/>
          <w:lang w:val="en-GB"/>
        </w:rPr>
        <w:t>PHEs</w:t>
      </w:r>
      <w:r w:rsidR="00F825D8">
        <w:rPr>
          <w:rFonts w:ascii="Times New Roman" w:eastAsia="Times New Roman" w:hAnsi="Times New Roman" w:cs="Times New Roman"/>
          <w:lang w:val="en-GB"/>
        </w:rPr>
        <w:t xml:space="preserve"> </w:t>
      </w:r>
      <w:r w:rsidR="009C5DEF">
        <w:rPr>
          <w:rFonts w:ascii="Times New Roman" w:eastAsia="Times New Roman" w:hAnsi="Times New Roman" w:cs="Times New Roman"/>
          <w:lang w:val="en-GB"/>
        </w:rPr>
        <w:t xml:space="preserve">to </w:t>
      </w:r>
      <w:r w:rsidR="009824D0">
        <w:rPr>
          <w:rFonts w:ascii="Times New Roman" w:eastAsia="Times New Roman" w:hAnsi="Times New Roman" w:cs="Times New Roman"/>
          <w:lang w:val="en-GB"/>
        </w:rPr>
        <w:t>step away from the hurly-burly</w:t>
      </w:r>
      <w:r w:rsidR="00E17AAC">
        <w:rPr>
          <w:rFonts w:ascii="Times New Roman" w:eastAsia="Times New Roman" w:hAnsi="Times New Roman" w:cs="Times New Roman"/>
          <w:lang w:val="en-GB"/>
        </w:rPr>
        <w:t>, at least</w:t>
      </w:r>
      <w:r w:rsidR="009824D0">
        <w:rPr>
          <w:rFonts w:ascii="Times New Roman" w:eastAsia="Times New Roman" w:hAnsi="Times New Roman" w:cs="Times New Roman"/>
          <w:lang w:val="en-GB"/>
        </w:rPr>
        <w:t xml:space="preserve"> </w:t>
      </w:r>
      <w:r w:rsidR="00F825D8">
        <w:rPr>
          <w:rFonts w:ascii="Times New Roman" w:eastAsia="Times New Roman" w:hAnsi="Times New Roman" w:cs="Times New Roman"/>
          <w:lang w:val="en-GB"/>
        </w:rPr>
        <w:t>on occasion</w:t>
      </w:r>
      <w:r w:rsidR="00E17AAC">
        <w:rPr>
          <w:rFonts w:ascii="Times New Roman" w:eastAsia="Times New Roman" w:hAnsi="Times New Roman" w:cs="Times New Roman"/>
          <w:lang w:val="en-GB"/>
        </w:rPr>
        <w:t>,</w:t>
      </w:r>
      <w:r w:rsidR="00751126">
        <w:rPr>
          <w:rFonts w:ascii="Times New Roman" w:eastAsia="Times New Roman" w:hAnsi="Times New Roman" w:cs="Times New Roman"/>
          <w:lang w:val="en-GB"/>
        </w:rPr>
        <w:t xml:space="preserve"> in order</w:t>
      </w:r>
      <w:r w:rsidR="005166AD">
        <w:rPr>
          <w:rFonts w:ascii="Times New Roman" w:eastAsia="Times New Roman" w:hAnsi="Times New Roman" w:cs="Times New Roman"/>
          <w:lang w:val="en-GB"/>
        </w:rPr>
        <w:t xml:space="preserve"> to examine</w:t>
      </w:r>
      <w:r w:rsidR="00F825D8">
        <w:rPr>
          <w:rFonts w:ascii="Times New Roman" w:eastAsia="Times New Roman" w:hAnsi="Times New Roman" w:cs="Times New Roman"/>
          <w:lang w:val="en-GB"/>
        </w:rPr>
        <w:t xml:space="preserve"> the deeper questions that reflection</w:t>
      </w:r>
      <w:r w:rsidR="005166AD">
        <w:rPr>
          <w:rFonts w:ascii="Times New Roman" w:eastAsia="Times New Roman" w:hAnsi="Times New Roman" w:cs="Times New Roman"/>
          <w:lang w:val="en-GB"/>
        </w:rPr>
        <w:t xml:space="preserve"> on their practices might uncover</w:t>
      </w:r>
      <w:r w:rsidR="00F825D8">
        <w:rPr>
          <w:rFonts w:ascii="Times New Roman" w:eastAsia="Times New Roman" w:hAnsi="Times New Roman" w:cs="Times New Roman"/>
          <w:lang w:val="en-GB"/>
        </w:rPr>
        <w:t xml:space="preserve">. They are encouraged to join, or to initiate, </w:t>
      </w:r>
      <w:r>
        <w:rPr>
          <w:rFonts w:ascii="Times New Roman" w:eastAsia="Times New Roman" w:hAnsi="Times New Roman" w:cs="Times New Roman"/>
          <w:lang w:val="en-GB"/>
        </w:rPr>
        <w:t xml:space="preserve">a long game </w:t>
      </w:r>
      <w:r w:rsidR="00504020">
        <w:rPr>
          <w:rFonts w:ascii="Times New Roman" w:eastAsia="Times New Roman" w:hAnsi="Times New Roman" w:cs="Times New Roman"/>
          <w:lang w:val="en-GB"/>
        </w:rPr>
        <w:t>that employs the i</w:t>
      </w:r>
      <w:r w:rsidR="00491101">
        <w:rPr>
          <w:rFonts w:ascii="Times New Roman" w:eastAsia="Times New Roman" w:hAnsi="Times New Roman" w:cs="Times New Roman"/>
          <w:lang w:val="en-GB"/>
        </w:rPr>
        <w:t>nsights of relational theory to motivate “changes at all levels of human organization, both formal and informal, in pursuit of moral values.”</w:t>
      </w:r>
      <w:r w:rsidR="001D2037">
        <w:rPr>
          <w:rStyle w:val="FootnoteReference"/>
          <w:rFonts w:ascii="Times New Roman" w:eastAsia="Times New Roman" w:hAnsi="Times New Roman" w:cs="Times New Roman"/>
          <w:lang w:val="en-GB"/>
        </w:rPr>
        <w:footnoteReference w:id="128"/>
      </w:r>
      <w:r w:rsidR="00900C32">
        <w:rPr>
          <w:rFonts w:ascii="Times New Roman" w:eastAsia="Times New Roman" w:hAnsi="Times New Roman" w:cs="Times New Roman"/>
          <w:lang w:val="en-GB"/>
        </w:rPr>
        <w:t xml:space="preserve"> </w:t>
      </w:r>
      <w:r w:rsidR="00491101">
        <w:rPr>
          <w:rFonts w:ascii="Times New Roman" w:eastAsia="Times New Roman" w:hAnsi="Times New Roman" w:cs="Times New Roman"/>
          <w:lang w:val="en-GB"/>
        </w:rPr>
        <w:t xml:space="preserve">The scope of the project, </w:t>
      </w:r>
      <w:r w:rsidR="009C5DEF">
        <w:rPr>
          <w:rFonts w:ascii="Times New Roman" w:eastAsia="Times New Roman" w:hAnsi="Times New Roman" w:cs="Times New Roman"/>
          <w:lang w:val="en-GB"/>
        </w:rPr>
        <w:t xml:space="preserve">however, </w:t>
      </w:r>
      <w:r w:rsidR="00491101">
        <w:rPr>
          <w:rFonts w:ascii="Times New Roman" w:eastAsia="Times New Roman" w:hAnsi="Times New Roman" w:cs="Times New Roman"/>
          <w:lang w:val="en-GB"/>
        </w:rPr>
        <w:t>like the difficulties it seeks to address, is not modest.</w:t>
      </w:r>
      <w:r w:rsidR="004A629C">
        <w:rPr>
          <w:rFonts w:ascii="Times New Roman" w:eastAsia="Times New Roman" w:hAnsi="Times New Roman" w:cs="Times New Roman"/>
          <w:lang w:val="en-GB"/>
        </w:rPr>
        <w:t xml:space="preserve"> In Sherwin’s words, “[w]e must think not only about how to change the individual patient or her provider (as is the pattern in non-relational bioethics) but also how to change society.”</w:t>
      </w:r>
      <w:r w:rsidR="00900C32">
        <w:rPr>
          <w:rStyle w:val="FootnoteReference"/>
          <w:rFonts w:ascii="Times New Roman" w:eastAsia="Times New Roman" w:hAnsi="Times New Roman" w:cs="Times New Roman"/>
          <w:lang w:val="en-GB"/>
        </w:rPr>
        <w:footnoteReference w:id="129"/>
      </w:r>
      <w:r w:rsidR="004A629C">
        <w:rPr>
          <w:rFonts w:ascii="Times New Roman" w:eastAsia="Times New Roman" w:hAnsi="Times New Roman" w:cs="Times New Roman"/>
          <w:lang w:val="en-GB"/>
        </w:rPr>
        <w:t xml:space="preserve"> </w:t>
      </w:r>
      <w:r w:rsidR="00491101">
        <w:rPr>
          <w:rFonts w:ascii="Times New Roman" w:eastAsia="Times New Roman" w:hAnsi="Times New Roman" w:cs="Times New Roman"/>
          <w:lang w:val="en-GB"/>
        </w:rPr>
        <w:t xml:space="preserve">  </w:t>
      </w:r>
    </w:p>
    <w:p w14:paraId="409B92B9" w14:textId="77777777" w:rsidR="0096138F" w:rsidRDefault="0096138F" w:rsidP="004A629C">
      <w:pPr>
        <w:pStyle w:val="Body1"/>
        <w:spacing w:line="480" w:lineRule="auto"/>
        <w:ind w:firstLine="720"/>
        <w:rPr>
          <w:rFonts w:ascii="Times New Roman" w:eastAsia="Times New Roman" w:hAnsi="Times New Roman" w:cs="Times New Roman"/>
          <w:lang w:val="en-GB"/>
        </w:rPr>
      </w:pPr>
    </w:p>
    <w:p w14:paraId="2B58909C" w14:textId="77777777" w:rsidR="009C5DEF" w:rsidRPr="009C5DEF" w:rsidRDefault="009C5DEF" w:rsidP="009C5DEF">
      <w:pPr>
        <w:pStyle w:val="Body1"/>
        <w:spacing w:line="480" w:lineRule="auto"/>
        <w:rPr>
          <w:rFonts w:ascii="Times New Roman" w:eastAsia="Times New Roman" w:hAnsi="Times New Roman" w:cs="Times New Roman"/>
          <w:i/>
          <w:lang w:val="en-GB"/>
        </w:rPr>
      </w:pPr>
      <w:r w:rsidRPr="009C5DEF">
        <w:rPr>
          <w:rFonts w:ascii="Times New Roman" w:eastAsia="Times New Roman" w:hAnsi="Times New Roman" w:cs="Times New Roman"/>
          <w:i/>
          <w:lang w:val="en-GB"/>
        </w:rPr>
        <w:t>“Wicked problems”</w:t>
      </w:r>
      <w:r w:rsidR="000715BF">
        <w:rPr>
          <w:rFonts w:ascii="Times New Roman" w:eastAsia="Times New Roman" w:hAnsi="Times New Roman" w:cs="Times New Roman"/>
          <w:i/>
          <w:lang w:val="en-GB"/>
        </w:rPr>
        <w:t xml:space="preserve"> </w:t>
      </w:r>
      <w:r w:rsidR="00B70580">
        <w:rPr>
          <w:rFonts w:ascii="Times New Roman" w:eastAsia="Times New Roman" w:hAnsi="Times New Roman" w:cs="Times New Roman"/>
          <w:i/>
          <w:lang w:val="en-GB"/>
        </w:rPr>
        <w:t>and virtuous solutions: Beyond bioethics’ b</w:t>
      </w:r>
      <w:r w:rsidR="000715BF">
        <w:rPr>
          <w:rFonts w:ascii="Times New Roman" w:eastAsia="Times New Roman" w:hAnsi="Times New Roman" w:cs="Times New Roman"/>
          <w:i/>
          <w:lang w:val="en-GB"/>
        </w:rPr>
        <w:t xml:space="preserve">oundaries? </w:t>
      </w:r>
      <w:r>
        <w:rPr>
          <w:rFonts w:ascii="Times New Roman" w:eastAsia="Times New Roman" w:hAnsi="Times New Roman" w:cs="Times New Roman"/>
          <w:i/>
          <w:lang w:val="en-GB"/>
        </w:rPr>
        <w:t xml:space="preserve"> </w:t>
      </w:r>
    </w:p>
    <w:p w14:paraId="7FB07C7F" w14:textId="31C14BA5" w:rsidR="00446AD0" w:rsidRDefault="006D7E22" w:rsidP="00446AD0">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Although her article wa</w:t>
      </w:r>
      <w:r w:rsidR="004A629C">
        <w:rPr>
          <w:rFonts w:ascii="Times New Roman" w:eastAsia="Times New Roman" w:hAnsi="Times New Roman" w:cs="Times New Roman"/>
          <w:lang w:val="en-GB"/>
        </w:rPr>
        <w:t xml:space="preserve">s written more than a decade </w:t>
      </w:r>
      <w:r>
        <w:rPr>
          <w:rFonts w:ascii="Times New Roman" w:eastAsia="Times New Roman" w:hAnsi="Times New Roman" w:cs="Times New Roman"/>
          <w:lang w:val="en-GB"/>
        </w:rPr>
        <w:t xml:space="preserve">ago, Sherwin’s analysis was prescient as </w:t>
      </w:r>
      <w:r w:rsidR="00F019A2">
        <w:rPr>
          <w:rFonts w:ascii="Times New Roman" w:eastAsia="Times New Roman" w:hAnsi="Times New Roman" w:cs="Times New Roman"/>
          <w:lang w:val="en-GB"/>
        </w:rPr>
        <w:t xml:space="preserve">there has been a growing interest </w:t>
      </w:r>
      <w:r w:rsidR="00C90E27">
        <w:rPr>
          <w:rFonts w:ascii="Times New Roman" w:eastAsia="Times New Roman" w:hAnsi="Times New Roman" w:cs="Times New Roman"/>
          <w:lang w:val="en-GB"/>
        </w:rPr>
        <w:t>of-</w:t>
      </w:r>
      <w:r w:rsidR="00456B87">
        <w:rPr>
          <w:rFonts w:ascii="Times New Roman" w:eastAsia="Times New Roman" w:hAnsi="Times New Roman" w:cs="Times New Roman"/>
          <w:lang w:val="en-GB"/>
        </w:rPr>
        <w:t xml:space="preserve">late </w:t>
      </w:r>
      <w:r w:rsidR="00F019A2">
        <w:rPr>
          <w:rFonts w:ascii="Times New Roman" w:eastAsia="Times New Roman" w:hAnsi="Times New Roman" w:cs="Times New Roman"/>
          <w:lang w:val="en-GB"/>
        </w:rPr>
        <w:t xml:space="preserve">in </w:t>
      </w:r>
      <w:r w:rsidR="00BF387B">
        <w:rPr>
          <w:rFonts w:ascii="Times New Roman" w:eastAsia="Times New Roman" w:hAnsi="Times New Roman" w:cs="Times New Roman"/>
          <w:lang w:val="en-GB"/>
        </w:rPr>
        <w:t xml:space="preserve">health care’s </w:t>
      </w:r>
      <w:r w:rsidR="00456B87">
        <w:rPr>
          <w:rFonts w:ascii="Times New Roman" w:eastAsia="Times New Roman" w:hAnsi="Times New Roman" w:cs="Times New Roman"/>
          <w:lang w:val="en-GB"/>
        </w:rPr>
        <w:t xml:space="preserve">so-called wicked problems. Despite the </w:t>
      </w:r>
      <w:r w:rsidR="000715BF">
        <w:rPr>
          <w:rFonts w:ascii="Times New Roman" w:eastAsia="Times New Roman" w:hAnsi="Times New Roman" w:cs="Times New Roman"/>
          <w:lang w:val="en-GB"/>
        </w:rPr>
        <w:t xml:space="preserve">suggestive </w:t>
      </w:r>
      <w:r w:rsidR="00456B87">
        <w:rPr>
          <w:rFonts w:ascii="Times New Roman" w:eastAsia="Times New Roman" w:hAnsi="Times New Roman" w:cs="Times New Roman"/>
          <w:lang w:val="en-GB"/>
        </w:rPr>
        <w:t xml:space="preserve">name, these are not problems </w:t>
      </w:r>
      <w:r w:rsidR="00456B87">
        <w:rPr>
          <w:rFonts w:ascii="Times New Roman" w:eastAsia="Times New Roman" w:hAnsi="Times New Roman" w:cs="Times New Roman"/>
          <w:lang w:val="en-GB"/>
        </w:rPr>
        <w:lastRenderedPageBreak/>
        <w:t xml:space="preserve">that are generated by particularly </w:t>
      </w:r>
      <w:r w:rsidR="00751126">
        <w:rPr>
          <w:rFonts w:ascii="Times New Roman" w:eastAsia="Times New Roman" w:hAnsi="Times New Roman" w:cs="Times New Roman"/>
          <w:lang w:val="en-GB"/>
        </w:rPr>
        <w:t>malicious</w:t>
      </w:r>
      <w:r w:rsidR="00456B87">
        <w:rPr>
          <w:rFonts w:ascii="Times New Roman" w:eastAsia="Times New Roman" w:hAnsi="Times New Roman" w:cs="Times New Roman"/>
          <w:lang w:val="en-GB"/>
        </w:rPr>
        <w:t xml:space="preserve"> actors</w:t>
      </w:r>
      <w:r w:rsidR="00532446">
        <w:rPr>
          <w:rFonts w:ascii="Times New Roman" w:eastAsia="Times New Roman" w:hAnsi="Times New Roman" w:cs="Times New Roman"/>
          <w:lang w:val="en-GB"/>
        </w:rPr>
        <w:t xml:space="preserve">, nor need they be </w:t>
      </w:r>
      <w:r w:rsidR="00456B87">
        <w:rPr>
          <w:rFonts w:ascii="Times New Roman" w:eastAsia="Times New Roman" w:hAnsi="Times New Roman" w:cs="Times New Roman"/>
          <w:lang w:val="en-GB"/>
        </w:rPr>
        <w:t>problems that s</w:t>
      </w:r>
      <w:r w:rsidR="00532446">
        <w:rPr>
          <w:rFonts w:ascii="Times New Roman" w:eastAsia="Times New Roman" w:hAnsi="Times New Roman" w:cs="Times New Roman"/>
          <w:lang w:val="en-GB"/>
        </w:rPr>
        <w:t>t</w:t>
      </w:r>
      <w:r w:rsidR="00A55830">
        <w:rPr>
          <w:rFonts w:ascii="Times New Roman" w:eastAsia="Times New Roman" w:hAnsi="Times New Roman" w:cs="Times New Roman"/>
          <w:lang w:val="en-GB"/>
        </w:rPr>
        <w:t>rike one as especially evil</w:t>
      </w:r>
      <w:r w:rsidR="00456B87">
        <w:rPr>
          <w:rFonts w:ascii="Times New Roman" w:eastAsia="Times New Roman" w:hAnsi="Times New Roman" w:cs="Times New Roman"/>
          <w:lang w:val="en-GB"/>
        </w:rPr>
        <w:t>.</w:t>
      </w:r>
      <w:r w:rsidR="00532446">
        <w:rPr>
          <w:rFonts w:ascii="Times New Roman" w:eastAsia="Times New Roman" w:hAnsi="Times New Roman" w:cs="Times New Roman"/>
          <w:lang w:val="en-GB"/>
        </w:rPr>
        <w:t xml:space="preserve"> The phrase is borrowed from a landmark paper on social planning by </w:t>
      </w:r>
      <w:r w:rsidR="000715BF">
        <w:rPr>
          <w:rFonts w:ascii="Times New Roman" w:eastAsia="Times New Roman" w:hAnsi="Times New Roman" w:cs="Times New Roman"/>
          <w:lang w:val="en-GB"/>
        </w:rPr>
        <w:t xml:space="preserve">Horst Rittel and Melvin Webber </w:t>
      </w:r>
      <w:r w:rsidR="00532446">
        <w:rPr>
          <w:rFonts w:ascii="Times New Roman" w:eastAsia="Times New Roman" w:hAnsi="Times New Roman" w:cs="Times New Roman"/>
          <w:lang w:val="en-GB"/>
        </w:rPr>
        <w:t xml:space="preserve">who sought a memorable term to </w:t>
      </w:r>
      <w:r w:rsidR="000715BF">
        <w:rPr>
          <w:rFonts w:ascii="Times New Roman" w:eastAsia="Times New Roman" w:hAnsi="Times New Roman" w:cs="Times New Roman"/>
          <w:lang w:val="en-GB"/>
        </w:rPr>
        <w:t xml:space="preserve">describe </w:t>
      </w:r>
      <w:r w:rsidR="00D35D04">
        <w:rPr>
          <w:rFonts w:ascii="Times New Roman" w:eastAsia="Times New Roman" w:hAnsi="Times New Roman" w:cs="Times New Roman"/>
          <w:lang w:val="en-GB"/>
        </w:rPr>
        <w:t>challenges</w:t>
      </w:r>
      <w:r w:rsidR="00590A71">
        <w:rPr>
          <w:rFonts w:ascii="Times New Roman" w:eastAsia="Times New Roman" w:hAnsi="Times New Roman" w:cs="Times New Roman"/>
          <w:lang w:val="en-GB"/>
        </w:rPr>
        <w:t xml:space="preserve"> which are </w:t>
      </w:r>
      <w:r w:rsidR="00670118">
        <w:rPr>
          <w:rFonts w:ascii="Times New Roman" w:eastAsia="Times New Roman" w:hAnsi="Times New Roman" w:cs="Times New Roman"/>
          <w:lang w:val="en-GB"/>
        </w:rPr>
        <w:t xml:space="preserve">unique, </w:t>
      </w:r>
      <w:r w:rsidR="00590A71">
        <w:rPr>
          <w:rFonts w:ascii="Times New Roman" w:eastAsia="Times New Roman" w:hAnsi="Times New Roman" w:cs="Times New Roman"/>
          <w:lang w:val="en-GB"/>
        </w:rPr>
        <w:t>difficult to define, lack</w:t>
      </w:r>
      <w:r w:rsidR="00F825D8">
        <w:rPr>
          <w:rFonts w:ascii="Times New Roman" w:eastAsia="Times New Roman" w:hAnsi="Times New Roman" w:cs="Times New Roman"/>
          <w:lang w:val="en-GB"/>
        </w:rPr>
        <w:t>ing</w:t>
      </w:r>
      <w:r w:rsidR="00590A71">
        <w:rPr>
          <w:rFonts w:ascii="Times New Roman" w:eastAsia="Times New Roman" w:hAnsi="Times New Roman" w:cs="Times New Roman"/>
          <w:lang w:val="en-GB"/>
        </w:rPr>
        <w:t xml:space="preserve"> uncontroversial descriptions or definitions, and </w:t>
      </w:r>
      <w:r w:rsidR="00F825D8">
        <w:rPr>
          <w:rFonts w:ascii="Times New Roman" w:eastAsia="Times New Roman" w:hAnsi="Times New Roman" w:cs="Times New Roman"/>
          <w:lang w:val="en-GB"/>
        </w:rPr>
        <w:t xml:space="preserve">impossible </w:t>
      </w:r>
      <w:r w:rsidR="00A835BA">
        <w:rPr>
          <w:rFonts w:ascii="Times New Roman" w:eastAsia="Times New Roman" w:hAnsi="Times New Roman" w:cs="Times New Roman"/>
          <w:lang w:val="en-GB"/>
        </w:rPr>
        <w:t xml:space="preserve">to </w:t>
      </w:r>
      <w:r w:rsidR="00F825D8">
        <w:rPr>
          <w:rFonts w:ascii="Times New Roman" w:eastAsia="Times New Roman" w:hAnsi="Times New Roman" w:cs="Times New Roman"/>
          <w:lang w:val="en-GB"/>
        </w:rPr>
        <w:t>address</w:t>
      </w:r>
      <w:r w:rsidR="009A4734">
        <w:rPr>
          <w:rFonts w:ascii="Times New Roman" w:eastAsia="Times New Roman" w:hAnsi="Times New Roman" w:cs="Times New Roman"/>
          <w:lang w:val="en-GB"/>
        </w:rPr>
        <w:t xml:space="preserve"> </w:t>
      </w:r>
      <w:r w:rsidR="00A835BA">
        <w:rPr>
          <w:rFonts w:ascii="Times New Roman" w:eastAsia="Times New Roman" w:hAnsi="Times New Roman" w:cs="Times New Roman"/>
          <w:lang w:val="en-GB"/>
        </w:rPr>
        <w:t xml:space="preserve">adequately </w:t>
      </w:r>
      <w:r w:rsidR="009A4734">
        <w:rPr>
          <w:rFonts w:ascii="Times New Roman" w:eastAsia="Times New Roman" w:hAnsi="Times New Roman" w:cs="Times New Roman"/>
          <w:lang w:val="en-GB"/>
        </w:rPr>
        <w:t>without</w:t>
      </w:r>
      <w:r w:rsidR="00590A71">
        <w:rPr>
          <w:rFonts w:ascii="Times New Roman" w:eastAsia="Times New Roman" w:hAnsi="Times New Roman" w:cs="Times New Roman"/>
          <w:lang w:val="en-GB"/>
        </w:rPr>
        <w:t xml:space="preserve"> engagement from multiple and diverse kinds of stakeholders. </w:t>
      </w:r>
      <w:r w:rsidR="00D35D04">
        <w:rPr>
          <w:rFonts w:ascii="Times New Roman" w:eastAsia="Times New Roman" w:hAnsi="Times New Roman" w:cs="Times New Roman"/>
          <w:lang w:val="en-GB"/>
        </w:rPr>
        <w:t xml:space="preserve">According to their theory, </w:t>
      </w:r>
      <w:r w:rsidR="00590A71">
        <w:rPr>
          <w:rFonts w:ascii="Times New Roman" w:eastAsia="Times New Roman" w:hAnsi="Times New Roman" w:cs="Times New Roman"/>
          <w:lang w:val="en-GB"/>
        </w:rPr>
        <w:t>those who identify such problems will not be able to articulate what success might consist in</w:t>
      </w:r>
      <w:r w:rsidR="009A4734">
        <w:rPr>
          <w:rFonts w:ascii="Times New Roman" w:eastAsia="Times New Roman" w:hAnsi="Times New Roman" w:cs="Times New Roman"/>
          <w:lang w:val="en-GB"/>
        </w:rPr>
        <w:t xml:space="preserve"> </w:t>
      </w:r>
      <w:r w:rsidR="001E1820">
        <w:rPr>
          <w:rFonts w:ascii="Times New Roman" w:eastAsia="Times New Roman" w:hAnsi="Times New Roman" w:cs="Times New Roman"/>
          <w:lang w:val="en-GB"/>
        </w:rPr>
        <w:t>without appeal to the values that prompted the inquiry</w:t>
      </w:r>
      <w:r w:rsidR="00C90E27">
        <w:rPr>
          <w:rFonts w:ascii="Times New Roman" w:eastAsia="Times New Roman" w:hAnsi="Times New Roman" w:cs="Times New Roman"/>
          <w:lang w:val="en-GB"/>
        </w:rPr>
        <w:t xml:space="preserve"> in the first instance</w:t>
      </w:r>
      <w:r w:rsidR="00590A71">
        <w:rPr>
          <w:rFonts w:ascii="Times New Roman" w:eastAsia="Times New Roman" w:hAnsi="Times New Roman" w:cs="Times New Roman"/>
          <w:lang w:val="en-GB"/>
        </w:rPr>
        <w:t xml:space="preserve"> (</w:t>
      </w:r>
      <w:r w:rsidR="00A83B9C">
        <w:rPr>
          <w:rFonts w:ascii="Times New Roman" w:eastAsia="Times New Roman" w:hAnsi="Times New Roman" w:cs="Times New Roman"/>
          <w:lang w:val="en-GB"/>
        </w:rPr>
        <w:t xml:space="preserve">nor, </w:t>
      </w:r>
      <w:r w:rsidR="00590A71">
        <w:rPr>
          <w:rFonts w:ascii="Times New Roman" w:eastAsia="Times New Roman" w:hAnsi="Times New Roman" w:cs="Times New Roman"/>
          <w:lang w:val="en-GB"/>
        </w:rPr>
        <w:t xml:space="preserve">to use </w:t>
      </w:r>
      <w:r w:rsidR="00A452CA">
        <w:rPr>
          <w:rFonts w:ascii="Times New Roman" w:eastAsia="Times New Roman" w:hAnsi="Times New Roman" w:cs="Times New Roman"/>
          <w:lang w:val="en-GB"/>
        </w:rPr>
        <w:t>Rittel</w:t>
      </w:r>
      <w:r w:rsidR="00590A71">
        <w:rPr>
          <w:rFonts w:ascii="Times New Roman" w:eastAsia="Times New Roman" w:hAnsi="Times New Roman" w:cs="Times New Roman"/>
          <w:lang w:val="en-GB"/>
        </w:rPr>
        <w:t xml:space="preserve"> and Webber’s phrase</w:t>
      </w:r>
      <w:r w:rsidR="00A83B9C">
        <w:rPr>
          <w:rFonts w:ascii="Times New Roman" w:eastAsia="Times New Roman" w:hAnsi="Times New Roman" w:cs="Times New Roman"/>
          <w:lang w:val="en-GB"/>
        </w:rPr>
        <w:t>, do</w:t>
      </w:r>
      <w:r w:rsidR="00590A71">
        <w:rPr>
          <w:rFonts w:ascii="Times New Roman" w:eastAsia="Times New Roman" w:hAnsi="Times New Roman" w:cs="Times New Roman"/>
          <w:lang w:val="en-GB"/>
        </w:rPr>
        <w:t xml:space="preserve"> </w:t>
      </w:r>
      <w:r w:rsidR="00A83B9C">
        <w:rPr>
          <w:rFonts w:ascii="Times New Roman" w:eastAsia="Times New Roman" w:hAnsi="Times New Roman" w:cs="Times New Roman"/>
          <w:lang w:val="en-GB"/>
        </w:rPr>
        <w:t xml:space="preserve">these problems allow </w:t>
      </w:r>
      <w:r w:rsidR="00590A71">
        <w:rPr>
          <w:rFonts w:ascii="Times New Roman" w:eastAsia="Times New Roman" w:hAnsi="Times New Roman" w:cs="Times New Roman"/>
          <w:lang w:val="en-GB"/>
        </w:rPr>
        <w:t>“stopping rules”</w:t>
      </w:r>
      <w:r w:rsidR="00A83B9C">
        <w:rPr>
          <w:rFonts w:ascii="Times New Roman" w:eastAsia="Times New Roman" w:hAnsi="Times New Roman" w:cs="Times New Roman"/>
          <w:lang w:val="en-GB"/>
        </w:rPr>
        <w:t xml:space="preserve"> that allow the social planner to know that the project is complete)</w:t>
      </w:r>
      <w:r w:rsidR="00C90E27">
        <w:rPr>
          <w:rFonts w:ascii="Times New Roman" w:eastAsia="Times New Roman" w:hAnsi="Times New Roman" w:cs="Times New Roman"/>
          <w:lang w:val="en-GB"/>
        </w:rPr>
        <w:t>. B</w:t>
      </w:r>
      <w:r w:rsidR="00FA3643">
        <w:rPr>
          <w:rFonts w:ascii="Times New Roman" w:eastAsia="Times New Roman" w:hAnsi="Times New Roman" w:cs="Times New Roman"/>
          <w:lang w:val="en-GB"/>
        </w:rPr>
        <w:t>ec</w:t>
      </w:r>
      <w:r w:rsidR="00E17AAC">
        <w:rPr>
          <w:rFonts w:ascii="Times New Roman" w:eastAsia="Times New Roman" w:hAnsi="Times New Roman" w:cs="Times New Roman"/>
          <w:lang w:val="en-GB"/>
        </w:rPr>
        <w:t>ause of interdependencies between</w:t>
      </w:r>
      <w:r w:rsidR="00FA3643">
        <w:rPr>
          <w:rFonts w:ascii="Times New Roman" w:eastAsia="Times New Roman" w:hAnsi="Times New Roman" w:cs="Times New Roman"/>
          <w:lang w:val="en-GB"/>
        </w:rPr>
        <w:t xml:space="preserve"> systems, </w:t>
      </w:r>
      <w:r w:rsidR="00590A71">
        <w:rPr>
          <w:rFonts w:ascii="Times New Roman" w:eastAsia="Times New Roman" w:hAnsi="Times New Roman" w:cs="Times New Roman"/>
          <w:lang w:val="en-GB"/>
        </w:rPr>
        <w:t xml:space="preserve">every </w:t>
      </w:r>
      <w:r w:rsidR="00C61EFB">
        <w:rPr>
          <w:rFonts w:ascii="Times New Roman" w:eastAsia="Times New Roman" w:hAnsi="Times New Roman" w:cs="Times New Roman"/>
          <w:lang w:val="en-GB"/>
        </w:rPr>
        <w:t>problem can be understood as a symptom of yet another problem</w:t>
      </w:r>
      <w:r w:rsidR="00C90E27">
        <w:rPr>
          <w:rFonts w:ascii="Times New Roman" w:eastAsia="Times New Roman" w:hAnsi="Times New Roman" w:cs="Times New Roman"/>
          <w:lang w:val="en-GB"/>
        </w:rPr>
        <w:t>, and an effort to address one may have serious and unintended consequences for another</w:t>
      </w:r>
      <w:r w:rsidR="00C61EFB">
        <w:rPr>
          <w:rFonts w:ascii="Times New Roman" w:eastAsia="Times New Roman" w:hAnsi="Times New Roman" w:cs="Times New Roman"/>
          <w:lang w:val="en-GB"/>
        </w:rPr>
        <w:t xml:space="preserve">. </w:t>
      </w:r>
      <w:r w:rsidR="00A83B9C">
        <w:rPr>
          <w:rFonts w:ascii="Times New Roman" w:eastAsia="Times New Roman" w:hAnsi="Times New Roman" w:cs="Times New Roman"/>
          <w:lang w:val="en-GB"/>
        </w:rPr>
        <w:t xml:space="preserve">Finally, </w:t>
      </w:r>
      <w:r w:rsidR="00E21927">
        <w:rPr>
          <w:rFonts w:ascii="Times New Roman" w:eastAsia="Times New Roman" w:hAnsi="Times New Roman" w:cs="Times New Roman"/>
          <w:lang w:val="en-GB"/>
        </w:rPr>
        <w:t xml:space="preserve">despite the fact that she has no ability to </w:t>
      </w:r>
      <w:r w:rsidR="00D973A4">
        <w:rPr>
          <w:rFonts w:ascii="Times New Roman" w:eastAsia="Times New Roman" w:hAnsi="Times New Roman" w:cs="Times New Roman"/>
          <w:lang w:val="en-GB"/>
        </w:rPr>
        <w:t>undo what</w:t>
      </w:r>
      <w:r w:rsidR="00E21927">
        <w:rPr>
          <w:rFonts w:ascii="Times New Roman" w:eastAsia="Times New Roman" w:hAnsi="Times New Roman" w:cs="Times New Roman"/>
          <w:lang w:val="en-GB"/>
        </w:rPr>
        <w:t xml:space="preserve"> she has done, </w:t>
      </w:r>
      <w:r w:rsidR="00A83B9C">
        <w:rPr>
          <w:rFonts w:ascii="Times New Roman" w:eastAsia="Times New Roman" w:hAnsi="Times New Roman" w:cs="Times New Roman"/>
          <w:lang w:val="en-GB"/>
        </w:rPr>
        <w:t>the planner</w:t>
      </w:r>
      <w:r w:rsidR="008D2E8A">
        <w:rPr>
          <w:rFonts w:ascii="Times New Roman" w:eastAsia="Times New Roman" w:hAnsi="Times New Roman" w:cs="Times New Roman"/>
          <w:lang w:val="en-GB"/>
        </w:rPr>
        <w:t xml:space="preserve"> </w:t>
      </w:r>
      <w:r w:rsidR="00A83B9C">
        <w:rPr>
          <w:rFonts w:ascii="Times New Roman" w:eastAsia="Times New Roman" w:hAnsi="Times New Roman" w:cs="Times New Roman"/>
          <w:lang w:val="en-GB"/>
        </w:rPr>
        <w:t xml:space="preserve">has “no right to be wrong” because the effects of her interventions </w:t>
      </w:r>
      <w:r w:rsidR="005166AD">
        <w:rPr>
          <w:rFonts w:ascii="Times New Roman" w:eastAsia="Times New Roman" w:hAnsi="Times New Roman" w:cs="Times New Roman"/>
          <w:lang w:val="en-GB"/>
        </w:rPr>
        <w:t xml:space="preserve">are likely to </w:t>
      </w:r>
      <w:r w:rsidR="00E21927">
        <w:rPr>
          <w:rFonts w:ascii="Times New Roman" w:eastAsia="Times New Roman" w:hAnsi="Times New Roman" w:cs="Times New Roman"/>
          <w:lang w:val="en-GB"/>
        </w:rPr>
        <w:t xml:space="preserve">be </w:t>
      </w:r>
      <w:r w:rsidR="00C61EFB">
        <w:rPr>
          <w:rFonts w:ascii="Times New Roman" w:eastAsia="Times New Roman" w:hAnsi="Times New Roman" w:cs="Times New Roman"/>
          <w:lang w:val="en-GB"/>
        </w:rPr>
        <w:t xml:space="preserve">significant and </w:t>
      </w:r>
      <w:r w:rsidR="00EF7D63">
        <w:rPr>
          <w:rFonts w:ascii="Times New Roman" w:eastAsia="Times New Roman" w:hAnsi="Times New Roman" w:cs="Times New Roman"/>
          <w:lang w:val="en-GB"/>
        </w:rPr>
        <w:t xml:space="preserve">far reaching. </w:t>
      </w:r>
      <w:r w:rsidR="00E21927">
        <w:rPr>
          <w:rFonts w:ascii="Times New Roman" w:eastAsia="Times New Roman" w:hAnsi="Times New Roman" w:cs="Times New Roman"/>
          <w:lang w:val="en-GB"/>
        </w:rPr>
        <w:t xml:space="preserve">Wicked problems stand in sharp contrast with </w:t>
      </w:r>
      <w:r w:rsidR="00711E0B">
        <w:rPr>
          <w:rFonts w:ascii="Times New Roman" w:eastAsia="Times New Roman" w:hAnsi="Times New Roman" w:cs="Times New Roman"/>
          <w:lang w:val="en-GB"/>
        </w:rPr>
        <w:t xml:space="preserve">the </w:t>
      </w:r>
      <w:r w:rsidR="00E21927">
        <w:rPr>
          <w:rFonts w:ascii="Times New Roman" w:eastAsia="Times New Roman" w:hAnsi="Times New Roman" w:cs="Times New Roman"/>
          <w:lang w:val="en-GB"/>
        </w:rPr>
        <w:t>“</w:t>
      </w:r>
      <w:r w:rsidR="00532446">
        <w:rPr>
          <w:rFonts w:ascii="Times New Roman" w:eastAsia="Times New Roman" w:hAnsi="Times New Roman" w:cs="Times New Roman"/>
          <w:lang w:val="en-GB"/>
        </w:rPr>
        <w:t xml:space="preserve">tame </w:t>
      </w:r>
      <w:r w:rsidR="00711E0B">
        <w:rPr>
          <w:rFonts w:ascii="Times New Roman" w:eastAsia="Times New Roman" w:hAnsi="Times New Roman" w:cs="Times New Roman"/>
          <w:lang w:val="en-GB"/>
        </w:rPr>
        <w:t>or benign</w:t>
      </w:r>
      <w:r w:rsidR="00E21927">
        <w:rPr>
          <w:rFonts w:ascii="Times New Roman" w:eastAsia="Times New Roman" w:hAnsi="Times New Roman" w:cs="Times New Roman"/>
          <w:lang w:val="en-GB"/>
        </w:rPr>
        <w:t>”</w:t>
      </w:r>
      <w:r w:rsidR="00711E0B">
        <w:rPr>
          <w:rFonts w:ascii="Times New Roman" w:eastAsia="Times New Roman" w:hAnsi="Times New Roman" w:cs="Times New Roman"/>
          <w:lang w:val="en-GB"/>
        </w:rPr>
        <w:t xml:space="preserve"> challenges faced by natural scientists and engineers</w:t>
      </w:r>
      <w:r w:rsidR="00473E87">
        <w:rPr>
          <w:rFonts w:ascii="Times New Roman" w:eastAsia="Times New Roman" w:hAnsi="Times New Roman" w:cs="Times New Roman"/>
          <w:lang w:val="en-GB"/>
        </w:rPr>
        <w:t xml:space="preserve"> for </w:t>
      </w:r>
      <w:r w:rsidR="005166AD">
        <w:rPr>
          <w:rFonts w:ascii="Times New Roman" w:eastAsia="Times New Roman" w:hAnsi="Times New Roman" w:cs="Times New Roman"/>
          <w:lang w:val="en-GB"/>
        </w:rPr>
        <w:t>whom</w:t>
      </w:r>
      <w:r w:rsidR="00787E93">
        <w:rPr>
          <w:rFonts w:ascii="Times New Roman" w:eastAsia="Times New Roman" w:hAnsi="Times New Roman" w:cs="Times New Roman"/>
          <w:lang w:val="en-GB"/>
        </w:rPr>
        <w:t xml:space="preserve"> “the mission is clear . . . </w:t>
      </w:r>
      <w:r w:rsidR="00473E87">
        <w:rPr>
          <w:rFonts w:ascii="Times New Roman" w:eastAsia="Times New Roman" w:hAnsi="Times New Roman" w:cs="Times New Roman"/>
          <w:lang w:val="en-GB"/>
        </w:rPr>
        <w:t>whether or not the problems have been solved.”</w:t>
      </w:r>
      <w:r w:rsidR="00446AD0">
        <w:rPr>
          <w:rStyle w:val="FootnoteReference"/>
          <w:rFonts w:ascii="Times New Roman" w:eastAsia="Times New Roman" w:hAnsi="Times New Roman" w:cs="Times New Roman"/>
          <w:lang w:val="en-GB"/>
        </w:rPr>
        <w:footnoteReference w:id="130"/>
      </w:r>
      <w:r w:rsidR="00473E87">
        <w:rPr>
          <w:rFonts w:ascii="Times New Roman" w:eastAsia="Times New Roman" w:hAnsi="Times New Roman" w:cs="Times New Roman"/>
          <w:lang w:val="en-GB"/>
        </w:rPr>
        <w:t xml:space="preserve"> </w:t>
      </w:r>
    </w:p>
    <w:p w14:paraId="30A50D72" w14:textId="5F7FCD62" w:rsidR="00861B63" w:rsidRDefault="00D35D04" w:rsidP="00446AD0">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 xml:space="preserve">The wicked problems literature, once </w:t>
      </w:r>
      <w:r w:rsidR="00D52310">
        <w:rPr>
          <w:rFonts w:ascii="Times New Roman" w:eastAsia="Times New Roman" w:hAnsi="Times New Roman" w:cs="Times New Roman"/>
          <w:lang w:val="en-GB"/>
        </w:rPr>
        <w:t>largely of interest to social planners and</w:t>
      </w:r>
      <w:r>
        <w:rPr>
          <w:rFonts w:ascii="Times New Roman" w:eastAsia="Times New Roman" w:hAnsi="Times New Roman" w:cs="Times New Roman"/>
          <w:lang w:val="en-GB"/>
        </w:rPr>
        <w:t xml:space="preserve"> </w:t>
      </w:r>
      <w:r w:rsidR="00D52310">
        <w:rPr>
          <w:rFonts w:ascii="Times New Roman" w:eastAsia="Times New Roman" w:hAnsi="Times New Roman" w:cs="Times New Roman"/>
          <w:lang w:val="en-GB"/>
        </w:rPr>
        <w:t>management executives</w:t>
      </w:r>
      <w:r w:rsidR="00E17AAC">
        <w:rPr>
          <w:rFonts w:ascii="Times New Roman" w:eastAsia="Times New Roman" w:hAnsi="Times New Roman" w:cs="Times New Roman"/>
          <w:lang w:val="en-GB"/>
        </w:rPr>
        <w:t>,</w:t>
      </w:r>
      <w:r w:rsidR="00D973A4">
        <w:rPr>
          <w:rFonts w:ascii="Times New Roman" w:eastAsia="Times New Roman" w:hAnsi="Times New Roman" w:cs="Times New Roman"/>
          <w:lang w:val="en-GB"/>
        </w:rPr>
        <w:t xml:space="preserve"> is now </w:t>
      </w:r>
      <w:r w:rsidR="00A55830">
        <w:rPr>
          <w:rFonts w:ascii="Times New Roman" w:eastAsia="Times New Roman" w:hAnsi="Times New Roman" w:cs="Times New Roman"/>
          <w:lang w:val="en-GB"/>
        </w:rPr>
        <w:t xml:space="preserve">being mined by </w:t>
      </w:r>
      <w:r w:rsidR="00D52310">
        <w:rPr>
          <w:rFonts w:ascii="Times New Roman" w:eastAsia="Times New Roman" w:hAnsi="Times New Roman" w:cs="Times New Roman"/>
          <w:lang w:val="en-GB"/>
        </w:rPr>
        <w:t xml:space="preserve">health care professionals </w:t>
      </w:r>
      <w:r w:rsidR="00C61EFB">
        <w:rPr>
          <w:rFonts w:ascii="Times New Roman" w:eastAsia="Times New Roman" w:hAnsi="Times New Roman" w:cs="Times New Roman"/>
          <w:lang w:val="en-GB"/>
        </w:rPr>
        <w:t xml:space="preserve">who </w:t>
      </w:r>
      <w:r w:rsidR="00C61EFB">
        <w:rPr>
          <w:rFonts w:ascii="Times New Roman" w:eastAsia="Times New Roman" w:hAnsi="Times New Roman" w:cs="Times New Roman"/>
          <w:lang w:val="en-GB"/>
        </w:rPr>
        <w:lastRenderedPageBreak/>
        <w:t xml:space="preserve">have come to understand, just as Sherwin did, that the problems that ail individual patients </w:t>
      </w:r>
      <w:r w:rsidR="00670118">
        <w:rPr>
          <w:rFonts w:ascii="Times New Roman" w:eastAsia="Times New Roman" w:hAnsi="Times New Roman" w:cs="Times New Roman"/>
          <w:lang w:val="en-GB"/>
        </w:rPr>
        <w:t xml:space="preserve">often </w:t>
      </w:r>
      <w:r w:rsidR="00C90E27">
        <w:rPr>
          <w:rFonts w:ascii="Times New Roman" w:eastAsia="Times New Roman" w:hAnsi="Times New Roman" w:cs="Times New Roman"/>
          <w:lang w:val="en-GB"/>
        </w:rPr>
        <w:t xml:space="preserve">can </w:t>
      </w:r>
      <w:r w:rsidR="008D2E8A">
        <w:rPr>
          <w:rFonts w:ascii="Times New Roman" w:eastAsia="Times New Roman" w:hAnsi="Times New Roman" w:cs="Times New Roman"/>
          <w:lang w:val="en-GB"/>
        </w:rPr>
        <w:t xml:space="preserve">usefully be </w:t>
      </w:r>
      <w:r w:rsidR="00C90E27">
        <w:rPr>
          <w:rFonts w:ascii="Times New Roman" w:eastAsia="Times New Roman" w:hAnsi="Times New Roman" w:cs="Times New Roman"/>
          <w:lang w:val="en-GB"/>
        </w:rPr>
        <w:t>construed</w:t>
      </w:r>
      <w:r w:rsidR="00C61EFB">
        <w:rPr>
          <w:rFonts w:ascii="Times New Roman" w:eastAsia="Times New Roman" w:hAnsi="Times New Roman" w:cs="Times New Roman"/>
          <w:lang w:val="en-GB"/>
        </w:rPr>
        <w:t xml:space="preserve"> </w:t>
      </w:r>
      <w:r w:rsidR="008D2E8A">
        <w:rPr>
          <w:rFonts w:ascii="Times New Roman" w:eastAsia="Times New Roman" w:hAnsi="Times New Roman" w:cs="Times New Roman"/>
          <w:lang w:val="en-GB"/>
        </w:rPr>
        <w:t xml:space="preserve">as </w:t>
      </w:r>
      <w:r w:rsidR="00C61EFB">
        <w:rPr>
          <w:rFonts w:ascii="Times New Roman" w:eastAsia="Times New Roman" w:hAnsi="Times New Roman" w:cs="Times New Roman"/>
          <w:lang w:val="en-GB"/>
        </w:rPr>
        <w:t xml:space="preserve">symptoms of </w:t>
      </w:r>
      <w:r w:rsidR="00EF7D63">
        <w:rPr>
          <w:rFonts w:ascii="Times New Roman" w:eastAsia="Times New Roman" w:hAnsi="Times New Roman" w:cs="Times New Roman"/>
          <w:lang w:val="en-GB"/>
        </w:rPr>
        <w:t xml:space="preserve">much </w:t>
      </w:r>
      <w:r w:rsidR="00C61EFB">
        <w:rPr>
          <w:rFonts w:ascii="Times New Roman" w:eastAsia="Times New Roman" w:hAnsi="Times New Roman" w:cs="Times New Roman"/>
          <w:lang w:val="en-GB"/>
        </w:rPr>
        <w:t xml:space="preserve">larger </w:t>
      </w:r>
      <w:r w:rsidR="00A835BA">
        <w:rPr>
          <w:rFonts w:ascii="Times New Roman" w:eastAsia="Times New Roman" w:hAnsi="Times New Roman" w:cs="Times New Roman"/>
          <w:lang w:val="en-GB"/>
        </w:rPr>
        <w:t xml:space="preserve">societal </w:t>
      </w:r>
      <w:r w:rsidR="00C302D7">
        <w:rPr>
          <w:rFonts w:ascii="Times New Roman" w:eastAsia="Times New Roman" w:hAnsi="Times New Roman" w:cs="Times New Roman"/>
          <w:lang w:val="en-GB"/>
        </w:rPr>
        <w:t>or systemic</w:t>
      </w:r>
      <w:r w:rsidR="005166AD">
        <w:rPr>
          <w:rFonts w:ascii="Times New Roman" w:eastAsia="Times New Roman" w:hAnsi="Times New Roman" w:cs="Times New Roman"/>
          <w:lang w:val="en-GB"/>
        </w:rPr>
        <w:t xml:space="preserve"> </w:t>
      </w:r>
      <w:r w:rsidR="00C61EFB">
        <w:rPr>
          <w:rFonts w:ascii="Times New Roman" w:eastAsia="Times New Roman" w:hAnsi="Times New Roman" w:cs="Times New Roman"/>
          <w:lang w:val="en-GB"/>
        </w:rPr>
        <w:t>issues</w:t>
      </w:r>
      <w:r w:rsidR="00A452CA">
        <w:rPr>
          <w:rFonts w:ascii="Times New Roman" w:eastAsia="Times New Roman" w:hAnsi="Times New Roman" w:cs="Times New Roman"/>
          <w:lang w:val="en-GB"/>
        </w:rPr>
        <w:t>.</w:t>
      </w:r>
      <w:r w:rsidR="009A384D">
        <w:rPr>
          <w:rStyle w:val="FootnoteReference"/>
          <w:rFonts w:ascii="Times New Roman" w:eastAsia="Times New Roman" w:hAnsi="Times New Roman" w:cs="Times New Roman"/>
          <w:lang w:val="en-GB"/>
        </w:rPr>
        <w:footnoteReference w:id="131"/>
      </w:r>
      <w:r w:rsidR="00B32A05">
        <w:rPr>
          <w:rFonts w:ascii="Times New Roman" w:eastAsia="Times New Roman" w:hAnsi="Times New Roman" w:cs="Times New Roman"/>
          <w:lang w:val="en-GB"/>
        </w:rPr>
        <w:t xml:space="preserve"> Success in t</w:t>
      </w:r>
      <w:r w:rsidR="00A452CA">
        <w:rPr>
          <w:rFonts w:ascii="Times New Roman" w:eastAsia="Times New Roman" w:hAnsi="Times New Roman" w:cs="Times New Roman"/>
          <w:lang w:val="en-GB"/>
        </w:rPr>
        <w:t>ackling</w:t>
      </w:r>
      <w:r w:rsidR="00C302D7">
        <w:rPr>
          <w:rFonts w:ascii="Times New Roman" w:eastAsia="Times New Roman" w:hAnsi="Times New Roman" w:cs="Times New Roman"/>
          <w:lang w:val="en-GB"/>
        </w:rPr>
        <w:t xml:space="preserve"> these challenges</w:t>
      </w:r>
      <w:r w:rsidR="00B32A05">
        <w:rPr>
          <w:rFonts w:ascii="Times New Roman" w:eastAsia="Times New Roman" w:hAnsi="Times New Roman" w:cs="Times New Roman"/>
          <w:lang w:val="en-GB"/>
        </w:rPr>
        <w:t xml:space="preserve"> </w:t>
      </w:r>
      <w:r w:rsidR="00C61EFB">
        <w:rPr>
          <w:rFonts w:ascii="Times New Roman" w:eastAsia="Times New Roman" w:hAnsi="Times New Roman" w:cs="Times New Roman"/>
          <w:lang w:val="en-GB"/>
        </w:rPr>
        <w:t>require</w:t>
      </w:r>
      <w:r w:rsidR="00B32A05">
        <w:rPr>
          <w:rFonts w:ascii="Times New Roman" w:eastAsia="Times New Roman" w:hAnsi="Times New Roman" w:cs="Times New Roman"/>
          <w:lang w:val="en-GB"/>
        </w:rPr>
        <w:t>s</w:t>
      </w:r>
      <w:r w:rsidR="00670118">
        <w:rPr>
          <w:rFonts w:ascii="Times New Roman" w:eastAsia="Times New Roman" w:hAnsi="Times New Roman" w:cs="Times New Roman"/>
          <w:lang w:val="en-GB"/>
        </w:rPr>
        <w:t>, at minimum, an</w:t>
      </w:r>
      <w:r w:rsidR="00D83844">
        <w:rPr>
          <w:rFonts w:ascii="Times New Roman" w:eastAsia="Times New Roman" w:hAnsi="Times New Roman" w:cs="Times New Roman"/>
          <w:lang w:val="en-GB"/>
        </w:rPr>
        <w:t xml:space="preserve"> </w:t>
      </w:r>
      <w:r w:rsidR="00670118">
        <w:rPr>
          <w:rFonts w:ascii="Times New Roman" w:eastAsia="Times New Roman" w:hAnsi="Times New Roman" w:cs="Times New Roman"/>
          <w:lang w:val="en-GB"/>
        </w:rPr>
        <w:t>appreciation</w:t>
      </w:r>
      <w:r w:rsidR="00A55830">
        <w:rPr>
          <w:rFonts w:ascii="Times New Roman" w:eastAsia="Times New Roman" w:hAnsi="Times New Roman" w:cs="Times New Roman"/>
          <w:lang w:val="en-GB"/>
        </w:rPr>
        <w:t xml:space="preserve"> of the importance</w:t>
      </w:r>
      <w:r w:rsidR="00C61EFB">
        <w:rPr>
          <w:rFonts w:ascii="Times New Roman" w:eastAsia="Times New Roman" w:hAnsi="Times New Roman" w:cs="Times New Roman"/>
          <w:lang w:val="en-GB"/>
        </w:rPr>
        <w:t xml:space="preserve"> of the social determinants of health </w:t>
      </w:r>
      <w:r w:rsidR="008D2E8A">
        <w:rPr>
          <w:rFonts w:ascii="Times New Roman" w:eastAsia="Times New Roman" w:hAnsi="Times New Roman" w:cs="Times New Roman"/>
          <w:lang w:val="en-GB"/>
        </w:rPr>
        <w:t xml:space="preserve">(typically the province of public health ethics) </w:t>
      </w:r>
      <w:r w:rsidR="00C61EFB">
        <w:rPr>
          <w:rFonts w:ascii="Times New Roman" w:eastAsia="Times New Roman" w:hAnsi="Times New Roman" w:cs="Times New Roman"/>
          <w:lang w:val="en-GB"/>
        </w:rPr>
        <w:t>and, indeed,</w:t>
      </w:r>
      <w:r w:rsidR="008D2E8A">
        <w:rPr>
          <w:rFonts w:ascii="Times New Roman" w:eastAsia="Times New Roman" w:hAnsi="Times New Roman" w:cs="Times New Roman"/>
          <w:lang w:val="en-GB"/>
        </w:rPr>
        <w:t xml:space="preserve"> </w:t>
      </w:r>
      <w:r w:rsidR="00A452CA">
        <w:rPr>
          <w:rFonts w:ascii="Times New Roman" w:eastAsia="Times New Roman" w:hAnsi="Times New Roman" w:cs="Times New Roman"/>
          <w:lang w:val="en-GB"/>
        </w:rPr>
        <w:t xml:space="preserve">may require an understanding </w:t>
      </w:r>
      <w:r w:rsidR="008D2E8A">
        <w:rPr>
          <w:rFonts w:ascii="Times New Roman" w:eastAsia="Times New Roman" w:hAnsi="Times New Roman" w:cs="Times New Roman"/>
          <w:lang w:val="en-GB"/>
        </w:rPr>
        <w:t>of the broader issues (such as political instability, environmental degradation, or even, for example</w:t>
      </w:r>
      <w:r w:rsidR="00EF1946">
        <w:rPr>
          <w:rFonts w:ascii="Times New Roman" w:eastAsia="Times New Roman" w:hAnsi="Times New Roman" w:cs="Times New Roman"/>
          <w:lang w:val="en-GB"/>
        </w:rPr>
        <w:t xml:space="preserve">, the consequences </w:t>
      </w:r>
      <w:r w:rsidR="008D2E8A">
        <w:rPr>
          <w:rFonts w:ascii="Times New Roman" w:eastAsia="Times New Roman" w:hAnsi="Times New Roman" w:cs="Times New Roman"/>
          <w:lang w:val="en-GB"/>
        </w:rPr>
        <w:t xml:space="preserve">of armed conflict) that can be gathered under the heading of public ethics. </w:t>
      </w:r>
      <w:r w:rsidR="00A452CA">
        <w:rPr>
          <w:rFonts w:ascii="Times New Roman" w:eastAsia="Times New Roman" w:hAnsi="Times New Roman" w:cs="Times New Roman"/>
          <w:lang w:val="en-GB"/>
        </w:rPr>
        <w:t>In brief, what Rittel and Webber take to be true o</w:t>
      </w:r>
      <w:r w:rsidR="005166AD">
        <w:rPr>
          <w:rFonts w:ascii="Times New Roman" w:eastAsia="Times New Roman" w:hAnsi="Times New Roman" w:cs="Times New Roman"/>
          <w:lang w:val="en-GB"/>
        </w:rPr>
        <w:t xml:space="preserve">f the work of the social planner </w:t>
      </w:r>
      <w:r w:rsidR="00A452CA">
        <w:rPr>
          <w:rFonts w:ascii="Times New Roman" w:eastAsia="Times New Roman" w:hAnsi="Times New Roman" w:cs="Times New Roman"/>
          <w:lang w:val="en-GB"/>
        </w:rPr>
        <w:t xml:space="preserve">might be </w:t>
      </w:r>
      <w:r w:rsidR="00EF1946">
        <w:rPr>
          <w:rFonts w:ascii="Times New Roman" w:eastAsia="Times New Roman" w:hAnsi="Times New Roman" w:cs="Times New Roman"/>
          <w:lang w:val="en-GB"/>
        </w:rPr>
        <w:t>applicable</w:t>
      </w:r>
      <w:r w:rsidR="00A452CA">
        <w:rPr>
          <w:rFonts w:ascii="Times New Roman" w:eastAsia="Times New Roman" w:hAnsi="Times New Roman" w:cs="Times New Roman"/>
          <w:lang w:val="en-GB"/>
        </w:rPr>
        <w:t xml:space="preserve"> to the expanded mandate that Sherwin and Tronto envision for bioethics</w:t>
      </w:r>
      <w:r w:rsidR="00EF1946">
        <w:rPr>
          <w:rFonts w:ascii="Times New Roman" w:eastAsia="Times New Roman" w:hAnsi="Times New Roman" w:cs="Times New Roman"/>
          <w:lang w:val="en-GB"/>
        </w:rPr>
        <w:t>. Both occupations are called to engage problems that</w:t>
      </w:r>
      <w:r w:rsidR="00C302D7">
        <w:rPr>
          <w:rFonts w:ascii="Times New Roman" w:eastAsia="Times New Roman" w:hAnsi="Times New Roman" w:cs="Times New Roman"/>
          <w:lang w:val="en-GB"/>
        </w:rPr>
        <w:t xml:space="preserve">, to use Adrienne M. Young’s apt description, </w:t>
      </w:r>
      <w:r w:rsidR="00EF1946">
        <w:rPr>
          <w:rFonts w:ascii="Times New Roman" w:eastAsia="Times New Roman" w:hAnsi="Times New Roman" w:cs="Times New Roman"/>
          <w:lang w:val="en-GB"/>
        </w:rPr>
        <w:t>typically “</w:t>
      </w:r>
      <w:r w:rsidR="00A452CA">
        <w:rPr>
          <w:rFonts w:ascii="Times New Roman" w:eastAsia="Times New Roman" w:hAnsi="Times New Roman" w:cs="Times New Roman"/>
          <w:lang w:val="en-GB"/>
        </w:rPr>
        <w:t xml:space="preserve">are </w:t>
      </w:r>
      <w:r w:rsidR="005777E6">
        <w:rPr>
          <w:rFonts w:ascii="Times New Roman" w:eastAsia="Times New Roman" w:hAnsi="Times New Roman" w:cs="Times New Roman"/>
          <w:lang w:val="en-GB"/>
        </w:rPr>
        <w:t xml:space="preserve">ill-defined: and </w:t>
      </w:r>
      <w:r w:rsidR="00865A21">
        <w:rPr>
          <w:rFonts w:ascii="Times New Roman" w:eastAsia="Times New Roman" w:hAnsi="Times New Roman" w:cs="Times New Roman"/>
          <w:lang w:val="en-GB"/>
        </w:rPr>
        <w:t xml:space="preserve">. . . </w:t>
      </w:r>
      <w:r w:rsidR="00A452CA">
        <w:rPr>
          <w:rFonts w:ascii="Times New Roman" w:eastAsia="Times New Roman" w:hAnsi="Times New Roman" w:cs="Times New Roman"/>
          <w:lang w:val="en-GB"/>
        </w:rPr>
        <w:t>depend on elusive political judgement for resolution. (Not “solution.” Social problems are never solved. At best they are re-solved – over and over again.)</w:t>
      </w:r>
      <w:r w:rsidR="00C302D7">
        <w:rPr>
          <w:rFonts w:ascii="Times New Roman" w:eastAsia="Times New Roman" w:hAnsi="Times New Roman" w:cs="Times New Roman"/>
          <w:lang w:val="en-GB"/>
        </w:rPr>
        <w:t>.</w:t>
      </w:r>
      <w:r w:rsidR="00A452CA">
        <w:rPr>
          <w:rFonts w:ascii="Times New Roman" w:eastAsia="Times New Roman" w:hAnsi="Times New Roman" w:cs="Times New Roman"/>
          <w:lang w:val="en-GB"/>
        </w:rPr>
        <w:t>”</w:t>
      </w:r>
      <w:r w:rsidR="00A452CA">
        <w:rPr>
          <w:rStyle w:val="FootnoteReference"/>
          <w:rFonts w:ascii="Times New Roman" w:eastAsia="Times New Roman" w:hAnsi="Times New Roman" w:cs="Times New Roman"/>
          <w:lang w:val="en-GB"/>
        </w:rPr>
        <w:footnoteReference w:id="132"/>
      </w:r>
      <w:r w:rsidR="008D2E8A">
        <w:rPr>
          <w:rFonts w:ascii="Times New Roman" w:eastAsia="Times New Roman" w:hAnsi="Times New Roman" w:cs="Times New Roman"/>
          <w:lang w:val="en-GB"/>
        </w:rPr>
        <w:t xml:space="preserve">  </w:t>
      </w:r>
    </w:p>
    <w:p w14:paraId="4701AB40" w14:textId="44F71DA4" w:rsidR="00F41868" w:rsidRDefault="00C90E27" w:rsidP="00446AD0">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Interestingly,</w:t>
      </w:r>
      <w:r w:rsidR="00446AD0">
        <w:rPr>
          <w:rFonts w:ascii="Times New Roman" w:eastAsia="Times New Roman" w:hAnsi="Times New Roman" w:cs="Times New Roman"/>
          <w:lang w:val="en-GB"/>
        </w:rPr>
        <w:t xml:space="preserve"> Rittel</w:t>
      </w:r>
      <w:r w:rsidR="00473E87">
        <w:rPr>
          <w:rFonts w:ascii="Times New Roman" w:eastAsia="Times New Roman" w:hAnsi="Times New Roman" w:cs="Times New Roman"/>
          <w:lang w:val="en-GB"/>
        </w:rPr>
        <w:t xml:space="preserve"> a</w:t>
      </w:r>
      <w:r w:rsidR="00670118">
        <w:rPr>
          <w:rFonts w:ascii="Times New Roman" w:eastAsia="Times New Roman" w:hAnsi="Times New Roman" w:cs="Times New Roman"/>
          <w:lang w:val="en-GB"/>
        </w:rPr>
        <w:t xml:space="preserve">nd Webber had an early appreciation of the fact </w:t>
      </w:r>
      <w:r w:rsidR="00473E87">
        <w:rPr>
          <w:rFonts w:ascii="Times New Roman" w:eastAsia="Times New Roman" w:hAnsi="Times New Roman" w:cs="Times New Roman"/>
          <w:lang w:val="en-GB"/>
        </w:rPr>
        <w:t>that efforts to professionalise the w</w:t>
      </w:r>
      <w:r w:rsidR="00670118">
        <w:rPr>
          <w:rFonts w:ascii="Times New Roman" w:eastAsia="Times New Roman" w:hAnsi="Times New Roman" w:cs="Times New Roman"/>
          <w:lang w:val="en-GB"/>
        </w:rPr>
        <w:t>ork of social planners were</w:t>
      </w:r>
      <w:r w:rsidR="00473E87">
        <w:rPr>
          <w:rFonts w:ascii="Times New Roman" w:eastAsia="Times New Roman" w:hAnsi="Times New Roman" w:cs="Times New Roman"/>
          <w:lang w:val="en-GB"/>
        </w:rPr>
        <w:t xml:space="preserve"> impeded b</w:t>
      </w:r>
      <w:r w:rsidR="00EF7D63">
        <w:rPr>
          <w:rFonts w:ascii="Times New Roman" w:eastAsia="Times New Roman" w:hAnsi="Times New Roman" w:cs="Times New Roman"/>
          <w:lang w:val="en-GB"/>
        </w:rPr>
        <w:t xml:space="preserve">y their inability to adopt </w:t>
      </w:r>
      <w:r w:rsidR="00473E87">
        <w:rPr>
          <w:rFonts w:ascii="Times New Roman" w:eastAsia="Times New Roman" w:hAnsi="Times New Roman" w:cs="Times New Roman"/>
          <w:lang w:val="en-GB"/>
        </w:rPr>
        <w:t xml:space="preserve">the problem-solving </w:t>
      </w:r>
      <w:r w:rsidR="00FA3643">
        <w:rPr>
          <w:rFonts w:ascii="Times New Roman" w:eastAsia="Times New Roman" w:hAnsi="Times New Roman" w:cs="Times New Roman"/>
          <w:lang w:val="en-GB"/>
        </w:rPr>
        <w:t xml:space="preserve">style of </w:t>
      </w:r>
      <w:r w:rsidR="00473E87">
        <w:rPr>
          <w:rFonts w:ascii="Times New Roman" w:eastAsia="Times New Roman" w:hAnsi="Times New Roman" w:cs="Times New Roman"/>
          <w:lang w:val="en-GB"/>
        </w:rPr>
        <w:t>mor</w:t>
      </w:r>
      <w:r w:rsidR="00FA3643">
        <w:rPr>
          <w:rFonts w:ascii="Times New Roman" w:eastAsia="Times New Roman" w:hAnsi="Times New Roman" w:cs="Times New Roman"/>
          <w:lang w:val="en-GB"/>
        </w:rPr>
        <w:t>e traditional</w:t>
      </w:r>
      <w:r w:rsidR="00473E87">
        <w:rPr>
          <w:rFonts w:ascii="Times New Roman" w:eastAsia="Times New Roman" w:hAnsi="Times New Roman" w:cs="Times New Roman"/>
          <w:lang w:val="en-GB"/>
        </w:rPr>
        <w:t xml:space="preserve"> professions</w:t>
      </w:r>
      <w:r w:rsidR="00250ECE">
        <w:rPr>
          <w:rFonts w:ascii="Times New Roman" w:eastAsia="Times New Roman" w:hAnsi="Times New Roman" w:cs="Times New Roman"/>
          <w:lang w:val="en-GB"/>
        </w:rPr>
        <w:t xml:space="preserve"> – an </w:t>
      </w:r>
      <w:r w:rsidR="00861B63">
        <w:rPr>
          <w:rFonts w:ascii="Times New Roman" w:eastAsia="Times New Roman" w:hAnsi="Times New Roman" w:cs="Times New Roman"/>
          <w:lang w:val="en-GB"/>
        </w:rPr>
        <w:t xml:space="preserve">inability that </w:t>
      </w:r>
      <w:r w:rsidR="005777E6">
        <w:rPr>
          <w:rFonts w:ascii="Times New Roman" w:eastAsia="Times New Roman" w:hAnsi="Times New Roman" w:cs="Times New Roman"/>
          <w:lang w:val="en-GB"/>
        </w:rPr>
        <w:t xml:space="preserve">they believed </w:t>
      </w:r>
      <w:r w:rsidR="00861B63">
        <w:rPr>
          <w:rFonts w:ascii="Times New Roman" w:eastAsia="Times New Roman" w:hAnsi="Times New Roman" w:cs="Times New Roman"/>
          <w:lang w:val="en-GB"/>
        </w:rPr>
        <w:t>was</w:t>
      </w:r>
      <w:r w:rsidR="00250ECE">
        <w:rPr>
          <w:rFonts w:ascii="Times New Roman" w:eastAsia="Times New Roman" w:hAnsi="Times New Roman" w:cs="Times New Roman"/>
          <w:lang w:val="en-GB"/>
        </w:rPr>
        <w:t xml:space="preserve"> owing to their subject matter rather than a </w:t>
      </w:r>
      <w:r w:rsidR="00250ECE">
        <w:rPr>
          <w:rFonts w:ascii="Times New Roman" w:eastAsia="Times New Roman" w:hAnsi="Times New Roman" w:cs="Times New Roman"/>
          <w:lang w:val="en-GB"/>
        </w:rPr>
        <w:lastRenderedPageBreak/>
        <w:t>deficiency in the planners themselves</w:t>
      </w:r>
      <w:r w:rsidR="00861B63">
        <w:rPr>
          <w:rFonts w:ascii="Times New Roman" w:eastAsia="Times New Roman" w:hAnsi="Times New Roman" w:cs="Times New Roman"/>
          <w:lang w:val="en-GB"/>
        </w:rPr>
        <w:t>.</w:t>
      </w:r>
      <w:r w:rsidR="00473E87">
        <w:rPr>
          <w:rFonts w:ascii="Times New Roman" w:eastAsia="Times New Roman" w:hAnsi="Times New Roman" w:cs="Times New Roman"/>
          <w:lang w:val="en-GB"/>
        </w:rPr>
        <w:t xml:space="preserve"> </w:t>
      </w:r>
      <w:r w:rsidR="00CE2BD5">
        <w:rPr>
          <w:rFonts w:ascii="Times New Roman" w:eastAsia="Times New Roman" w:hAnsi="Times New Roman" w:cs="Times New Roman"/>
          <w:lang w:val="en-GB"/>
        </w:rPr>
        <w:t xml:space="preserve">They may have been speaking with their tongues </w:t>
      </w:r>
      <w:r w:rsidR="009E3CA2">
        <w:rPr>
          <w:rFonts w:ascii="Times New Roman" w:eastAsia="Times New Roman" w:hAnsi="Times New Roman" w:cs="Times New Roman"/>
          <w:lang w:val="en-GB"/>
        </w:rPr>
        <w:t xml:space="preserve">planted </w:t>
      </w:r>
      <w:r w:rsidR="00CE2BD5">
        <w:rPr>
          <w:rFonts w:ascii="Times New Roman" w:eastAsia="Times New Roman" w:hAnsi="Times New Roman" w:cs="Times New Roman"/>
          <w:lang w:val="en-GB"/>
        </w:rPr>
        <w:t>firmly in their cheeks when they</w:t>
      </w:r>
      <w:r w:rsidR="00861B63">
        <w:rPr>
          <w:rFonts w:ascii="Times New Roman" w:eastAsia="Times New Roman" w:hAnsi="Times New Roman" w:cs="Times New Roman"/>
          <w:lang w:val="en-GB"/>
        </w:rPr>
        <w:t xml:space="preserve"> observed that the public might be judged perverse for “having condoned professionalism when it was really only dressed-up amateurism and condemning professionalism when we finally seem to</w:t>
      </w:r>
      <w:r w:rsidR="00D83844">
        <w:rPr>
          <w:rFonts w:ascii="Times New Roman" w:eastAsia="Times New Roman" w:hAnsi="Times New Roman" w:cs="Times New Roman"/>
          <w:lang w:val="en-GB"/>
        </w:rPr>
        <w:t xml:space="preserve"> </w:t>
      </w:r>
      <w:r w:rsidR="00861B63">
        <w:rPr>
          <w:rFonts w:ascii="Times New Roman" w:eastAsia="Times New Roman" w:hAnsi="Times New Roman" w:cs="Times New Roman"/>
          <w:lang w:val="en-GB"/>
        </w:rPr>
        <w:t xml:space="preserve">be getting </w:t>
      </w:r>
      <w:r w:rsidR="00DF0F7B">
        <w:rPr>
          <w:rFonts w:ascii="Times New Roman" w:eastAsia="Times New Roman" w:hAnsi="Times New Roman" w:cs="Times New Roman"/>
          <w:lang w:val="en-GB"/>
        </w:rPr>
        <w:t>good at our jobs,</w:t>
      </w:r>
      <w:r w:rsidR="00861B63">
        <w:rPr>
          <w:rFonts w:ascii="Times New Roman" w:eastAsia="Times New Roman" w:hAnsi="Times New Roman" w:cs="Times New Roman"/>
          <w:lang w:val="en-GB"/>
        </w:rPr>
        <w:t>”</w:t>
      </w:r>
      <w:r w:rsidR="00BA5F7F">
        <w:rPr>
          <w:rStyle w:val="FootnoteReference"/>
          <w:rFonts w:ascii="Times New Roman" w:eastAsia="Times New Roman" w:hAnsi="Times New Roman" w:cs="Times New Roman"/>
          <w:lang w:val="en-GB"/>
        </w:rPr>
        <w:footnoteReference w:id="133"/>
      </w:r>
      <w:r w:rsidR="00861B63">
        <w:rPr>
          <w:rFonts w:ascii="Times New Roman" w:eastAsia="Times New Roman" w:hAnsi="Times New Roman" w:cs="Times New Roman"/>
          <w:lang w:val="en-GB"/>
        </w:rPr>
        <w:t xml:space="preserve"> </w:t>
      </w:r>
      <w:r w:rsidR="003A7AB7">
        <w:rPr>
          <w:rFonts w:ascii="Times New Roman" w:eastAsia="Times New Roman" w:hAnsi="Times New Roman" w:cs="Times New Roman"/>
          <w:lang w:val="en-GB"/>
        </w:rPr>
        <w:t>but</w:t>
      </w:r>
      <w:r w:rsidR="00DF0F7B">
        <w:rPr>
          <w:rFonts w:ascii="Times New Roman" w:eastAsia="Times New Roman" w:hAnsi="Times New Roman" w:cs="Times New Roman"/>
          <w:lang w:val="en-GB"/>
        </w:rPr>
        <w:t xml:space="preserve"> Rittel and Webber understood that the</w:t>
      </w:r>
      <w:r w:rsidR="00861B63">
        <w:rPr>
          <w:rFonts w:ascii="Times New Roman" w:eastAsia="Times New Roman" w:hAnsi="Times New Roman" w:cs="Times New Roman"/>
          <w:lang w:val="en-GB"/>
        </w:rPr>
        <w:t xml:space="preserve"> supposed contrariness of a</w:t>
      </w:r>
      <w:r w:rsidR="00FB5790">
        <w:rPr>
          <w:rFonts w:ascii="Times New Roman" w:eastAsia="Times New Roman" w:hAnsi="Times New Roman" w:cs="Times New Roman"/>
          <w:lang w:val="en-GB"/>
        </w:rPr>
        <w:t>n</w:t>
      </w:r>
      <w:r w:rsidR="00861B63">
        <w:rPr>
          <w:rFonts w:ascii="Times New Roman" w:eastAsia="Times New Roman" w:hAnsi="Times New Roman" w:cs="Times New Roman"/>
          <w:lang w:val="en-GB"/>
        </w:rPr>
        <w:t xml:space="preserve"> </w:t>
      </w:r>
      <w:r w:rsidR="00F41868">
        <w:rPr>
          <w:rFonts w:ascii="Times New Roman" w:eastAsia="Times New Roman" w:hAnsi="Times New Roman" w:cs="Times New Roman"/>
          <w:lang w:val="en-GB"/>
        </w:rPr>
        <w:t xml:space="preserve">uncertain </w:t>
      </w:r>
      <w:r w:rsidR="00861B63">
        <w:rPr>
          <w:rFonts w:ascii="Times New Roman" w:eastAsia="Times New Roman" w:hAnsi="Times New Roman" w:cs="Times New Roman"/>
          <w:lang w:val="en-GB"/>
        </w:rPr>
        <w:t>public presaged a</w:t>
      </w:r>
      <w:r w:rsidR="00A4537E">
        <w:rPr>
          <w:rFonts w:ascii="Times New Roman" w:eastAsia="Times New Roman" w:hAnsi="Times New Roman" w:cs="Times New Roman"/>
          <w:lang w:val="en-GB"/>
        </w:rPr>
        <w:t>n important, if</w:t>
      </w:r>
      <w:r w:rsidR="00861B63">
        <w:rPr>
          <w:rFonts w:ascii="Times New Roman" w:eastAsia="Times New Roman" w:hAnsi="Times New Roman" w:cs="Times New Roman"/>
          <w:lang w:val="en-GB"/>
        </w:rPr>
        <w:t xml:space="preserve"> more academic</w:t>
      </w:r>
      <w:r w:rsidR="00A4537E">
        <w:rPr>
          <w:rFonts w:ascii="Times New Roman" w:eastAsia="Times New Roman" w:hAnsi="Times New Roman" w:cs="Times New Roman"/>
          <w:lang w:val="en-GB"/>
        </w:rPr>
        <w:t>,</w:t>
      </w:r>
      <w:r w:rsidR="00861B63">
        <w:rPr>
          <w:rFonts w:ascii="Times New Roman" w:eastAsia="Times New Roman" w:hAnsi="Times New Roman" w:cs="Times New Roman"/>
          <w:lang w:val="en-GB"/>
        </w:rPr>
        <w:t xml:space="preserve"> debate</w:t>
      </w:r>
      <w:r w:rsidR="00DF0F7B">
        <w:rPr>
          <w:rFonts w:ascii="Times New Roman" w:eastAsia="Times New Roman" w:hAnsi="Times New Roman" w:cs="Times New Roman"/>
          <w:lang w:val="en-GB"/>
        </w:rPr>
        <w:t xml:space="preserve"> about the need for a new conception of the professions.</w:t>
      </w:r>
      <w:r w:rsidR="003A7AB7">
        <w:rPr>
          <w:rStyle w:val="FootnoteReference"/>
          <w:rFonts w:ascii="Times New Roman" w:eastAsia="Times New Roman" w:hAnsi="Times New Roman" w:cs="Times New Roman"/>
          <w:lang w:val="en-GB"/>
        </w:rPr>
        <w:footnoteReference w:id="134"/>
      </w:r>
      <w:r w:rsidR="00DF0F7B">
        <w:rPr>
          <w:rFonts w:ascii="Times New Roman" w:eastAsia="Times New Roman" w:hAnsi="Times New Roman" w:cs="Times New Roman"/>
          <w:lang w:val="en-GB"/>
        </w:rPr>
        <w:t xml:space="preserve"> Many professionals, even those in well-established fields, can no longer assume </w:t>
      </w:r>
      <w:r w:rsidR="00606D54">
        <w:rPr>
          <w:rFonts w:ascii="Times New Roman" w:eastAsia="Times New Roman" w:hAnsi="Times New Roman" w:cs="Times New Roman"/>
          <w:lang w:val="en-GB"/>
        </w:rPr>
        <w:t>that the problems they face</w:t>
      </w:r>
      <w:r w:rsidR="00DF0F7B">
        <w:rPr>
          <w:rFonts w:ascii="Times New Roman" w:eastAsia="Times New Roman" w:hAnsi="Times New Roman" w:cs="Times New Roman"/>
          <w:lang w:val="en-GB"/>
        </w:rPr>
        <w:t xml:space="preserve"> </w:t>
      </w:r>
      <w:r w:rsidR="00EF7D63">
        <w:rPr>
          <w:rFonts w:ascii="Times New Roman" w:eastAsia="Times New Roman" w:hAnsi="Times New Roman" w:cs="Times New Roman"/>
          <w:lang w:val="en-GB"/>
        </w:rPr>
        <w:t xml:space="preserve">always </w:t>
      </w:r>
      <w:r w:rsidR="00606D54">
        <w:rPr>
          <w:rFonts w:ascii="Times New Roman" w:eastAsia="Times New Roman" w:hAnsi="Times New Roman" w:cs="Times New Roman"/>
          <w:lang w:val="en-GB"/>
        </w:rPr>
        <w:t xml:space="preserve">will </w:t>
      </w:r>
      <w:r w:rsidR="00DF0F7B">
        <w:rPr>
          <w:rFonts w:ascii="Times New Roman" w:eastAsia="Times New Roman" w:hAnsi="Times New Roman" w:cs="Times New Roman"/>
          <w:lang w:val="en-GB"/>
        </w:rPr>
        <w:t>be st</w:t>
      </w:r>
      <w:r w:rsidR="00FB5790">
        <w:rPr>
          <w:rFonts w:ascii="Times New Roman" w:eastAsia="Times New Roman" w:hAnsi="Times New Roman" w:cs="Times New Roman"/>
          <w:lang w:val="en-GB"/>
        </w:rPr>
        <w:t>raightforward ones which are amenable to</w:t>
      </w:r>
      <w:r w:rsidR="00DF0F7B">
        <w:rPr>
          <w:rFonts w:ascii="Times New Roman" w:eastAsia="Times New Roman" w:hAnsi="Times New Roman" w:cs="Times New Roman"/>
          <w:lang w:val="en-GB"/>
        </w:rPr>
        <w:t xml:space="preserve"> technical so</w:t>
      </w:r>
      <w:r w:rsidR="00C302D7">
        <w:rPr>
          <w:rFonts w:ascii="Times New Roman" w:eastAsia="Times New Roman" w:hAnsi="Times New Roman" w:cs="Times New Roman"/>
          <w:lang w:val="en-GB"/>
        </w:rPr>
        <w:t xml:space="preserve">lutions. Social planners and </w:t>
      </w:r>
      <w:r w:rsidR="00D83844">
        <w:rPr>
          <w:rFonts w:ascii="Times New Roman" w:eastAsia="Times New Roman" w:hAnsi="Times New Roman" w:cs="Times New Roman"/>
          <w:lang w:val="en-GB"/>
        </w:rPr>
        <w:t xml:space="preserve">practicing </w:t>
      </w:r>
      <w:r w:rsidR="00C302D7">
        <w:rPr>
          <w:rFonts w:ascii="Times New Roman" w:eastAsia="Times New Roman" w:hAnsi="Times New Roman" w:cs="Times New Roman"/>
          <w:lang w:val="en-GB"/>
        </w:rPr>
        <w:t xml:space="preserve">healthcare </w:t>
      </w:r>
      <w:r w:rsidR="00DF0F7B">
        <w:rPr>
          <w:rFonts w:ascii="Times New Roman" w:eastAsia="Times New Roman" w:hAnsi="Times New Roman" w:cs="Times New Roman"/>
          <w:lang w:val="en-GB"/>
        </w:rPr>
        <w:t>ethicists, as newcomers to the</w:t>
      </w:r>
      <w:r w:rsidR="00606D54">
        <w:rPr>
          <w:rFonts w:ascii="Times New Roman" w:eastAsia="Times New Roman" w:hAnsi="Times New Roman" w:cs="Times New Roman"/>
          <w:lang w:val="en-GB"/>
        </w:rPr>
        <w:t xml:space="preserve"> professionalization debate, might</w:t>
      </w:r>
      <w:r w:rsidR="00DF0F7B">
        <w:rPr>
          <w:rFonts w:ascii="Times New Roman" w:eastAsia="Times New Roman" w:hAnsi="Times New Roman" w:cs="Times New Roman"/>
          <w:lang w:val="en-GB"/>
        </w:rPr>
        <w:t xml:space="preserve"> feel the sting of </w:t>
      </w:r>
      <w:r w:rsidR="00F41868">
        <w:rPr>
          <w:rFonts w:ascii="Times New Roman" w:eastAsia="Times New Roman" w:hAnsi="Times New Roman" w:cs="Times New Roman"/>
          <w:lang w:val="en-GB"/>
        </w:rPr>
        <w:t>scepti</w:t>
      </w:r>
      <w:r w:rsidR="00FB7982">
        <w:rPr>
          <w:rFonts w:ascii="Times New Roman" w:eastAsia="Times New Roman" w:hAnsi="Times New Roman" w:cs="Times New Roman"/>
          <w:lang w:val="en-GB"/>
        </w:rPr>
        <w:t>ci</w:t>
      </w:r>
      <w:r w:rsidR="00F41868">
        <w:rPr>
          <w:rFonts w:ascii="Times New Roman" w:eastAsia="Times New Roman" w:hAnsi="Times New Roman" w:cs="Times New Roman"/>
          <w:lang w:val="en-GB"/>
        </w:rPr>
        <w:t xml:space="preserve">sm rather more than </w:t>
      </w:r>
      <w:r w:rsidR="00BA5F7F">
        <w:rPr>
          <w:rFonts w:ascii="Times New Roman" w:eastAsia="Times New Roman" w:hAnsi="Times New Roman" w:cs="Times New Roman"/>
          <w:lang w:val="en-GB"/>
        </w:rPr>
        <w:t xml:space="preserve">some </w:t>
      </w:r>
      <w:r w:rsidR="00F41868">
        <w:rPr>
          <w:rFonts w:ascii="Times New Roman" w:eastAsia="Times New Roman" w:hAnsi="Times New Roman" w:cs="Times New Roman"/>
          <w:lang w:val="en-GB"/>
        </w:rPr>
        <w:t>others</w:t>
      </w:r>
      <w:r w:rsidR="00BA5F7F">
        <w:rPr>
          <w:rFonts w:ascii="Times New Roman" w:eastAsia="Times New Roman" w:hAnsi="Times New Roman" w:cs="Times New Roman"/>
          <w:lang w:val="en-GB"/>
        </w:rPr>
        <w:t>,</w:t>
      </w:r>
      <w:r w:rsidR="00F41868">
        <w:rPr>
          <w:rFonts w:ascii="Times New Roman" w:eastAsia="Times New Roman" w:hAnsi="Times New Roman" w:cs="Times New Roman"/>
          <w:lang w:val="en-GB"/>
        </w:rPr>
        <w:t xml:space="preserve"> but the following passage may</w:t>
      </w:r>
      <w:r w:rsidR="00BA5F7F">
        <w:rPr>
          <w:rFonts w:ascii="Times New Roman" w:eastAsia="Times New Roman" w:hAnsi="Times New Roman" w:cs="Times New Roman"/>
          <w:lang w:val="en-GB"/>
        </w:rPr>
        <w:t xml:space="preserve"> provide context if not comfort:</w:t>
      </w:r>
    </w:p>
    <w:p w14:paraId="2613921D" w14:textId="77777777" w:rsidR="00711E0B" w:rsidRDefault="00BA5F7F" w:rsidP="00BA5F7F">
      <w:pPr>
        <w:pStyle w:val="Body1"/>
        <w:ind w:left="720"/>
        <w:rPr>
          <w:rFonts w:ascii="Times New Roman" w:eastAsia="Times New Roman" w:hAnsi="Times New Roman" w:cs="Times New Roman"/>
          <w:lang w:val="en-GB"/>
        </w:rPr>
      </w:pPr>
      <w:r>
        <w:rPr>
          <w:rFonts w:ascii="Times New Roman" w:eastAsia="Times New Roman" w:hAnsi="Times New Roman" w:cs="Times New Roman"/>
          <w:lang w:val="en-GB"/>
        </w:rPr>
        <w:t>n</w:t>
      </w:r>
      <w:r w:rsidR="00865A21">
        <w:rPr>
          <w:rFonts w:ascii="Times New Roman" w:eastAsia="Times New Roman" w:hAnsi="Times New Roman" w:cs="Times New Roman"/>
          <w:lang w:val="en-GB"/>
        </w:rPr>
        <w:t xml:space="preserve">ow that . . . </w:t>
      </w:r>
      <w:r w:rsidR="00F41868">
        <w:rPr>
          <w:rFonts w:ascii="Times New Roman" w:eastAsia="Times New Roman" w:hAnsi="Times New Roman" w:cs="Times New Roman"/>
          <w:lang w:val="en-GB"/>
        </w:rPr>
        <w:t>relatively easy problems have been dealt with, we have been turning our minds to others that are much more stubborn. The tests for efficiency, that were once so useful as measures of accomplishment, are being challenged by a renewed preoccupation with consequences for equity. The seeming consensu</w:t>
      </w:r>
      <w:r>
        <w:rPr>
          <w:rFonts w:ascii="Times New Roman" w:eastAsia="Times New Roman" w:hAnsi="Times New Roman" w:cs="Times New Roman"/>
          <w:lang w:val="en-GB"/>
        </w:rPr>
        <w:t xml:space="preserve">s, that might once have allowed </w:t>
      </w:r>
      <w:r w:rsidR="00F41868">
        <w:rPr>
          <w:rFonts w:ascii="Times New Roman" w:eastAsia="Times New Roman" w:hAnsi="Times New Roman" w:cs="Times New Roman"/>
          <w:lang w:val="en-GB"/>
        </w:rPr>
        <w:t>dist</w:t>
      </w:r>
      <w:r>
        <w:rPr>
          <w:rFonts w:ascii="Times New Roman" w:eastAsia="Times New Roman" w:hAnsi="Times New Roman" w:cs="Times New Roman"/>
          <w:lang w:val="en-GB"/>
        </w:rPr>
        <w:t>ributional problems to be dealt</w:t>
      </w:r>
      <w:r w:rsidR="00F41868">
        <w:rPr>
          <w:rFonts w:ascii="Times New Roman" w:eastAsia="Times New Roman" w:hAnsi="Times New Roman" w:cs="Times New Roman"/>
          <w:lang w:val="en-GB"/>
        </w:rPr>
        <w:t xml:space="preserve"> with, is being eroded by the growing awareness </w:t>
      </w:r>
      <w:r>
        <w:rPr>
          <w:rFonts w:ascii="Times New Roman" w:eastAsia="Times New Roman" w:hAnsi="Times New Roman" w:cs="Times New Roman"/>
          <w:lang w:val="en-GB"/>
        </w:rPr>
        <w:t>of the nation’s pluralism and of the differentiation of values that accompan</w:t>
      </w:r>
      <w:r w:rsidR="00865A21">
        <w:rPr>
          <w:rFonts w:ascii="Times New Roman" w:eastAsia="Times New Roman" w:hAnsi="Times New Roman" w:cs="Times New Roman"/>
          <w:lang w:val="en-GB"/>
        </w:rPr>
        <w:t xml:space="preserve">ies differentiation of politics. . . . </w:t>
      </w:r>
      <w:r w:rsidR="00EF7D63">
        <w:rPr>
          <w:rFonts w:ascii="Times New Roman" w:eastAsia="Times New Roman" w:hAnsi="Times New Roman" w:cs="Times New Roman"/>
          <w:lang w:val="en-GB"/>
        </w:rPr>
        <w:t>T</w:t>
      </w:r>
      <w:r>
        <w:rPr>
          <w:rFonts w:ascii="Times New Roman" w:eastAsia="Times New Roman" w:hAnsi="Times New Roman" w:cs="Times New Roman"/>
          <w:lang w:val="en-GB"/>
        </w:rPr>
        <w:t xml:space="preserve">here seems to be a growing realization that a weak strut in the professional’s support system lies </w:t>
      </w:r>
      <w:r w:rsidR="00F41868">
        <w:rPr>
          <w:rFonts w:ascii="Times New Roman" w:eastAsia="Times New Roman" w:hAnsi="Times New Roman" w:cs="Times New Roman"/>
          <w:lang w:val="en-GB"/>
        </w:rPr>
        <w:t>at</w:t>
      </w:r>
      <w:r>
        <w:rPr>
          <w:rFonts w:ascii="Times New Roman" w:eastAsia="Times New Roman" w:hAnsi="Times New Roman" w:cs="Times New Roman"/>
          <w:lang w:val="en-GB"/>
        </w:rPr>
        <w:t xml:space="preserve"> the </w:t>
      </w:r>
      <w:r>
        <w:rPr>
          <w:rFonts w:ascii="Times New Roman" w:eastAsia="Times New Roman" w:hAnsi="Times New Roman" w:cs="Times New Roman"/>
          <w:lang w:val="en-GB"/>
        </w:rPr>
        <w:lastRenderedPageBreak/>
        <w:t>juncture where goal-formation, problem-definition and equity issues meet.</w:t>
      </w:r>
      <w:r w:rsidR="000B1687">
        <w:rPr>
          <w:rStyle w:val="FootnoteReference"/>
          <w:rFonts w:ascii="Times New Roman" w:eastAsia="Times New Roman" w:hAnsi="Times New Roman" w:cs="Times New Roman"/>
          <w:lang w:val="en-GB"/>
        </w:rPr>
        <w:footnoteReference w:id="135"/>
      </w:r>
      <w:r>
        <w:rPr>
          <w:rFonts w:ascii="Times New Roman" w:eastAsia="Times New Roman" w:hAnsi="Times New Roman" w:cs="Times New Roman"/>
          <w:lang w:val="en-GB"/>
        </w:rPr>
        <w:t xml:space="preserve"> </w:t>
      </w:r>
      <w:r w:rsidR="00F41868">
        <w:rPr>
          <w:rFonts w:ascii="Times New Roman" w:eastAsia="Times New Roman" w:hAnsi="Times New Roman" w:cs="Times New Roman"/>
          <w:lang w:val="en-GB"/>
        </w:rPr>
        <w:t xml:space="preserve">    </w:t>
      </w:r>
      <w:r w:rsidR="00DF0F7B">
        <w:rPr>
          <w:rFonts w:ascii="Times New Roman" w:eastAsia="Times New Roman" w:hAnsi="Times New Roman" w:cs="Times New Roman"/>
          <w:lang w:val="en-GB"/>
        </w:rPr>
        <w:t xml:space="preserve">    </w:t>
      </w:r>
      <w:r w:rsidR="00861B63">
        <w:rPr>
          <w:rFonts w:ascii="Times New Roman" w:eastAsia="Times New Roman" w:hAnsi="Times New Roman" w:cs="Times New Roman"/>
          <w:lang w:val="en-GB"/>
        </w:rPr>
        <w:t xml:space="preserve">    </w:t>
      </w:r>
      <w:r w:rsidR="00CE2BD5">
        <w:rPr>
          <w:rFonts w:ascii="Times New Roman" w:eastAsia="Times New Roman" w:hAnsi="Times New Roman" w:cs="Times New Roman"/>
          <w:lang w:val="en-GB"/>
        </w:rPr>
        <w:t xml:space="preserve">    </w:t>
      </w:r>
    </w:p>
    <w:p w14:paraId="57D93089" w14:textId="77777777" w:rsidR="0009647F" w:rsidRDefault="0009647F" w:rsidP="00EF7D63">
      <w:pPr>
        <w:pStyle w:val="Body1"/>
        <w:ind w:firstLine="720"/>
        <w:rPr>
          <w:rFonts w:ascii="Times New Roman" w:eastAsia="Times New Roman" w:hAnsi="Times New Roman" w:cs="Times New Roman"/>
          <w:lang w:val="en-GB"/>
        </w:rPr>
      </w:pPr>
    </w:p>
    <w:p w14:paraId="4227D4FB" w14:textId="77777777" w:rsidR="00FA3643" w:rsidRDefault="0020794E" w:rsidP="00BF6079">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In light of</w:t>
      </w:r>
      <w:r w:rsidR="00EF7D63">
        <w:rPr>
          <w:rFonts w:ascii="Times New Roman" w:eastAsia="Times New Roman" w:hAnsi="Times New Roman" w:cs="Times New Roman"/>
          <w:lang w:val="en-GB"/>
        </w:rPr>
        <w:t xml:space="preserve"> </w:t>
      </w:r>
      <w:r w:rsidR="00D7337D">
        <w:rPr>
          <w:rFonts w:ascii="Times New Roman" w:eastAsia="Times New Roman" w:hAnsi="Times New Roman" w:cs="Times New Roman"/>
          <w:lang w:val="en-GB"/>
        </w:rPr>
        <w:t xml:space="preserve">Rittel and Webber’s </w:t>
      </w:r>
      <w:r w:rsidR="00EF7D63">
        <w:rPr>
          <w:rFonts w:ascii="Times New Roman" w:eastAsia="Times New Roman" w:hAnsi="Times New Roman" w:cs="Times New Roman"/>
          <w:lang w:val="en-GB"/>
        </w:rPr>
        <w:t xml:space="preserve">sensitivity to the fact that engineering models and metaphors </w:t>
      </w:r>
      <w:r>
        <w:rPr>
          <w:rFonts w:ascii="Times New Roman" w:eastAsia="Times New Roman" w:hAnsi="Times New Roman" w:cs="Times New Roman"/>
          <w:lang w:val="en-GB"/>
        </w:rPr>
        <w:t>constitute</w:t>
      </w:r>
      <w:r w:rsidR="00D7337D">
        <w:rPr>
          <w:rFonts w:ascii="Times New Roman" w:eastAsia="Times New Roman" w:hAnsi="Times New Roman" w:cs="Times New Roman"/>
          <w:lang w:val="en-GB"/>
        </w:rPr>
        <w:t xml:space="preserve"> a deflated currency in the age of the modern professional</w:t>
      </w:r>
      <w:r>
        <w:rPr>
          <w:rFonts w:ascii="Times New Roman" w:eastAsia="Times New Roman" w:hAnsi="Times New Roman" w:cs="Times New Roman"/>
          <w:lang w:val="en-GB"/>
        </w:rPr>
        <w:t>, it is</w:t>
      </w:r>
      <w:r w:rsidR="00D7337D">
        <w:rPr>
          <w:rFonts w:ascii="Times New Roman" w:eastAsia="Times New Roman" w:hAnsi="Times New Roman" w:cs="Times New Roman"/>
          <w:lang w:val="en-GB"/>
        </w:rPr>
        <w:t xml:space="preserve"> interesting to note</w:t>
      </w:r>
      <w:r w:rsidR="000A3CD6">
        <w:rPr>
          <w:rFonts w:ascii="Times New Roman" w:eastAsia="Times New Roman" w:hAnsi="Times New Roman" w:cs="Times New Roman"/>
          <w:lang w:val="en-GB"/>
        </w:rPr>
        <w:t xml:space="preserve"> the ease with which they reach for</w:t>
      </w:r>
      <w:r w:rsidR="00D7337D">
        <w:rPr>
          <w:rFonts w:ascii="Times New Roman" w:eastAsia="Times New Roman" w:hAnsi="Times New Roman" w:cs="Times New Roman"/>
          <w:lang w:val="en-GB"/>
        </w:rPr>
        <w:t xml:space="preserve"> </w:t>
      </w:r>
      <w:r w:rsidR="00606D54">
        <w:rPr>
          <w:rFonts w:ascii="Times New Roman" w:eastAsia="Times New Roman" w:hAnsi="Times New Roman" w:cs="Times New Roman"/>
          <w:lang w:val="en-GB"/>
        </w:rPr>
        <w:t>them</w:t>
      </w:r>
      <w:r>
        <w:rPr>
          <w:rFonts w:ascii="Times New Roman" w:eastAsia="Times New Roman" w:hAnsi="Times New Roman" w:cs="Times New Roman"/>
          <w:lang w:val="en-GB"/>
        </w:rPr>
        <w:t xml:space="preserve"> </w:t>
      </w:r>
      <w:r w:rsidR="000A3CD6">
        <w:rPr>
          <w:rFonts w:ascii="Times New Roman" w:eastAsia="Times New Roman" w:hAnsi="Times New Roman" w:cs="Times New Roman"/>
          <w:lang w:val="en-GB"/>
        </w:rPr>
        <w:t>(</w:t>
      </w:r>
      <w:r w:rsidR="00D7337D">
        <w:rPr>
          <w:rFonts w:ascii="Times New Roman" w:eastAsia="Times New Roman" w:hAnsi="Times New Roman" w:cs="Times New Roman"/>
          <w:lang w:val="en-GB"/>
        </w:rPr>
        <w:t>even in the context of a critical ap</w:t>
      </w:r>
      <w:r>
        <w:rPr>
          <w:rFonts w:ascii="Times New Roman" w:eastAsia="Times New Roman" w:hAnsi="Times New Roman" w:cs="Times New Roman"/>
          <w:lang w:val="en-GB"/>
        </w:rPr>
        <w:t>p</w:t>
      </w:r>
      <w:r w:rsidR="00D7337D">
        <w:rPr>
          <w:rFonts w:ascii="Times New Roman" w:eastAsia="Times New Roman" w:hAnsi="Times New Roman" w:cs="Times New Roman"/>
          <w:lang w:val="en-GB"/>
        </w:rPr>
        <w:t>raisal</w:t>
      </w:r>
      <w:r w:rsidR="000A3CD6">
        <w:rPr>
          <w:rFonts w:ascii="Times New Roman" w:eastAsia="Times New Roman" w:hAnsi="Times New Roman" w:cs="Times New Roman"/>
          <w:lang w:val="en-GB"/>
        </w:rPr>
        <w:t>)</w:t>
      </w:r>
      <w:r w:rsidR="00D7337D">
        <w:rPr>
          <w:rFonts w:ascii="Times New Roman" w:eastAsia="Times New Roman" w:hAnsi="Times New Roman" w:cs="Times New Roman"/>
          <w:lang w:val="en-GB"/>
        </w:rPr>
        <w:t>.</w:t>
      </w:r>
      <w:r>
        <w:rPr>
          <w:rFonts w:ascii="Times New Roman" w:eastAsia="Times New Roman" w:hAnsi="Times New Roman" w:cs="Times New Roman"/>
          <w:lang w:val="en-GB"/>
        </w:rPr>
        <w:t xml:space="preserve"> The usage makes for a pleasing literary device, and may have been particularly appealing</w:t>
      </w:r>
      <w:r w:rsidR="001C2C51">
        <w:rPr>
          <w:rFonts w:ascii="Times New Roman" w:eastAsia="Times New Roman" w:hAnsi="Times New Roman" w:cs="Times New Roman"/>
          <w:lang w:val="en-GB"/>
        </w:rPr>
        <w:t xml:space="preserve"> to the </w:t>
      </w:r>
      <w:r>
        <w:rPr>
          <w:rFonts w:ascii="Times New Roman" w:eastAsia="Times New Roman" w:hAnsi="Times New Roman" w:cs="Times New Roman"/>
          <w:lang w:val="en-GB"/>
        </w:rPr>
        <w:t>audience at the American Academy of Sciences</w:t>
      </w:r>
      <w:r w:rsidR="001C2C51">
        <w:rPr>
          <w:rFonts w:ascii="Times New Roman" w:eastAsia="Times New Roman" w:hAnsi="Times New Roman" w:cs="Times New Roman"/>
          <w:lang w:val="en-GB"/>
        </w:rPr>
        <w:t xml:space="preserve"> which was the first to hear the</w:t>
      </w:r>
      <w:r w:rsidR="000A3CD6">
        <w:rPr>
          <w:rFonts w:ascii="Times New Roman" w:eastAsia="Times New Roman" w:hAnsi="Times New Roman" w:cs="Times New Roman"/>
          <w:lang w:val="en-GB"/>
        </w:rPr>
        <w:t>ir</w:t>
      </w:r>
      <w:r w:rsidR="001C2C51">
        <w:rPr>
          <w:rFonts w:ascii="Times New Roman" w:eastAsia="Times New Roman" w:hAnsi="Times New Roman" w:cs="Times New Roman"/>
          <w:lang w:val="en-GB"/>
        </w:rPr>
        <w:t xml:space="preserve"> wicked problems analysis. Their choice of analogy, however, ought no</w:t>
      </w:r>
      <w:r w:rsidR="00DB3822">
        <w:rPr>
          <w:rFonts w:ascii="Times New Roman" w:eastAsia="Times New Roman" w:hAnsi="Times New Roman" w:cs="Times New Roman"/>
          <w:lang w:val="en-GB"/>
        </w:rPr>
        <w:t xml:space="preserve">t </w:t>
      </w:r>
      <w:r w:rsidR="009A384D">
        <w:rPr>
          <w:rFonts w:ascii="Times New Roman" w:eastAsia="Times New Roman" w:hAnsi="Times New Roman" w:cs="Times New Roman"/>
          <w:lang w:val="en-GB"/>
        </w:rPr>
        <w:t xml:space="preserve">to </w:t>
      </w:r>
      <w:r w:rsidR="00DB3822">
        <w:rPr>
          <w:rFonts w:ascii="Times New Roman" w:eastAsia="Times New Roman" w:hAnsi="Times New Roman" w:cs="Times New Roman"/>
          <w:lang w:val="en-GB"/>
        </w:rPr>
        <w:t xml:space="preserve">slip by without remark because bioethics has long employed </w:t>
      </w:r>
      <w:r w:rsidR="00A55830">
        <w:rPr>
          <w:rFonts w:ascii="Times New Roman" w:eastAsia="Times New Roman" w:hAnsi="Times New Roman" w:cs="Times New Roman"/>
          <w:lang w:val="en-GB"/>
        </w:rPr>
        <w:t xml:space="preserve">an </w:t>
      </w:r>
      <w:r w:rsidR="00DB3822">
        <w:rPr>
          <w:rFonts w:ascii="Times New Roman" w:eastAsia="Times New Roman" w:hAnsi="Times New Roman" w:cs="Times New Roman"/>
          <w:lang w:val="en-GB"/>
        </w:rPr>
        <w:t>engineering language of its own</w:t>
      </w:r>
      <w:r w:rsidR="00FA79D7">
        <w:rPr>
          <w:rFonts w:ascii="Times New Roman" w:eastAsia="Times New Roman" w:hAnsi="Times New Roman" w:cs="Times New Roman"/>
          <w:lang w:val="en-GB"/>
        </w:rPr>
        <w:t xml:space="preserve"> – a language which invites some misleading inferences</w:t>
      </w:r>
      <w:r w:rsidR="00DB3822">
        <w:rPr>
          <w:rFonts w:ascii="Times New Roman" w:eastAsia="Times New Roman" w:hAnsi="Times New Roman" w:cs="Times New Roman"/>
          <w:lang w:val="en-GB"/>
        </w:rPr>
        <w:t>. Ethicists may not discuss struts</w:t>
      </w:r>
      <w:r w:rsidR="009A384D">
        <w:rPr>
          <w:rFonts w:ascii="Times New Roman" w:eastAsia="Times New Roman" w:hAnsi="Times New Roman" w:cs="Times New Roman"/>
          <w:lang w:val="en-GB"/>
        </w:rPr>
        <w:t xml:space="preserve"> (we</w:t>
      </w:r>
      <w:r w:rsidR="00DB3822">
        <w:rPr>
          <w:rFonts w:ascii="Times New Roman" w:eastAsia="Times New Roman" w:hAnsi="Times New Roman" w:cs="Times New Roman"/>
          <w:lang w:val="en-GB"/>
        </w:rPr>
        <w:t>ak or otherwise</w:t>
      </w:r>
      <w:r w:rsidR="009A384D">
        <w:rPr>
          <w:rFonts w:ascii="Times New Roman" w:eastAsia="Times New Roman" w:hAnsi="Times New Roman" w:cs="Times New Roman"/>
          <w:lang w:val="en-GB"/>
        </w:rPr>
        <w:t>)</w:t>
      </w:r>
      <w:r w:rsidR="00DB3822">
        <w:rPr>
          <w:rFonts w:ascii="Times New Roman" w:eastAsia="Times New Roman" w:hAnsi="Times New Roman" w:cs="Times New Roman"/>
          <w:lang w:val="en-GB"/>
        </w:rPr>
        <w:t xml:space="preserve"> but, as</w:t>
      </w:r>
      <w:r w:rsidR="001C2C51">
        <w:rPr>
          <w:rFonts w:ascii="Times New Roman" w:eastAsia="Times New Roman" w:hAnsi="Times New Roman" w:cs="Times New Roman"/>
          <w:lang w:val="en-GB"/>
        </w:rPr>
        <w:t xml:space="preserve"> Sherwin has astutely noted, the language of </w:t>
      </w:r>
      <w:r w:rsidR="00FB5790">
        <w:rPr>
          <w:rFonts w:ascii="Times New Roman" w:eastAsia="Times New Roman" w:hAnsi="Times New Roman" w:cs="Times New Roman"/>
          <w:lang w:val="en-GB"/>
        </w:rPr>
        <w:t>foundations and frameworks</w:t>
      </w:r>
      <w:r w:rsidR="00E84178">
        <w:rPr>
          <w:rFonts w:ascii="Times New Roman" w:eastAsia="Times New Roman" w:hAnsi="Times New Roman" w:cs="Times New Roman"/>
          <w:lang w:val="en-GB"/>
        </w:rPr>
        <w:t xml:space="preserve"> may be all too familiar</w:t>
      </w:r>
      <w:r w:rsidR="00FB5790">
        <w:rPr>
          <w:rFonts w:ascii="Times New Roman" w:eastAsia="Times New Roman" w:hAnsi="Times New Roman" w:cs="Times New Roman"/>
          <w:lang w:val="en-GB"/>
        </w:rPr>
        <w:t>,</w:t>
      </w:r>
      <w:r w:rsidR="00E84178">
        <w:rPr>
          <w:rFonts w:ascii="Times New Roman" w:eastAsia="Times New Roman" w:hAnsi="Times New Roman" w:cs="Times New Roman"/>
          <w:lang w:val="en-GB"/>
        </w:rPr>
        <w:t xml:space="preserve"> and </w:t>
      </w:r>
      <w:r w:rsidR="00BF6079">
        <w:rPr>
          <w:rFonts w:ascii="Times New Roman" w:eastAsia="Times New Roman" w:hAnsi="Times New Roman" w:cs="Times New Roman"/>
          <w:lang w:val="en-GB"/>
        </w:rPr>
        <w:t xml:space="preserve">structural </w:t>
      </w:r>
      <w:r w:rsidR="00ED7C3A">
        <w:rPr>
          <w:rFonts w:ascii="Times New Roman" w:eastAsia="Times New Roman" w:hAnsi="Times New Roman" w:cs="Times New Roman"/>
          <w:lang w:val="en-GB"/>
        </w:rPr>
        <w:t>metaphor</w:t>
      </w:r>
      <w:r w:rsidR="00E84178">
        <w:rPr>
          <w:rFonts w:ascii="Times New Roman" w:eastAsia="Times New Roman" w:hAnsi="Times New Roman" w:cs="Times New Roman"/>
          <w:lang w:val="en-GB"/>
        </w:rPr>
        <w:t>s</w:t>
      </w:r>
      <w:r w:rsidR="00A55830">
        <w:rPr>
          <w:rFonts w:ascii="Times New Roman" w:eastAsia="Times New Roman" w:hAnsi="Times New Roman" w:cs="Times New Roman"/>
          <w:lang w:val="en-GB"/>
        </w:rPr>
        <w:t xml:space="preserve"> can</w:t>
      </w:r>
      <w:r w:rsidR="00ED7C3A">
        <w:rPr>
          <w:rFonts w:ascii="Times New Roman" w:eastAsia="Times New Roman" w:hAnsi="Times New Roman" w:cs="Times New Roman"/>
          <w:lang w:val="en-GB"/>
        </w:rPr>
        <w:t xml:space="preserve"> play epistemological</w:t>
      </w:r>
      <w:r w:rsidR="00BF6079">
        <w:rPr>
          <w:rFonts w:ascii="Times New Roman" w:eastAsia="Times New Roman" w:hAnsi="Times New Roman" w:cs="Times New Roman"/>
          <w:lang w:val="en-GB"/>
        </w:rPr>
        <w:t xml:space="preserve"> and </w:t>
      </w:r>
      <w:r w:rsidR="00FC481D">
        <w:rPr>
          <w:rFonts w:ascii="Times New Roman" w:eastAsia="Times New Roman" w:hAnsi="Times New Roman" w:cs="Times New Roman"/>
          <w:lang w:val="en-GB"/>
        </w:rPr>
        <w:t>ethical roles that have undesirable</w:t>
      </w:r>
      <w:r w:rsidR="00E84178">
        <w:rPr>
          <w:rFonts w:ascii="Times New Roman" w:eastAsia="Times New Roman" w:hAnsi="Times New Roman" w:cs="Times New Roman"/>
          <w:lang w:val="en-GB"/>
        </w:rPr>
        <w:t xml:space="preserve"> effects for which </w:t>
      </w:r>
      <w:r w:rsidR="00BF6079">
        <w:rPr>
          <w:rFonts w:ascii="Times New Roman" w:eastAsia="Times New Roman" w:hAnsi="Times New Roman" w:cs="Times New Roman"/>
          <w:lang w:val="en-GB"/>
        </w:rPr>
        <w:t>their aesthetic value can</w:t>
      </w:r>
      <w:r w:rsidR="00E84178">
        <w:rPr>
          <w:rFonts w:ascii="Times New Roman" w:eastAsia="Times New Roman" w:hAnsi="Times New Roman" w:cs="Times New Roman"/>
          <w:lang w:val="en-GB"/>
        </w:rPr>
        <w:t>not compensate</w:t>
      </w:r>
      <w:r w:rsidR="00DB3822">
        <w:rPr>
          <w:rFonts w:ascii="Times New Roman" w:eastAsia="Times New Roman" w:hAnsi="Times New Roman" w:cs="Times New Roman"/>
          <w:lang w:val="en-GB"/>
        </w:rPr>
        <w:t>.</w:t>
      </w:r>
      <w:r w:rsidR="00BF6079">
        <w:rPr>
          <w:rStyle w:val="FootnoteReference"/>
          <w:rFonts w:ascii="Times New Roman" w:eastAsia="Times New Roman" w:hAnsi="Times New Roman" w:cs="Times New Roman"/>
          <w:lang w:val="en-GB"/>
        </w:rPr>
        <w:footnoteReference w:id="136"/>
      </w:r>
      <w:r w:rsidR="00DB3822">
        <w:rPr>
          <w:rFonts w:ascii="Times New Roman" w:eastAsia="Times New Roman" w:hAnsi="Times New Roman" w:cs="Times New Roman"/>
          <w:lang w:val="en-GB"/>
        </w:rPr>
        <w:t xml:space="preserve">   </w:t>
      </w:r>
      <w:r w:rsidR="001C2C51">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  </w:t>
      </w:r>
    </w:p>
    <w:p w14:paraId="0D227987" w14:textId="77777777" w:rsidR="0096138F" w:rsidRDefault="0096138F" w:rsidP="00BF6079">
      <w:pPr>
        <w:pStyle w:val="Body1"/>
        <w:spacing w:line="480" w:lineRule="auto"/>
        <w:ind w:firstLine="720"/>
        <w:rPr>
          <w:rFonts w:ascii="Times New Roman" w:eastAsia="Times New Roman" w:hAnsi="Times New Roman" w:cs="Times New Roman"/>
          <w:lang w:val="en-GB"/>
        </w:rPr>
      </w:pPr>
    </w:p>
    <w:p w14:paraId="7E9CE96F" w14:textId="77777777" w:rsidR="00590A71" w:rsidRDefault="005C6A6B" w:rsidP="00EF7D63">
      <w:pPr>
        <w:pStyle w:val="Body1"/>
        <w:spacing w:line="480" w:lineRule="auto"/>
        <w:jc w:val="both"/>
        <w:rPr>
          <w:rFonts w:ascii="Times New Roman" w:eastAsia="Times New Roman" w:hAnsi="Times New Roman" w:cs="Times New Roman"/>
          <w:i/>
          <w:lang w:val="en-GB"/>
        </w:rPr>
      </w:pPr>
      <w:r>
        <w:rPr>
          <w:rFonts w:ascii="Times New Roman" w:eastAsia="Times New Roman" w:hAnsi="Times New Roman" w:cs="Times New Roman"/>
          <w:i/>
          <w:lang w:val="en-GB"/>
        </w:rPr>
        <w:t>Progressive lenses: i</w:t>
      </w:r>
      <w:r w:rsidR="001506C5" w:rsidRPr="00D222CE">
        <w:rPr>
          <w:rFonts w:ascii="Times New Roman" w:eastAsia="Times New Roman" w:hAnsi="Times New Roman" w:cs="Times New Roman"/>
          <w:i/>
          <w:lang w:val="en-GB"/>
        </w:rPr>
        <w:t xml:space="preserve">lluminating ethical </w:t>
      </w:r>
      <w:r w:rsidR="00D222CE" w:rsidRPr="00D222CE">
        <w:rPr>
          <w:rFonts w:ascii="Times New Roman" w:eastAsia="Times New Roman" w:hAnsi="Times New Roman" w:cs="Times New Roman"/>
          <w:i/>
          <w:lang w:val="en-GB"/>
        </w:rPr>
        <w:t>issues</w:t>
      </w:r>
      <w:r>
        <w:rPr>
          <w:rFonts w:ascii="Times New Roman" w:eastAsia="Times New Roman" w:hAnsi="Times New Roman" w:cs="Times New Roman"/>
          <w:i/>
          <w:lang w:val="en-GB"/>
        </w:rPr>
        <w:t xml:space="preserve"> or distorting</w:t>
      </w:r>
      <w:r w:rsidRPr="005C6A6B">
        <w:rPr>
          <w:rFonts w:ascii="Times New Roman" w:eastAsia="Times New Roman" w:hAnsi="Times New Roman" w:cs="Times New Roman"/>
          <w:i/>
          <w:lang w:val="en-GB"/>
        </w:rPr>
        <w:t xml:space="preserve"> </w:t>
      </w:r>
      <w:r>
        <w:rPr>
          <w:rFonts w:ascii="Times New Roman" w:eastAsia="Times New Roman" w:hAnsi="Times New Roman" w:cs="Times New Roman"/>
          <w:i/>
          <w:lang w:val="en-GB"/>
        </w:rPr>
        <w:t>experience?</w:t>
      </w:r>
    </w:p>
    <w:p w14:paraId="3D193B5A" w14:textId="5738EBC7" w:rsidR="004C55F6" w:rsidRDefault="00ED7C3A" w:rsidP="004C55F6">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In a paper called “Founda</w:t>
      </w:r>
      <w:r w:rsidR="00A26766">
        <w:rPr>
          <w:rFonts w:ascii="Times New Roman" w:eastAsia="Times New Roman" w:hAnsi="Times New Roman" w:cs="Times New Roman"/>
          <w:lang w:val="en-GB"/>
        </w:rPr>
        <w:t>tions, Frameworks, Lenses: The R</w:t>
      </w:r>
      <w:r>
        <w:rPr>
          <w:rFonts w:ascii="Times New Roman" w:eastAsia="Times New Roman" w:hAnsi="Times New Roman" w:cs="Times New Roman"/>
          <w:lang w:val="en-GB"/>
        </w:rPr>
        <w:t xml:space="preserve">ole of Theories in Bioethics,” Sherwin notes that the language of foundations </w:t>
      </w:r>
      <w:r w:rsidR="00A03600">
        <w:rPr>
          <w:rFonts w:ascii="Times New Roman" w:eastAsia="Times New Roman" w:hAnsi="Times New Roman" w:cs="Times New Roman"/>
          <w:lang w:val="en-GB"/>
        </w:rPr>
        <w:t>can provide</w:t>
      </w:r>
      <w:r>
        <w:rPr>
          <w:rFonts w:ascii="Times New Roman" w:eastAsia="Times New Roman" w:hAnsi="Times New Roman" w:cs="Times New Roman"/>
          <w:lang w:val="en-GB"/>
        </w:rPr>
        <w:t xml:space="preserve"> </w:t>
      </w:r>
      <w:r w:rsidR="00A26766">
        <w:rPr>
          <w:rFonts w:ascii="Times New Roman" w:eastAsia="Times New Roman" w:hAnsi="Times New Roman" w:cs="Times New Roman"/>
          <w:lang w:val="en-GB"/>
        </w:rPr>
        <w:t xml:space="preserve">both </w:t>
      </w:r>
      <w:r>
        <w:rPr>
          <w:rFonts w:ascii="Times New Roman" w:eastAsia="Times New Roman" w:hAnsi="Times New Roman" w:cs="Times New Roman"/>
          <w:lang w:val="en-GB"/>
        </w:rPr>
        <w:t xml:space="preserve">a sense of security and a methodology </w:t>
      </w:r>
      <w:r w:rsidR="00787E93">
        <w:rPr>
          <w:rFonts w:ascii="Times New Roman" w:eastAsia="Times New Roman" w:hAnsi="Times New Roman" w:cs="Times New Roman"/>
          <w:lang w:val="en-GB"/>
        </w:rPr>
        <w:t>in a landscape</w:t>
      </w:r>
      <w:r w:rsidR="00460D03">
        <w:rPr>
          <w:rFonts w:ascii="Times New Roman" w:eastAsia="Times New Roman" w:hAnsi="Times New Roman" w:cs="Times New Roman"/>
          <w:lang w:val="en-GB"/>
        </w:rPr>
        <w:t xml:space="preserve"> that can </w:t>
      </w:r>
      <w:r w:rsidR="00460D03">
        <w:rPr>
          <w:rFonts w:ascii="Times New Roman" w:eastAsia="Times New Roman" w:hAnsi="Times New Roman" w:cs="Times New Roman"/>
          <w:lang w:val="en-GB"/>
        </w:rPr>
        <w:lastRenderedPageBreak/>
        <w:t xml:space="preserve">sometimes feel </w:t>
      </w:r>
      <w:r w:rsidR="00D83844">
        <w:rPr>
          <w:rFonts w:ascii="Times New Roman" w:eastAsia="Times New Roman" w:hAnsi="Times New Roman" w:cs="Times New Roman"/>
          <w:lang w:val="en-GB"/>
        </w:rPr>
        <w:t>perilous</w:t>
      </w:r>
      <w:r w:rsidR="00A03600">
        <w:rPr>
          <w:rFonts w:ascii="Times New Roman" w:eastAsia="Times New Roman" w:hAnsi="Times New Roman" w:cs="Times New Roman"/>
          <w:lang w:val="en-GB"/>
        </w:rPr>
        <w:t xml:space="preserve"> and unknowable</w:t>
      </w:r>
      <w:r w:rsidR="00460D03">
        <w:rPr>
          <w:rFonts w:ascii="Times New Roman" w:eastAsia="Times New Roman" w:hAnsi="Times New Roman" w:cs="Times New Roman"/>
          <w:lang w:val="en-GB"/>
        </w:rPr>
        <w:t>. As the wicked problems analysis illustrates</w:t>
      </w:r>
      <w:r w:rsidR="00A03600">
        <w:rPr>
          <w:rFonts w:ascii="Times New Roman" w:eastAsia="Times New Roman" w:hAnsi="Times New Roman" w:cs="Times New Roman"/>
          <w:lang w:val="en-GB"/>
        </w:rPr>
        <w:t>,</w:t>
      </w:r>
      <w:r w:rsidR="00460D03">
        <w:rPr>
          <w:rFonts w:ascii="Times New Roman" w:eastAsia="Times New Roman" w:hAnsi="Times New Roman" w:cs="Times New Roman"/>
          <w:lang w:val="en-GB"/>
        </w:rPr>
        <w:t xml:space="preserve"> ethical problems can see</w:t>
      </w:r>
      <w:r w:rsidR="00A03600">
        <w:rPr>
          <w:rFonts w:ascii="Times New Roman" w:eastAsia="Times New Roman" w:hAnsi="Times New Roman" w:cs="Times New Roman"/>
          <w:lang w:val="en-GB"/>
        </w:rPr>
        <w:t xml:space="preserve">m </w:t>
      </w:r>
      <w:r w:rsidR="00C6237D">
        <w:rPr>
          <w:rFonts w:ascii="Times New Roman" w:eastAsia="Times New Roman" w:hAnsi="Times New Roman" w:cs="Times New Roman"/>
          <w:lang w:val="en-GB"/>
        </w:rPr>
        <w:t>insoluble</w:t>
      </w:r>
      <w:r w:rsidR="00A03600">
        <w:rPr>
          <w:rFonts w:ascii="Times New Roman" w:eastAsia="Times New Roman" w:hAnsi="Times New Roman" w:cs="Times New Roman"/>
          <w:lang w:val="en-GB"/>
        </w:rPr>
        <w:t xml:space="preserve"> but</w:t>
      </w:r>
      <w:r w:rsidR="00A26766">
        <w:rPr>
          <w:rFonts w:ascii="Times New Roman" w:eastAsia="Times New Roman" w:hAnsi="Times New Roman" w:cs="Times New Roman"/>
          <w:lang w:val="en-GB"/>
        </w:rPr>
        <w:t>, as Sherwin observes</w:t>
      </w:r>
      <w:r w:rsidR="00460D03">
        <w:rPr>
          <w:rFonts w:ascii="Times New Roman" w:eastAsia="Times New Roman" w:hAnsi="Times New Roman" w:cs="Times New Roman"/>
          <w:lang w:val="en-GB"/>
        </w:rPr>
        <w:t>, “[f]oundationalism is a highly attractive way of understanding the nature of abstract thought in ethics. It encourages us to believe that all true claims can (at least in principle) be ‘grounded in’ sol</w:t>
      </w:r>
      <w:r w:rsidR="0095035F">
        <w:rPr>
          <w:rFonts w:ascii="Times New Roman" w:eastAsia="Times New Roman" w:hAnsi="Times New Roman" w:cs="Times New Roman"/>
          <w:lang w:val="en-GB"/>
        </w:rPr>
        <w:t>i</w:t>
      </w:r>
      <w:r w:rsidR="00460D03">
        <w:rPr>
          <w:rFonts w:ascii="Times New Roman" w:eastAsia="Times New Roman" w:hAnsi="Times New Roman" w:cs="Times New Roman"/>
          <w:lang w:val="en-GB"/>
        </w:rPr>
        <w:t>d, undeniable truths and it directs us to ev</w:t>
      </w:r>
      <w:r w:rsidR="005C6A6B">
        <w:rPr>
          <w:rFonts w:ascii="Times New Roman" w:eastAsia="Times New Roman" w:hAnsi="Times New Roman" w:cs="Times New Roman"/>
          <w:lang w:val="en-GB"/>
        </w:rPr>
        <w:t>aluate controversial claims by c</w:t>
      </w:r>
      <w:r w:rsidR="00460D03">
        <w:rPr>
          <w:rFonts w:ascii="Times New Roman" w:eastAsia="Times New Roman" w:hAnsi="Times New Roman" w:cs="Times New Roman"/>
          <w:lang w:val="en-GB"/>
        </w:rPr>
        <w:t xml:space="preserve">onsidering whether or not they are supported by plausible theoretical </w:t>
      </w:r>
      <w:r w:rsidR="00460D03" w:rsidRPr="00A26766">
        <w:rPr>
          <w:rFonts w:ascii="Times New Roman" w:eastAsia="Times New Roman" w:hAnsi="Times New Roman" w:cs="Times New Roman"/>
          <w:lang w:val="en-GB"/>
        </w:rPr>
        <w:t>assumptions.”</w:t>
      </w:r>
      <w:r w:rsidR="00460D03" w:rsidRPr="00A26766">
        <w:rPr>
          <w:rStyle w:val="FootnoteReference"/>
          <w:rFonts w:ascii="Times New Roman" w:eastAsia="Times New Roman" w:hAnsi="Times New Roman" w:cs="Times New Roman"/>
          <w:lang w:val="en-GB"/>
        </w:rPr>
        <w:footnoteReference w:id="137"/>
      </w:r>
      <w:r w:rsidR="00460D03" w:rsidRPr="00A26766">
        <w:rPr>
          <w:rFonts w:ascii="Times New Roman" w:eastAsia="Times New Roman" w:hAnsi="Times New Roman" w:cs="Times New Roman"/>
          <w:lang w:val="en-GB"/>
        </w:rPr>
        <w:t xml:space="preserve"> </w:t>
      </w:r>
      <w:r w:rsidR="00A4521A">
        <w:rPr>
          <w:rFonts w:ascii="Times New Roman" w:eastAsia="Times New Roman" w:hAnsi="Times New Roman" w:cs="Times New Roman"/>
          <w:lang w:val="en-GB"/>
        </w:rPr>
        <w:t>Unpacking those assumptions and attending to their significance is</w:t>
      </w:r>
      <w:r w:rsidR="00A26766">
        <w:rPr>
          <w:rFonts w:ascii="Times New Roman" w:eastAsia="Times New Roman" w:hAnsi="Times New Roman" w:cs="Times New Roman"/>
          <w:lang w:val="en-GB"/>
        </w:rPr>
        <w:t xml:space="preserve">, however, </w:t>
      </w:r>
      <w:r w:rsidR="00A4521A">
        <w:rPr>
          <w:rFonts w:ascii="Times New Roman" w:eastAsia="Times New Roman" w:hAnsi="Times New Roman" w:cs="Times New Roman"/>
          <w:lang w:val="en-GB"/>
        </w:rPr>
        <w:t xml:space="preserve">important work – work that she and H. Tristram Engelhardt </w:t>
      </w:r>
      <w:r w:rsidR="000B0769">
        <w:rPr>
          <w:rFonts w:ascii="Times New Roman" w:eastAsia="Times New Roman" w:hAnsi="Times New Roman" w:cs="Times New Roman"/>
          <w:lang w:val="en-GB"/>
        </w:rPr>
        <w:t xml:space="preserve">Jr. </w:t>
      </w:r>
      <w:r w:rsidR="00A4521A">
        <w:rPr>
          <w:rFonts w:ascii="Times New Roman" w:eastAsia="Times New Roman" w:hAnsi="Times New Roman" w:cs="Times New Roman"/>
          <w:lang w:val="en-GB"/>
        </w:rPr>
        <w:t>have undertaken with</w:t>
      </w:r>
      <w:r w:rsidR="00A4521A" w:rsidRPr="00A4521A">
        <w:rPr>
          <w:rFonts w:ascii="Times New Roman" w:eastAsia="Times New Roman" w:hAnsi="Times New Roman" w:cs="Times New Roman"/>
          <w:lang w:val="en-GB"/>
        </w:rPr>
        <w:t xml:space="preserve"> </w:t>
      </w:r>
      <w:r w:rsidR="00A4521A">
        <w:rPr>
          <w:rFonts w:ascii="Times New Roman" w:eastAsia="Times New Roman" w:hAnsi="Times New Roman" w:cs="Times New Roman"/>
          <w:lang w:val="en-GB"/>
        </w:rPr>
        <w:t>vigour.</w:t>
      </w:r>
      <w:r w:rsidR="0095035F">
        <w:rPr>
          <w:rFonts w:ascii="Times New Roman" w:eastAsia="Times New Roman" w:hAnsi="Times New Roman" w:cs="Times New Roman"/>
          <w:lang w:val="en-GB"/>
        </w:rPr>
        <w:t xml:space="preserve"> Their analyses and conclusions </w:t>
      </w:r>
      <w:r w:rsidR="00A4521A">
        <w:rPr>
          <w:rFonts w:ascii="Times New Roman" w:eastAsia="Times New Roman" w:hAnsi="Times New Roman" w:cs="Times New Roman"/>
          <w:lang w:val="en-GB"/>
        </w:rPr>
        <w:t>couldn’t differ more</w:t>
      </w:r>
      <w:r w:rsidR="000B0769">
        <w:rPr>
          <w:rFonts w:ascii="Times New Roman" w:eastAsia="Times New Roman" w:hAnsi="Times New Roman" w:cs="Times New Roman"/>
          <w:lang w:val="en-GB"/>
        </w:rPr>
        <w:t>,</w:t>
      </w:r>
      <w:r w:rsidR="00A4521A">
        <w:rPr>
          <w:rFonts w:ascii="Times New Roman" w:eastAsia="Times New Roman" w:hAnsi="Times New Roman" w:cs="Times New Roman"/>
          <w:lang w:val="en-GB"/>
        </w:rPr>
        <w:t xml:space="preserve"> but the way</w:t>
      </w:r>
      <w:r w:rsidR="00A55830">
        <w:rPr>
          <w:rFonts w:ascii="Times New Roman" w:eastAsia="Times New Roman" w:hAnsi="Times New Roman" w:cs="Times New Roman"/>
          <w:lang w:val="en-GB"/>
        </w:rPr>
        <w:t xml:space="preserve"> that they differ can shed </w:t>
      </w:r>
      <w:r w:rsidR="00FC481D">
        <w:rPr>
          <w:rFonts w:ascii="Times New Roman" w:eastAsia="Times New Roman" w:hAnsi="Times New Roman" w:cs="Times New Roman"/>
          <w:lang w:val="en-GB"/>
        </w:rPr>
        <w:t xml:space="preserve">needed </w:t>
      </w:r>
      <w:r w:rsidR="00A4521A">
        <w:rPr>
          <w:rFonts w:ascii="Times New Roman" w:eastAsia="Times New Roman" w:hAnsi="Times New Roman" w:cs="Times New Roman"/>
          <w:lang w:val="en-GB"/>
        </w:rPr>
        <w:t>light on the persist</w:t>
      </w:r>
      <w:r w:rsidR="005C6A6B">
        <w:rPr>
          <w:rFonts w:ascii="Times New Roman" w:eastAsia="Times New Roman" w:hAnsi="Times New Roman" w:cs="Times New Roman"/>
          <w:lang w:val="en-GB"/>
        </w:rPr>
        <w:t>ent worry that applied ethics cannot produce answers that are free of partiality</w:t>
      </w:r>
      <w:r w:rsidR="00FC481D">
        <w:rPr>
          <w:rFonts w:ascii="Times New Roman" w:eastAsia="Times New Roman" w:hAnsi="Times New Roman" w:cs="Times New Roman"/>
          <w:lang w:val="en-GB"/>
        </w:rPr>
        <w:t xml:space="preserve"> and politics</w:t>
      </w:r>
      <w:r w:rsidR="005C6A6B">
        <w:rPr>
          <w:rFonts w:ascii="Times New Roman" w:eastAsia="Times New Roman" w:hAnsi="Times New Roman" w:cs="Times New Roman"/>
          <w:lang w:val="en-GB"/>
        </w:rPr>
        <w:t>.</w:t>
      </w:r>
    </w:p>
    <w:p w14:paraId="73F20EBC" w14:textId="76B686D8" w:rsidR="00822FF1" w:rsidRDefault="00704D9A" w:rsidP="004C55F6">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Engelhardt shares Tom Koch’s keen awareness</w:t>
      </w:r>
      <w:r w:rsidR="00255616">
        <w:rPr>
          <w:rFonts w:ascii="Times New Roman" w:eastAsia="Times New Roman" w:hAnsi="Times New Roman" w:cs="Times New Roman"/>
          <w:lang w:val="en-GB"/>
        </w:rPr>
        <w:t xml:space="preserve"> </w:t>
      </w:r>
      <w:r w:rsidR="002648B9">
        <w:rPr>
          <w:rFonts w:ascii="Times New Roman" w:eastAsia="Times New Roman" w:hAnsi="Times New Roman" w:cs="Times New Roman"/>
          <w:lang w:val="en-GB"/>
        </w:rPr>
        <w:t xml:space="preserve">of, </w:t>
      </w:r>
      <w:r w:rsidR="00787E93">
        <w:rPr>
          <w:rFonts w:ascii="Times New Roman" w:eastAsia="Times New Roman" w:hAnsi="Times New Roman" w:cs="Times New Roman"/>
          <w:lang w:val="en-GB"/>
        </w:rPr>
        <w:t>and</w:t>
      </w:r>
      <w:r w:rsidR="00713D64">
        <w:rPr>
          <w:rFonts w:ascii="Times New Roman" w:eastAsia="Times New Roman" w:hAnsi="Times New Roman" w:cs="Times New Roman"/>
          <w:lang w:val="en-GB"/>
        </w:rPr>
        <w:t xml:space="preserve"> disappointment</w:t>
      </w:r>
      <w:r w:rsidR="002648B9">
        <w:rPr>
          <w:rFonts w:ascii="Times New Roman" w:eastAsia="Times New Roman" w:hAnsi="Times New Roman" w:cs="Times New Roman"/>
          <w:lang w:val="en-GB"/>
        </w:rPr>
        <w:t xml:space="preserve"> in, the fact</w:t>
      </w:r>
      <w:r w:rsidR="00713D64">
        <w:rPr>
          <w:rFonts w:ascii="Times New Roman" w:eastAsia="Times New Roman" w:hAnsi="Times New Roman" w:cs="Times New Roman"/>
          <w:lang w:val="en-GB"/>
        </w:rPr>
        <w:t xml:space="preserve"> </w:t>
      </w:r>
      <w:r>
        <w:rPr>
          <w:rFonts w:ascii="Times New Roman" w:eastAsia="Times New Roman" w:hAnsi="Times New Roman" w:cs="Times New Roman"/>
          <w:lang w:val="en-GB"/>
        </w:rPr>
        <w:t>that the ethical standards which guided the medical practice</w:t>
      </w:r>
      <w:r w:rsidR="00AB6168">
        <w:rPr>
          <w:rFonts w:ascii="Times New Roman" w:eastAsia="Times New Roman" w:hAnsi="Times New Roman" w:cs="Times New Roman"/>
          <w:lang w:val="en-GB"/>
        </w:rPr>
        <w:t>s</w:t>
      </w:r>
      <w:r>
        <w:rPr>
          <w:rFonts w:ascii="Times New Roman" w:eastAsia="Times New Roman" w:hAnsi="Times New Roman" w:cs="Times New Roman"/>
          <w:lang w:val="en-GB"/>
        </w:rPr>
        <w:t xml:space="preserve"> </w:t>
      </w:r>
      <w:r w:rsidR="00E47D9A">
        <w:rPr>
          <w:rFonts w:ascii="Times New Roman" w:eastAsia="Times New Roman" w:hAnsi="Times New Roman" w:cs="Times New Roman"/>
          <w:lang w:val="en-GB"/>
        </w:rPr>
        <w:t>of</w:t>
      </w:r>
      <w:r>
        <w:rPr>
          <w:rFonts w:ascii="Times New Roman" w:eastAsia="Times New Roman" w:hAnsi="Times New Roman" w:cs="Times New Roman"/>
          <w:lang w:val="en-GB"/>
        </w:rPr>
        <w:t xml:space="preserve"> ear</w:t>
      </w:r>
      <w:r w:rsidR="002648B9">
        <w:rPr>
          <w:rFonts w:ascii="Times New Roman" w:eastAsia="Times New Roman" w:hAnsi="Times New Roman" w:cs="Times New Roman"/>
          <w:lang w:val="en-GB"/>
        </w:rPr>
        <w:t>lier g</w:t>
      </w:r>
      <w:r w:rsidR="00AF3A31">
        <w:rPr>
          <w:rFonts w:ascii="Times New Roman" w:eastAsia="Times New Roman" w:hAnsi="Times New Roman" w:cs="Times New Roman"/>
          <w:lang w:val="en-GB"/>
        </w:rPr>
        <w:t>enerations are, to a large</w:t>
      </w:r>
      <w:r>
        <w:rPr>
          <w:rFonts w:ascii="Times New Roman" w:eastAsia="Times New Roman" w:hAnsi="Times New Roman" w:cs="Times New Roman"/>
          <w:lang w:val="en-GB"/>
        </w:rPr>
        <w:t xml:space="preserve"> extent, no longer compelling. </w:t>
      </w:r>
      <w:r w:rsidR="00E47D9A">
        <w:rPr>
          <w:rFonts w:ascii="Times New Roman" w:eastAsia="Times New Roman" w:hAnsi="Times New Roman" w:cs="Times New Roman"/>
          <w:lang w:val="en-GB"/>
        </w:rPr>
        <w:t xml:space="preserve">The reasons for this, he suggests, are two-fold. </w:t>
      </w:r>
      <w:r w:rsidR="00AB6168">
        <w:rPr>
          <w:rFonts w:ascii="Times New Roman" w:eastAsia="Times New Roman" w:hAnsi="Times New Roman" w:cs="Times New Roman"/>
          <w:lang w:val="en-GB"/>
        </w:rPr>
        <w:t>First, p</w:t>
      </w:r>
      <w:r w:rsidR="00E47D9A">
        <w:rPr>
          <w:rFonts w:ascii="Times New Roman" w:eastAsia="Times New Roman" w:hAnsi="Times New Roman" w:cs="Times New Roman"/>
          <w:lang w:val="en-GB"/>
        </w:rPr>
        <w:t xml:space="preserve">hysicians now stand in a </w:t>
      </w:r>
      <w:r w:rsidR="00AB6168">
        <w:rPr>
          <w:rFonts w:ascii="Times New Roman" w:eastAsia="Times New Roman" w:hAnsi="Times New Roman" w:cs="Times New Roman"/>
          <w:lang w:val="en-GB"/>
        </w:rPr>
        <w:t xml:space="preserve">very </w:t>
      </w:r>
      <w:r w:rsidR="00E47D9A">
        <w:rPr>
          <w:rFonts w:ascii="Times New Roman" w:eastAsia="Times New Roman" w:hAnsi="Times New Roman" w:cs="Times New Roman"/>
          <w:lang w:val="en-GB"/>
        </w:rPr>
        <w:t>different relation to their patients</w:t>
      </w:r>
      <w:r w:rsidR="00AB6168">
        <w:rPr>
          <w:rFonts w:ascii="Times New Roman" w:eastAsia="Times New Roman" w:hAnsi="Times New Roman" w:cs="Times New Roman"/>
          <w:lang w:val="en-GB"/>
        </w:rPr>
        <w:t xml:space="preserve"> than they once did</w:t>
      </w:r>
      <w:r w:rsidR="00E47D9A">
        <w:rPr>
          <w:rFonts w:ascii="Times New Roman" w:eastAsia="Times New Roman" w:hAnsi="Times New Roman" w:cs="Times New Roman"/>
          <w:lang w:val="en-GB"/>
        </w:rPr>
        <w:t xml:space="preserve">. </w:t>
      </w:r>
      <w:r w:rsidR="000B0769">
        <w:rPr>
          <w:rFonts w:ascii="Times New Roman" w:eastAsia="Times New Roman" w:hAnsi="Times New Roman" w:cs="Times New Roman"/>
          <w:lang w:val="en-GB"/>
        </w:rPr>
        <w:t xml:space="preserve">For a variety </w:t>
      </w:r>
      <w:r w:rsidR="00F71C5D">
        <w:rPr>
          <w:rFonts w:ascii="Times New Roman" w:eastAsia="Times New Roman" w:hAnsi="Times New Roman" w:cs="Times New Roman"/>
          <w:lang w:val="en-GB"/>
        </w:rPr>
        <w:t xml:space="preserve">of </w:t>
      </w:r>
      <w:r w:rsidR="000B0769">
        <w:rPr>
          <w:rFonts w:ascii="Times New Roman" w:eastAsia="Times New Roman" w:hAnsi="Times New Roman" w:cs="Times New Roman"/>
          <w:lang w:val="en-GB"/>
        </w:rPr>
        <w:t xml:space="preserve">reasons physicians have, suggests Engelhardt, </w:t>
      </w:r>
      <w:r w:rsidR="008955D2">
        <w:rPr>
          <w:rFonts w:ascii="Times New Roman" w:eastAsia="Times New Roman" w:hAnsi="Times New Roman" w:cs="Times New Roman"/>
          <w:lang w:val="en-GB"/>
        </w:rPr>
        <w:t xml:space="preserve">become </w:t>
      </w:r>
      <w:r w:rsidR="000B0769">
        <w:rPr>
          <w:rFonts w:ascii="Times New Roman" w:eastAsia="Times New Roman" w:hAnsi="Times New Roman" w:cs="Times New Roman"/>
          <w:lang w:val="en-GB"/>
        </w:rPr>
        <w:t>members of an economic interest group rather than a “self-confident guild</w:t>
      </w:r>
      <w:r w:rsidR="00255616">
        <w:rPr>
          <w:rFonts w:ascii="Times New Roman" w:eastAsia="Times New Roman" w:hAnsi="Times New Roman" w:cs="Times New Roman"/>
          <w:lang w:val="en-GB"/>
        </w:rPr>
        <w:t>.”</w:t>
      </w:r>
      <w:r w:rsidR="00255616">
        <w:rPr>
          <w:rStyle w:val="FootnoteReference"/>
          <w:rFonts w:ascii="Times New Roman" w:eastAsia="Times New Roman" w:hAnsi="Times New Roman" w:cs="Times New Roman"/>
          <w:lang w:val="en-GB"/>
        </w:rPr>
        <w:footnoteReference w:id="138"/>
      </w:r>
      <w:r w:rsidR="000B0769">
        <w:rPr>
          <w:rFonts w:ascii="Times New Roman" w:eastAsia="Times New Roman" w:hAnsi="Times New Roman" w:cs="Times New Roman"/>
          <w:lang w:val="en-GB"/>
        </w:rPr>
        <w:t xml:space="preserve"> </w:t>
      </w:r>
      <w:r w:rsidR="00E84178">
        <w:rPr>
          <w:rFonts w:ascii="Times New Roman" w:eastAsia="Times New Roman" w:hAnsi="Times New Roman" w:cs="Times New Roman"/>
          <w:lang w:val="en-GB"/>
        </w:rPr>
        <w:t>Although they</w:t>
      </w:r>
      <w:r w:rsidR="002609A7">
        <w:rPr>
          <w:rFonts w:ascii="Times New Roman" w:eastAsia="Times New Roman" w:hAnsi="Times New Roman" w:cs="Times New Roman"/>
          <w:lang w:val="en-GB"/>
        </w:rPr>
        <w:t xml:space="preserve"> still </w:t>
      </w:r>
      <w:r w:rsidR="00E84178">
        <w:rPr>
          <w:rFonts w:ascii="Times New Roman" w:eastAsia="Times New Roman" w:hAnsi="Times New Roman" w:cs="Times New Roman"/>
          <w:lang w:val="en-GB"/>
        </w:rPr>
        <w:t xml:space="preserve">are, for the most part, </w:t>
      </w:r>
      <w:r w:rsidR="002609A7">
        <w:rPr>
          <w:rFonts w:ascii="Times New Roman" w:eastAsia="Times New Roman" w:hAnsi="Times New Roman" w:cs="Times New Roman"/>
          <w:lang w:val="en-GB"/>
        </w:rPr>
        <w:t xml:space="preserve">fee-for-service </w:t>
      </w:r>
      <w:r w:rsidR="008955D2">
        <w:rPr>
          <w:rFonts w:ascii="Times New Roman" w:eastAsia="Times New Roman" w:hAnsi="Times New Roman" w:cs="Times New Roman"/>
          <w:lang w:val="en-GB"/>
        </w:rPr>
        <w:lastRenderedPageBreak/>
        <w:t xml:space="preserve">(or independent, rather than salaried) </w:t>
      </w:r>
      <w:r w:rsidR="002609A7">
        <w:rPr>
          <w:rFonts w:ascii="Times New Roman" w:eastAsia="Times New Roman" w:hAnsi="Times New Roman" w:cs="Times New Roman"/>
          <w:lang w:val="en-GB"/>
        </w:rPr>
        <w:t>practitioners, t</w:t>
      </w:r>
      <w:r w:rsidR="002B70D9">
        <w:rPr>
          <w:rFonts w:ascii="Times New Roman" w:eastAsia="Times New Roman" w:hAnsi="Times New Roman" w:cs="Times New Roman"/>
          <w:lang w:val="en-GB"/>
        </w:rPr>
        <w:t xml:space="preserve">hey are </w:t>
      </w:r>
      <w:r w:rsidR="00E84178">
        <w:rPr>
          <w:rFonts w:ascii="Times New Roman" w:eastAsia="Times New Roman" w:hAnsi="Times New Roman" w:cs="Times New Roman"/>
          <w:lang w:val="en-GB"/>
        </w:rPr>
        <w:t xml:space="preserve">also </w:t>
      </w:r>
      <w:r w:rsidR="002B70D9">
        <w:rPr>
          <w:rFonts w:ascii="Times New Roman" w:eastAsia="Times New Roman" w:hAnsi="Times New Roman" w:cs="Times New Roman"/>
          <w:lang w:val="en-GB"/>
        </w:rPr>
        <w:t xml:space="preserve">members of </w:t>
      </w:r>
      <w:r w:rsidR="00787E93">
        <w:rPr>
          <w:rFonts w:ascii="Times New Roman" w:eastAsia="Times New Roman" w:hAnsi="Times New Roman" w:cs="Times New Roman"/>
          <w:lang w:val="en-GB"/>
        </w:rPr>
        <w:t xml:space="preserve">interdisciplinary </w:t>
      </w:r>
      <w:r w:rsidR="002B70D9">
        <w:rPr>
          <w:rFonts w:ascii="Times New Roman" w:eastAsia="Times New Roman" w:hAnsi="Times New Roman" w:cs="Times New Roman"/>
          <w:lang w:val="en-GB"/>
        </w:rPr>
        <w:t>health care teams a</w:t>
      </w:r>
      <w:r w:rsidR="001A32A6">
        <w:rPr>
          <w:rFonts w:ascii="Times New Roman" w:eastAsia="Times New Roman" w:hAnsi="Times New Roman" w:cs="Times New Roman"/>
          <w:lang w:val="en-GB"/>
        </w:rPr>
        <w:t>nd</w:t>
      </w:r>
      <w:r w:rsidR="002B70D9">
        <w:rPr>
          <w:rFonts w:ascii="Times New Roman" w:eastAsia="Times New Roman" w:hAnsi="Times New Roman" w:cs="Times New Roman"/>
          <w:lang w:val="en-GB"/>
        </w:rPr>
        <w:t xml:space="preserve"> their practice is subject to scrutin</w:t>
      </w:r>
      <w:r w:rsidR="00AB6168">
        <w:rPr>
          <w:rFonts w:ascii="Times New Roman" w:eastAsia="Times New Roman" w:hAnsi="Times New Roman" w:cs="Times New Roman"/>
          <w:lang w:val="en-GB"/>
        </w:rPr>
        <w:t>y by insurer</w:t>
      </w:r>
      <w:r w:rsidR="002B70D9">
        <w:rPr>
          <w:rFonts w:ascii="Times New Roman" w:eastAsia="Times New Roman" w:hAnsi="Times New Roman" w:cs="Times New Roman"/>
          <w:lang w:val="en-GB"/>
        </w:rPr>
        <w:t xml:space="preserve">s, quality committees, </w:t>
      </w:r>
      <w:r w:rsidR="000B0769">
        <w:rPr>
          <w:rFonts w:ascii="Times New Roman" w:eastAsia="Times New Roman" w:hAnsi="Times New Roman" w:cs="Times New Roman"/>
          <w:lang w:val="en-GB"/>
        </w:rPr>
        <w:t xml:space="preserve">and other </w:t>
      </w:r>
      <w:r w:rsidR="008955D2">
        <w:rPr>
          <w:rFonts w:ascii="Times New Roman" w:eastAsia="Times New Roman" w:hAnsi="Times New Roman" w:cs="Times New Roman"/>
          <w:lang w:val="en-GB"/>
        </w:rPr>
        <w:t xml:space="preserve">internal and </w:t>
      </w:r>
      <w:r w:rsidR="000B0769">
        <w:rPr>
          <w:rFonts w:ascii="Times New Roman" w:eastAsia="Times New Roman" w:hAnsi="Times New Roman" w:cs="Times New Roman"/>
          <w:lang w:val="en-GB"/>
        </w:rPr>
        <w:t>external parties.</w:t>
      </w:r>
      <w:r w:rsidR="002609A7">
        <w:rPr>
          <w:rStyle w:val="FootnoteReference"/>
          <w:rFonts w:ascii="Times New Roman" w:eastAsia="Times New Roman" w:hAnsi="Times New Roman" w:cs="Times New Roman"/>
          <w:lang w:val="en-GB"/>
        </w:rPr>
        <w:footnoteReference w:id="139"/>
      </w:r>
      <w:r w:rsidR="00255616">
        <w:rPr>
          <w:rFonts w:ascii="Times New Roman" w:eastAsia="Times New Roman" w:hAnsi="Times New Roman" w:cs="Times New Roman"/>
          <w:lang w:val="en-GB"/>
        </w:rPr>
        <w:t xml:space="preserve"> Second, </w:t>
      </w:r>
      <w:r w:rsidR="008955D2">
        <w:rPr>
          <w:rFonts w:ascii="Times New Roman" w:eastAsia="Times New Roman" w:hAnsi="Times New Roman" w:cs="Times New Roman"/>
          <w:lang w:val="en-GB"/>
        </w:rPr>
        <w:t xml:space="preserve">in the late twentieth century, </w:t>
      </w:r>
      <w:r w:rsidR="00255616">
        <w:rPr>
          <w:rFonts w:ascii="Times New Roman" w:eastAsia="Times New Roman" w:hAnsi="Times New Roman" w:cs="Times New Roman"/>
          <w:lang w:val="en-GB"/>
        </w:rPr>
        <w:t>mo</w:t>
      </w:r>
      <w:r w:rsidR="00713D64">
        <w:rPr>
          <w:rFonts w:ascii="Times New Roman" w:eastAsia="Times New Roman" w:hAnsi="Times New Roman" w:cs="Times New Roman"/>
          <w:lang w:val="en-GB"/>
        </w:rPr>
        <w:t xml:space="preserve">st Western societies experienced </w:t>
      </w:r>
      <w:r w:rsidR="00255616">
        <w:rPr>
          <w:rFonts w:ascii="Times New Roman" w:eastAsia="Times New Roman" w:hAnsi="Times New Roman" w:cs="Times New Roman"/>
          <w:lang w:val="en-GB"/>
        </w:rPr>
        <w:t>a gradual</w:t>
      </w:r>
      <w:r w:rsidR="00E84178">
        <w:rPr>
          <w:rFonts w:ascii="Times New Roman" w:eastAsia="Times New Roman" w:hAnsi="Times New Roman" w:cs="Times New Roman"/>
          <w:lang w:val="en-GB"/>
        </w:rPr>
        <w:t>,</w:t>
      </w:r>
      <w:r w:rsidR="00255616">
        <w:rPr>
          <w:rFonts w:ascii="Times New Roman" w:eastAsia="Times New Roman" w:hAnsi="Times New Roman" w:cs="Times New Roman"/>
          <w:lang w:val="en-GB"/>
        </w:rPr>
        <w:t xml:space="preserve"> but significant</w:t>
      </w:r>
      <w:r w:rsidR="00E84178">
        <w:rPr>
          <w:rFonts w:ascii="Times New Roman" w:eastAsia="Times New Roman" w:hAnsi="Times New Roman" w:cs="Times New Roman"/>
          <w:lang w:val="en-GB"/>
        </w:rPr>
        <w:t>,</w:t>
      </w:r>
      <w:r w:rsidR="00255616">
        <w:rPr>
          <w:rFonts w:ascii="Times New Roman" w:eastAsia="Times New Roman" w:hAnsi="Times New Roman" w:cs="Times New Roman"/>
          <w:lang w:val="en-GB"/>
        </w:rPr>
        <w:t xml:space="preserve"> </w:t>
      </w:r>
      <w:r w:rsidR="00822FF1">
        <w:rPr>
          <w:rFonts w:ascii="Times New Roman" w:eastAsia="Times New Roman" w:hAnsi="Times New Roman" w:cs="Times New Roman"/>
          <w:lang w:val="en-GB"/>
        </w:rPr>
        <w:t xml:space="preserve">cultural shift that weakened the influence of religion (particularly that </w:t>
      </w:r>
      <w:r w:rsidR="00713D64">
        <w:rPr>
          <w:rFonts w:ascii="Times New Roman" w:eastAsia="Times New Roman" w:hAnsi="Times New Roman" w:cs="Times New Roman"/>
          <w:lang w:val="en-GB"/>
        </w:rPr>
        <w:t xml:space="preserve">of </w:t>
      </w:r>
      <w:r w:rsidR="00AF3A31">
        <w:rPr>
          <w:rFonts w:ascii="Times New Roman" w:eastAsia="Times New Roman" w:hAnsi="Times New Roman" w:cs="Times New Roman"/>
          <w:lang w:val="en-GB"/>
        </w:rPr>
        <w:t xml:space="preserve">the </w:t>
      </w:r>
      <w:r w:rsidR="00713D64">
        <w:rPr>
          <w:rFonts w:ascii="Times New Roman" w:eastAsia="Times New Roman" w:hAnsi="Times New Roman" w:cs="Times New Roman"/>
          <w:lang w:val="en-GB"/>
        </w:rPr>
        <w:t>Protestant Christian denomination</w:t>
      </w:r>
      <w:r w:rsidR="00822FF1">
        <w:rPr>
          <w:rFonts w:ascii="Times New Roman" w:eastAsia="Times New Roman" w:hAnsi="Times New Roman" w:cs="Times New Roman"/>
          <w:lang w:val="en-GB"/>
        </w:rPr>
        <w:t>s) on public life.</w:t>
      </w:r>
      <w:r w:rsidR="00E84178">
        <w:rPr>
          <w:rFonts w:ascii="Times New Roman" w:eastAsia="Times New Roman" w:hAnsi="Times New Roman" w:cs="Times New Roman"/>
          <w:lang w:val="en-GB"/>
        </w:rPr>
        <w:t xml:space="preserve"> For medicine, Engelhardt suggests, </w:t>
      </w:r>
      <w:r w:rsidR="00822FF1">
        <w:rPr>
          <w:rFonts w:ascii="Times New Roman" w:eastAsia="Times New Roman" w:hAnsi="Times New Roman" w:cs="Times New Roman"/>
          <w:lang w:val="en-GB"/>
        </w:rPr>
        <w:t xml:space="preserve">the implications </w:t>
      </w:r>
      <w:r w:rsidR="00E84178">
        <w:rPr>
          <w:rFonts w:ascii="Times New Roman" w:eastAsia="Times New Roman" w:hAnsi="Times New Roman" w:cs="Times New Roman"/>
          <w:lang w:val="en-GB"/>
        </w:rPr>
        <w:t xml:space="preserve">of this shift have been </w:t>
      </w:r>
      <w:r w:rsidR="00822FF1">
        <w:rPr>
          <w:rFonts w:ascii="Times New Roman" w:eastAsia="Times New Roman" w:hAnsi="Times New Roman" w:cs="Times New Roman"/>
          <w:lang w:val="en-GB"/>
        </w:rPr>
        <w:t xml:space="preserve">profound: </w:t>
      </w:r>
    </w:p>
    <w:p w14:paraId="282C3517" w14:textId="77777777" w:rsidR="00006F1F" w:rsidRDefault="00822FF1" w:rsidP="00865A21">
      <w:pPr>
        <w:pStyle w:val="Body1"/>
        <w:ind w:left="720"/>
        <w:rPr>
          <w:rFonts w:ascii="Times New Roman" w:eastAsia="Times New Roman" w:hAnsi="Times New Roman" w:cs="Times New Roman"/>
          <w:lang w:val="en-GB"/>
        </w:rPr>
      </w:pPr>
      <w:r>
        <w:rPr>
          <w:rFonts w:ascii="Times New Roman" w:eastAsia="Times New Roman" w:hAnsi="Times New Roman" w:cs="Times New Roman"/>
          <w:lang w:val="en-GB"/>
        </w:rPr>
        <w:t>The metaphysical foundations that supported the traditional views that guided healthcare in the West were politically delegitimated as a basis for healthcare policy. As a result, traditional moral commitments regarding reproduction, dying, and death were brought into question</w:t>
      </w:r>
      <w:r w:rsidR="00865A21">
        <w:rPr>
          <w:rFonts w:ascii="Times New Roman" w:eastAsia="Times New Roman" w:hAnsi="Times New Roman" w:cs="Times New Roman"/>
          <w:lang w:val="en-GB"/>
        </w:rPr>
        <w:t>, as for instance with respect to abortion, artificial insemination by donors, and the use of physician-assisted suicide. . . . The traditional moral culture for medicine had lost its foundations, and a new one required articulation.</w:t>
      </w:r>
      <w:r w:rsidR="00865A21">
        <w:rPr>
          <w:rStyle w:val="FootnoteReference"/>
          <w:rFonts w:ascii="Times New Roman" w:eastAsia="Times New Roman" w:hAnsi="Times New Roman" w:cs="Times New Roman"/>
          <w:lang w:val="en-GB"/>
        </w:rPr>
        <w:footnoteReference w:id="140"/>
      </w:r>
      <w:r>
        <w:rPr>
          <w:rFonts w:ascii="Times New Roman" w:eastAsia="Times New Roman" w:hAnsi="Times New Roman" w:cs="Times New Roman"/>
          <w:lang w:val="en-GB"/>
        </w:rPr>
        <w:t xml:space="preserve">   </w:t>
      </w:r>
    </w:p>
    <w:p w14:paraId="42FD7152" w14:textId="77777777" w:rsidR="008955D2" w:rsidRDefault="008955D2" w:rsidP="008955D2">
      <w:pPr>
        <w:pStyle w:val="Body1"/>
        <w:rPr>
          <w:rFonts w:ascii="Times New Roman" w:eastAsia="Times New Roman" w:hAnsi="Times New Roman" w:cs="Times New Roman"/>
          <w:lang w:val="en-GB"/>
        </w:rPr>
      </w:pPr>
      <w:r>
        <w:rPr>
          <w:rFonts w:ascii="Times New Roman" w:eastAsia="Times New Roman" w:hAnsi="Times New Roman" w:cs="Times New Roman"/>
          <w:lang w:val="en-GB"/>
        </w:rPr>
        <w:tab/>
      </w:r>
    </w:p>
    <w:p w14:paraId="6E46C119" w14:textId="710F8D59" w:rsidR="00066092" w:rsidRDefault="00400D6C" w:rsidP="001A4A9A">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 xml:space="preserve">Although one might celebrate, mourn, or be apathetic about the changes described in Engelhardt’s potted history, it is impossible to deny his claim that modern medicine is practised in a </w:t>
      </w:r>
      <w:r w:rsidR="00EF770B">
        <w:rPr>
          <w:rFonts w:ascii="Times New Roman" w:eastAsia="Times New Roman" w:hAnsi="Times New Roman" w:cs="Times New Roman"/>
          <w:lang w:val="en-GB"/>
        </w:rPr>
        <w:t xml:space="preserve">societal </w:t>
      </w:r>
      <w:r>
        <w:rPr>
          <w:rFonts w:ascii="Times New Roman" w:eastAsia="Times New Roman" w:hAnsi="Times New Roman" w:cs="Times New Roman"/>
          <w:lang w:val="en-GB"/>
        </w:rPr>
        <w:t xml:space="preserve">context which is characterised by a diversity of </w:t>
      </w:r>
      <w:r w:rsidR="005739C9">
        <w:rPr>
          <w:rFonts w:ascii="Times New Roman" w:eastAsia="Times New Roman" w:hAnsi="Times New Roman" w:cs="Times New Roman"/>
          <w:lang w:val="en-GB"/>
        </w:rPr>
        <w:t xml:space="preserve">moral views – views which pertain </w:t>
      </w:r>
      <w:r w:rsidR="002C1D18">
        <w:rPr>
          <w:rFonts w:ascii="Times New Roman" w:eastAsia="Times New Roman" w:hAnsi="Times New Roman" w:cs="Times New Roman"/>
          <w:lang w:val="en-GB"/>
        </w:rPr>
        <w:t xml:space="preserve">both </w:t>
      </w:r>
      <w:r w:rsidR="005739C9">
        <w:rPr>
          <w:rFonts w:ascii="Times New Roman" w:eastAsia="Times New Roman" w:hAnsi="Times New Roman" w:cs="Times New Roman"/>
          <w:lang w:val="en-GB"/>
        </w:rPr>
        <w:t>to</w:t>
      </w:r>
      <w:r>
        <w:rPr>
          <w:rFonts w:ascii="Times New Roman" w:eastAsia="Times New Roman" w:hAnsi="Times New Roman" w:cs="Times New Roman"/>
          <w:lang w:val="en-GB"/>
        </w:rPr>
        <w:t xml:space="preserve"> </w:t>
      </w:r>
      <w:r w:rsidR="005739C9">
        <w:rPr>
          <w:rFonts w:ascii="Times New Roman" w:eastAsia="Times New Roman" w:hAnsi="Times New Roman" w:cs="Times New Roman"/>
          <w:lang w:val="en-GB"/>
        </w:rPr>
        <w:t>the conduct and standing of its individual members, and to the broader aims and responsibilities of the profession itself.</w:t>
      </w:r>
      <w:r w:rsidR="00A9783B">
        <w:rPr>
          <w:rFonts w:ascii="Times New Roman" w:eastAsia="Times New Roman" w:hAnsi="Times New Roman" w:cs="Times New Roman"/>
          <w:lang w:val="en-GB"/>
        </w:rPr>
        <w:t xml:space="preserve"> Medicine is not, and cannot, be an endeavour </w:t>
      </w:r>
      <w:r w:rsidR="00EF770B">
        <w:rPr>
          <w:rFonts w:ascii="Times New Roman" w:eastAsia="Times New Roman" w:hAnsi="Times New Roman" w:cs="Times New Roman"/>
          <w:lang w:val="en-GB"/>
        </w:rPr>
        <w:t>which is</w:t>
      </w:r>
      <w:r w:rsidR="00A9783B">
        <w:rPr>
          <w:rFonts w:ascii="Times New Roman" w:eastAsia="Times New Roman" w:hAnsi="Times New Roman" w:cs="Times New Roman"/>
          <w:lang w:val="en-GB"/>
        </w:rPr>
        <w:t xml:space="preserve"> insulated </w:t>
      </w:r>
      <w:r w:rsidR="00EF770B">
        <w:rPr>
          <w:rFonts w:ascii="Times New Roman" w:eastAsia="Times New Roman" w:hAnsi="Times New Roman" w:cs="Times New Roman"/>
          <w:lang w:val="en-GB"/>
        </w:rPr>
        <w:t xml:space="preserve">entirely </w:t>
      </w:r>
      <w:r w:rsidR="00A9783B">
        <w:rPr>
          <w:rFonts w:ascii="Times New Roman" w:eastAsia="Times New Roman" w:hAnsi="Times New Roman" w:cs="Times New Roman"/>
          <w:lang w:val="en-GB"/>
        </w:rPr>
        <w:t xml:space="preserve">from the complex problems (some of them wicked, in the sense described </w:t>
      </w:r>
      <w:r w:rsidR="00A9783B">
        <w:rPr>
          <w:rFonts w:ascii="Times New Roman" w:eastAsia="Times New Roman" w:hAnsi="Times New Roman" w:cs="Times New Roman"/>
          <w:lang w:val="en-GB"/>
        </w:rPr>
        <w:lastRenderedPageBreak/>
        <w:t xml:space="preserve">earlier) arising in our </w:t>
      </w:r>
      <w:r w:rsidR="005739C9">
        <w:rPr>
          <w:rFonts w:ascii="Times New Roman" w:eastAsia="Times New Roman" w:hAnsi="Times New Roman" w:cs="Times New Roman"/>
          <w:lang w:val="en-GB"/>
        </w:rPr>
        <w:t xml:space="preserve">increasingly heterogeneous </w:t>
      </w:r>
      <w:r w:rsidR="00713D64">
        <w:rPr>
          <w:rFonts w:ascii="Times New Roman" w:eastAsia="Times New Roman" w:hAnsi="Times New Roman" w:cs="Times New Roman"/>
          <w:lang w:val="en-GB"/>
        </w:rPr>
        <w:t>and too-</w:t>
      </w:r>
      <w:r w:rsidR="00A9783B">
        <w:rPr>
          <w:rFonts w:ascii="Times New Roman" w:eastAsia="Times New Roman" w:hAnsi="Times New Roman" w:cs="Times New Roman"/>
          <w:lang w:val="en-GB"/>
        </w:rPr>
        <w:t xml:space="preserve">often divided </w:t>
      </w:r>
      <w:r w:rsidR="005739C9">
        <w:rPr>
          <w:rFonts w:ascii="Times New Roman" w:eastAsia="Times New Roman" w:hAnsi="Times New Roman" w:cs="Times New Roman"/>
          <w:lang w:val="en-GB"/>
        </w:rPr>
        <w:t>political communities.</w:t>
      </w:r>
      <w:r w:rsidR="00EF770B">
        <w:rPr>
          <w:rFonts w:ascii="Times New Roman" w:eastAsia="Times New Roman" w:hAnsi="Times New Roman" w:cs="Times New Roman"/>
          <w:lang w:val="en-GB"/>
        </w:rPr>
        <w:t xml:space="preserve"> A health care provider (who need not be a physician,</w:t>
      </w:r>
      <w:r w:rsidR="00431AAE">
        <w:rPr>
          <w:rFonts w:ascii="Times New Roman" w:eastAsia="Times New Roman" w:hAnsi="Times New Roman" w:cs="Times New Roman"/>
          <w:lang w:val="en-GB"/>
        </w:rPr>
        <w:t xml:space="preserve"> although physicians are Engelhardt’s particular focus) has no warrant to resolve difficult cases arising in care provision solely via reference to her personal views about the good</w:t>
      </w:r>
      <w:r w:rsidR="00C54277">
        <w:rPr>
          <w:rFonts w:ascii="Times New Roman" w:eastAsia="Times New Roman" w:hAnsi="Times New Roman" w:cs="Times New Roman"/>
          <w:lang w:val="en-GB"/>
        </w:rPr>
        <w:t>, or even the good of her patient</w:t>
      </w:r>
      <w:r w:rsidR="00431AAE">
        <w:rPr>
          <w:rFonts w:ascii="Times New Roman" w:eastAsia="Times New Roman" w:hAnsi="Times New Roman" w:cs="Times New Roman"/>
          <w:lang w:val="en-GB"/>
        </w:rPr>
        <w:t>.</w:t>
      </w:r>
      <w:r w:rsidR="00C54277">
        <w:rPr>
          <w:rFonts w:ascii="Times New Roman" w:eastAsia="Times New Roman" w:hAnsi="Times New Roman" w:cs="Times New Roman"/>
          <w:lang w:val="en-GB"/>
        </w:rPr>
        <w:t xml:space="preserve"> </w:t>
      </w:r>
      <w:r w:rsidR="00713D64">
        <w:rPr>
          <w:rFonts w:ascii="Times New Roman" w:eastAsia="Times New Roman" w:hAnsi="Times New Roman" w:cs="Times New Roman"/>
          <w:lang w:val="en-GB"/>
        </w:rPr>
        <w:t>To offer what is now a relatively uncontroversial example</w:t>
      </w:r>
      <w:r w:rsidR="00C54277">
        <w:rPr>
          <w:rFonts w:ascii="Times New Roman" w:eastAsia="Times New Roman" w:hAnsi="Times New Roman" w:cs="Times New Roman"/>
          <w:lang w:val="en-GB"/>
        </w:rPr>
        <w:t>, a Jehovah’s Witness who is in need of a heart transplant</w:t>
      </w:r>
      <w:r w:rsidR="00A04055">
        <w:rPr>
          <w:rFonts w:ascii="Times New Roman" w:eastAsia="Times New Roman" w:hAnsi="Times New Roman" w:cs="Times New Roman"/>
          <w:lang w:val="en-GB"/>
        </w:rPr>
        <w:t xml:space="preserve"> is not obliged to accept </w:t>
      </w:r>
      <w:r w:rsidR="00C54277">
        <w:rPr>
          <w:rFonts w:ascii="Times New Roman" w:eastAsia="Times New Roman" w:hAnsi="Times New Roman" w:cs="Times New Roman"/>
          <w:lang w:val="en-GB"/>
        </w:rPr>
        <w:t>surgery only on the terms his surgeon deems optimal. A bloodless surgery</w:t>
      </w:r>
      <w:r w:rsidR="00A04055">
        <w:rPr>
          <w:rFonts w:ascii="Times New Roman" w:eastAsia="Times New Roman" w:hAnsi="Times New Roman" w:cs="Times New Roman"/>
          <w:lang w:val="en-GB"/>
        </w:rPr>
        <w:t xml:space="preserve"> may offer </w:t>
      </w:r>
      <w:r w:rsidR="00C54277">
        <w:rPr>
          <w:rFonts w:ascii="Times New Roman" w:eastAsia="Times New Roman" w:hAnsi="Times New Roman" w:cs="Times New Roman"/>
          <w:lang w:val="en-GB"/>
        </w:rPr>
        <w:t>survival statistics tha</w:t>
      </w:r>
      <w:r w:rsidR="00FB5790">
        <w:rPr>
          <w:rFonts w:ascii="Times New Roman" w:eastAsia="Times New Roman" w:hAnsi="Times New Roman" w:cs="Times New Roman"/>
          <w:lang w:val="en-GB"/>
        </w:rPr>
        <w:t xml:space="preserve">t are </w:t>
      </w:r>
      <w:r w:rsidR="0071553A">
        <w:rPr>
          <w:rFonts w:ascii="Times New Roman" w:eastAsia="Times New Roman" w:hAnsi="Times New Roman" w:cs="Times New Roman"/>
          <w:lang w:val="en-GB"/>
        </w:rPr>
        <w:t xml:space="preserve">bleaker </w:t>
      </w:r>
      <w:r w:rsidR="00C54277">
        <w:rPr>
          <w:rFonts w:ascii="Times New Roman" w:eastAsia="Times New Roman" w:hAnsi="Times New Roman" w:cs="Times New Roman"/>
          <w:lang w:val="en-GB"/>
        </w:rPr>
        <w:t xml:space="preserve">than </w:t>
      </w:r>
      <w:r w:rsidR="00EF74A9">
        <w:rPr>
          <w:rFonts w:ascii="Times New Roman" w:eastAsia="Times New Roman" w:hAnsi="Times New Roman" w:cs="Times New Roman"/>
          <w:lang w:val="en-GB"/>
        </w:rPr>
        <w:t>those associated with conventional alternatives,</w:t>
      </w:r>
      <w:r w:rsidR="00C54277">
        <w:rPr>
          <w:rFonts w:ascii="Times New Roman" w:eastAsia="Times New Roman" w:hAnsi="Times New Roman" w:cs="Times New Roman"/>
          <w:lang w:val="en-GB"/>
        </w:rPr>
        <w:t xml:space="preserve"> </w:t>
      </w:r>
      <w:r w:rsidR="00EF74A9">
        <w:rPr>
          <w:rFonts w:ascii="Times New Roman" w:eastAsia="Times New Roman" w:hAnsi="Times New Roman" w:cs="Times New Roman"/>
          <w:lang w:val="en-GB"/>
        </w:rPr>
        <w:t xml:space="preserve">but it is far from obvious that the better procedure will be one that involves the use of blood products. </w:t>
      </w:r>
      <w:r w:rsidR="006907D6">
        <w:rPr>
          <w:rFonts w:ascii="Times New Roman" w:eastAsia="Times New Roman" w:hAnsi="Times New Roman" w:cs="Times New Roman"/>
          <w:lang w:val="en-GB"/>
        </w:rPr>
        <w:t xml:space="preserve">Although surgical teams may insist that </w:t>
      </w:r>
      <w:r w:rsidR="00682706">
        <w:rPr>
          <w:rFonts w:ascii="Times New Roman" w:eastAsia="Times New Roman" w:hAnsi="Times New Roman" w:cs="Times New Roman"/>
          <w:lang w:val="en-GB"/>
        </w:rPr>
        <w:t xml:space="preserve">physiological </w:t>
      </w:r>
      <w:r w:rsidR="006907D6">
        <w:rPr>
          <w:rFonts w:ascii="Times New Roman" w:eastAsia="Times New Roman" w:hAnsi="Times New Roman" w:cs="Times New Roman"/>
          <w:lang w:val="en-GB"/>
        </w:rPr>
        <w:t>outcomes</w:t>
      </w:r>
      <w:r w:rsidR="00682706">
        <w:rPr>
          <w:rFonts w:ascii="Times New Roman" w:eastAsia="Times New Roman" w:hAnsi="Times New Roman" w:cs="Times New Roman"/>
          <w:lang w:val="en-GB"/>
        </w:rPr>
        <w:t xml:space="preserve"> are better when</w:t>
      </w:r>
      <w:r w:rsidR="00FB5790">
        <w:rPr>
          <w:rFonts w:ascii="Times New Roman" w:eastAsia="Times New Roman" w:hAnsi="Times New Roman" w:cs="Times New Roman"/>
          <w:lang w:val="en-GB"/>
        </w:rPr>
        <w:t xml:space="preserve"> transfusion can be supplied</w:t>
      </w:r>
      <w:r w:rsidR="00987461">
        <w:rPr>
          <w:rFonts w:ascii="Times New Roman" w:eastAsia="Times New Roman" w:hAnsi="Times New Roman" w:cs="Times New Roman"/>
          <w:lang w:val="en-GB"/>
        </w:rPr>
        <w:t xml:space="preserve"> as</w:t>
      </w:r>
      <w:r w:rsidR="00713D64">
        <w:rPr>
          <w:rFonts w:ascii="Times New Roman" w:eastAsia="Times New Roman" w:hAnsi="Times New Roman" w:cs="Times New Roman"/>
          <w:lang w:val="en-GB"/>
        </w:rPr>
        <w:t xml:space="preserve"> </w:t>
      </w:r>
      <w:r w:rsidR="006907D6">
        <w:rPr>
          <w:rFonts w:ascii="Times New Roman" w:eastAsia="Times New Roman" w:hAnsi="Times New Roman" w:cs="Times New Roman"/>
          <w:lang w:val="en-GB"/>
        </w:rPr>
        <w:t xml:space="preserve">needed, even those who are most </w:t>
      </w:r>
      <w:r w:rsidR="002C1D18">
        <w:rPr>
          <w:rFonts w:ascii="Times New Roman" w:eastAsia="Times New Roman" w:hAnsi="Times New Roman" w:cs="Times New Roman"/>
          <w:lang w:val="en-GB"/>
        </w:rPr>
        <w:t xml:space="preserve">focussed </w:t>
      </w:r>
      <w:r w:rsidR="006907D6">
        <w:rPr>
          <w:rFonts w:ascii="Times New Roman" w:eastAsia="Times New Roman" w:hAnsi="Times New Roman" w:cs="Times New Roman"/>
          <w:lang w:val="en-GB"/>
        </w:rPr>
        <w:t>o</w:t>
      </w:r>
      <w:r w:rsidR="002C1D18">
        <w:rPr>
          <w:rFonts w:ascii="Times New Roman" w:eastAsia="Times New Roman" w:hAnsi="Times New Roman" w:cs="Times New Roman"/>
          <w:lang w:val="en-GB"/>
        </w:rPr>
        <w:t>n</w:t>
      </w:r>
      <w:r w:rsidR="006907D6">
        <w:rPr>
          <w:rFonts w:ascii="Times New Roman" w:eastAsia="Times New Roman" w:hAnsi="Times New Roman" w:cs="Times New Roman"/>
          <w:lang w:val="en-GB"/>
        </w:rPr>
        <w:t xml:space="preserve"> the technical aspects of the procedure are </w:t>
      </w:r>
      <w:r w:rsidR="00A04055">
        <w:rPr>
          <w:rFonts w:ascii="Times New Roman" w:eastAsia="Times New Roman" w:hAnsi="Times New Roman" w:cs="Times New Roman"/>
          <w:lang w:val="en-GB"/>
        </w:rPr>
        <w:t>unlikely to deny that the patient’</w:t>
      </w:r>
      <w:r w:rsidR="00AA78D9">
        <w:rPr>
          <w:rFonts w:ascii="Times New Roman" w:eastAsia="Times New Roman" w:hAnsi="Times New Roman" w:cs="Times New Roman"/>
          <w:lang w:val="en-GB"/>
        </w:rPr>
        <w:t>s values are central to any effort to eva</w:t>
      </w:r>
      <w:r w:rsidR="00713D64">
        <w:rPr>
          <w:rFonts w:ascii="Times New Roman" w:eastAsia="Times New Roman" w:hAnsi="Times New Roman" w:cs="Times New Roman"/>
          <w:lang w:val="en-GB"/>
        </w:rPr>
        <w:t>luate the success of the intervention</w:t>
      </w:r>
      <w:r w:rsidR="00AA78D9">
        <w:rPr>
          <w:rFonts w:ascii="Times New Roman" w:eastAsia="Times New Roman" w:hAnsi="Times New Roman" w:cs="Times New Roman"/>
          <w:lang w:val="en-GB"/>
        </w:rPr>
        <w:t xml:space="preserve">. Even the most secular surgeon </w:t>
      </w:r>
      <w:r w:rsidR="00713D64">
        <w:rPr>
          <w:rFonts w:ascii="Times New Roman" w:eastAsia="Times New Roman" w:hAnsi="Times New Roman" w:cs="Times New Roman"/>
          <w:lang w:val="en-GB"/>
        </w:rPr>
        <w:t>now accepts</w:t>
      </w:r>
      <w:r w:rsidR="00AA78D9">
        <w:rPr>
          <w:rFonts w:ascii="Times New Roman" w:eastAsia="Times New Roman" w:hAnsi="Times New Roman" w:cs="Times New Roman"/>
          <w:lang w:val="en-GB"/>
        </w:rPr>
        <w:t xml:space="preserve"> that, for </w:t>
      </w:r>
      <w:r w:rsidR="001A4A9A">
        <w:rPr>
          <w:rFonts w:ascii="Times New Roman" w:eastAsia="Times New Roman" w:hAnsi="Times New Roman" w:cs="Times New Roman"/>
          <w:lang w:val="en-GB"/>
        </w:rPr>
        <w:t>m</w:t>
      </w:r>
      <w:r w:rsidR="00AA78D9">
        <w:rPr>
          <w:rFonts w:ascii="Times New Roman" w:eastAsia="Times New Roman" w:hAnsi="Times New Roman" w:cs="Times New Roman"/>
          <w:lang w:val="en-GB"/>
        </w:rPr>
        <w:t xml:space="preserve">any of her patients, a life purchased at the cost of a soul is </w:t>
      </w:r>
      <w:r w:rsidR="002F345A">
        <w:rPr>
          <w:rFonts w:ascii="Times New Roman" w:eastAsia="Times New Roman" w:hAnsi="Times New Roman" w:cs="Times New Roman"/>
          <w:lang w:val="en-GB"/>
        </w:rPr>
        <w:t>one which comes at a price that is too dear</w:t>
      </w:r>
      <w:r w:rsidR="00AA78D9">
        <w:rPr>
          <w:rFonts w:ascii="Times New Roman" w:eastAsia="Times New Roman" w:hAnsi="Times New Roman" w:cs="Times New Roman"/>
          <w:lang w:val="en-GB"/>
        </w:rPr>
        <w:t>.</w:t>
      </w:r>
    </w:p>
    <w:p w14:paraId="342273CE" w14:textId="75766E5E" w:rsidR="009834B4" w:rsidRDefault="001A4A9A" w:rsidP="00E14FFD">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Cases involving religious objections to the use o</w:t>
      </w:r>
      <w:r w:rsidR="002679AD">
        <w:rPr>
          <w:rFonts w:ascii="Times New Roman" w:eastAsia="Times New Roman" w:hAnsi="Times New Roman" w:cs="Times New Roman"/>
          <w:lang w:val="en-GB"/>
        </w:rPr>
        <w:t>f blood products</w:t>
      </w:r>
      <w:r w:rsidR="00066092">
        <w:rPr>
          <w:rFonts w:ascii="Times New Roman" w:eastAsia="Times New Roman" w:hAnsi="Times New Roman" w:cs="Times New Roman"/>
          <w:lang w:val="en-GB"/>
        </w:rPr>
        <w:t xml:space="preserve"> </w:t>
      </w:r>
      <w:r w:rsidR="002679AD">
        <w:rPr>
          <w:rFonts w:ascii="Times New Roman" w:eastAsia="Times New Roman" w:hAnsi="Times New Roman" w:cs="Times New Roman"/>
          <w:lang w:val="en-GB"/>
        </w:rPr>
        <w:t>may seem</w:t>
      </w:r>
      <w:r>
        <w:rPr>
          <w:rFonts w:ascii="Times New Roman" w:eastAsia="Times New Roman" w:hAnsi="Times New Roman" w:cs="Times New Roman"/>
          <w:lang w:val="en-GB"/>
        </w:rPr>
        <w:t xml:space="preserve"> relatively straightforward</w:t>
      </w:r>
      <w:r w:rsidR="0043171F">
        <w:rPr>
          <w:rFonts w:ascii="Times New Roman" w:eastAsia="Times New Roman" w:hAnsi="Times New Roman" w:cs="Times New Roman"/>
          <w:lang w:val="en-GB"/>
        </w:rPr>
        <w:t>,</w:t>
      </w:r>
      <w:r>
        <w:rPr>
          <w:rFonts w:ascii="Times New Roman" w:eastAsia="Times New Roman" w:hAnsi="Times New Roman" w:cs="Times New Roman"/>
          <w:lang w:val="en-GB"/>
        </w:rPr>
        <w:t xml:space="preserve"> but it is important to note that if this is so it is only true because </w:t>
      </w:r>
      <w:r w:rsidR="0043171F">
        <w:rPr>
          <w:rFonts w:ascii="Times New Roman" w:eastAsia="Times New Roman" w:hAnsi="Times New Roman" w:cs="Times New Roman"/>
          <w:lang w:val="en-GB"/>
        </w:rPr>
        <w:t xml:space="preserve">adherents of the affected faith have been assiduous about educating the medical community about their beliefs, and because </w:t>
      </w:r>
      <w:r>
        <w:rPr>
          <w:rFonts w:ascii="Times New Roman" w:eastAsia="Times New Roman" w:hAnsi="Times New Roman" w:cs="Times New Roman"/>
          <w:lang w:val="en-GB"/>
        </w:rPr>
        <w:t xml:space="preserve">there have been numerous legal decisions that have </w:t>
      </w:r>
      <w:r w:rsidR="002C1D18">
        <w:rPr>
          <w:rFonts w:ascii="Times New Roman" w:eastAsia="Times New Roman" w:hAnsi="Times New Roman" w:cs="Times New Roman"/>
          <w:lang w:val="en-GB"/>
        </w:rPr>
        <w:t>affi</w:t>
      </w:r>
      <w:r w:rsidR="0071553A">
        <w:rPr>
          <w:rFonts w:ascii="Times New Roman" w:eastAsia="Times New Roman" w:hAnsi="Times New Roman" w:cs="Times New Roman"/>
          <w:lang w:val="en-GB"/>
        </w:rPr>
        <w:t>r</w:t>
      </w:r>
      <w:r w:rsidR="002C1D18">
        <w:rPr>
          <w:rFonts w:ascii="Times New Roman" w:eastAsia="Times New Roman" w:hAnsi="Times New Roman" w:cs="Times New Roman"/>
          <w:lang w:val="en-GB"/>
        </w:rPr>
        <w:t>med</w:t>
      </w:r>
      <w:r w:rsidR="0043171F">
        <w:rPr>
          <w:rFonts w:ascii="Times New Roman" w:eastAsia="Times New Roman" w:hAnsi="Times New Roman" w:cs="Times New Roman"/>
          <w:lang w:val="en-GB"/>
        </w:rPr>
        <w:t xml:space="preserve"> the right to refuse unwanted </w:t>
      </w:r>
      <w:r w:rsidR="0043171F">
        <w:rPr>
          <w:rFonts w:ascii="Times New Roman" w:eastAsia="Times New Roman" w:hAnsi="Times New Roman" w:cs="Times New Roman"/>
          <w:lang w:val="en-GB"/>
        </w:rPr>
        <w:lastRenderedPageBreak/>
        <w:t>interventions.</w:t>
      </w:r>
      <w:r w:rsidR="0043171F">
        <w:rPr>
          <w:rStyle w:val="FootnoteReference"/>
          <w:rFonts w:ascii="Times New Roman" w:eastAsia="Times New Roman" w:hAnsi="Times New Roman" w:cs="Times New Roman"/>
          <w:lang w:val="en-GB"/>
        </w:rPr>
        <w:footnoteReference w:id="141"/>
      </w:r>
      <w:r w:rsidR="0043171F">
        <w:rPr>
          <w:rFonts w:ascii="Times New Roman" w:eastAsia="Times New Roman" w:hAnsi="Times New Roman" w:cs="Times New Roman"/>
          <w:lang w:val="en-GB"/>
        </w:rPr>
        <w:t xml:space="preserve"> </w:t>
      </w:r>
      <w:r w:rsidR="0071553A">
        <w:rPr>
          <w:rFonts w:ascii="Times New Roman" w:eastAsia="Times New Roman" w:hAnsi="Times New Roman" w:cs="Times New Roman"/>
          <w:lang w:val="en-GB"/>
        </w:rPr>
        <w:t xml:space="preserve">Other </w:t>
      </w:r>
      <w:r w:rsidR="00FB5790">
        <w:rPr>
          <w:rFonts w:ascii="Times New Roman" w:eastAsia="Times New Roman" w:hAnsi="Times New Roman" w:cs="Times New Roman"/>
          <w:lang w:val="en-GB"/>
        </w:rPr>
        <w:t xml:space="preserve">faith </w:t>
      </w:r>
      <w:r w:rsidR="0071553A">
        <w:rPr>
          <w:rFonts w:ascii="Times New Roman" w:eastAsia="Times New Roman" w:hAnsi="Times New Roman" w:cs="Times New Roman"/>
          <w:lang w:val="en-GB"/>
        </w:rPr>
        <w:t xml:space="preserve">traditions and value-orientations are less well understood, however, and the work of a PHE is often precisely to help mediate discussions between patients and health care providers </w:t>
      </w:r>
      <w:r w:rsidR="00E56954">
        <w:rPr>
          <w:rFonts w:ascii="Times New Roman" w:eastAsia="Times New Roman" w:hAnsi="Times New Roman" w:cs="Times New Roman"/>
          <w:lang w:val="en-GB"/>
        </w:rPr>
        <w:t xml:space="preserve">in order to assist each of these parties as they take on the hard work of devising </w:t>
      </w:r>
      <w:r w:rsidR="00B46EF8">
        <w:rPr>
          <w:rFonts w:ascii="Times New Roman" w:eastAsia="Times New Roman" w:hAnsi="Times New Roman" w:cs="Times New Roman"/>
          <w:lang w:val="en-GB"/>
        </w:rPr>
        <w:t xml:space="preserve">a </w:t>
      </w:r>
      <w:r w:rsidR="0071553A">
        <w:rPr>
          <w:rFonts w:ascii="Times New Roman" w:eastAsia="Times New Roman" w:hAnsi="Times New Roman" w:cs="Times New Roman"/>
          <w:lang w:val="en-GB"/>
        </w:rPr>
        <w:t xml:space="preserve">plan </w:t>
      </w:r>
      <w:r w:rsidR="00B46EF8">
        <w:rPr>
          <w:rFonts w:ascii="Times New Roman" w:eastAsia="Times New Roman" w:hAnsi="Times New Roman" w:cs="Times New Roman"/>
          <w:lang w:val="en-GB"/>
        </w:rPr>
        <w:t xml:space="preserve">of care </w:t>
      </w:r>
      <w:r w:rsidR="0071553A">
        <w:rPr>
          <w:rFonts w:ascii="Times New Roman" w:eastAsia="Times New Roman" w:hAnsi="Times New Roman" w:cs="Times New Roman"/>
          <w:lang w:val="en-GB"/>
        </w:rPr>
        <w:t xml:space="preserve">when </w:t>
      </w:r>
      <w:r w:rsidR="00B46EF8">
        <w:rPr>
          <w:rFonts w:ascii="Times New Roman" w:eastAsia="Times New Roman" w:hAnsi="Times New Roman" w:cs="Times New Roman"/>
          <w:lang w:val="en-GB"/>
        </w:rPr>
        <w:t xml:space="preserve">their </w:t>
      </w:r>
      <w:r w:rsidR="0071553A">
        <w:rPr>
          <w:rFonts w:ascii="Times New Roman" w:eastAsia="Times New Roman" w:hAnsi="Times New Roman" w:cs="Times New Roman"/>
          <w:lang w:val="en-GB"/>
        </w:rPr>
        <w:t>world views collide</w:t>
      </w:r>
      <w:r w:rsidR="00B46EF8">
        <w:rPr>
          <w:rFonts w:ascii="Times New Roman" w:eastAsia="Times New Roman" w:hAnsi="Times New Roman" w:cs="Times New Roman"/>
          <w:lang w:val="en-GB"/>
        </w:rPr>
        <w:t>. It is not the case that bioethicists have special access to a privileged store</w:t>
      </w:r>
      <w:r w:rsidR="007C516A">
        <w:rPr>
          <w:rFonts w:ascii="Times New Roman" w:eastAsia="Times New Roman" w:hAnsi="Times New Roman" w:cs="Times New Roman"/>
          <w:lang w:val="en-GB"/>
        </w:rPr>
        <w:t xml:space="preserve"> of moral knowledge that is unavailable</w:t>
      </w:r>
      <w:r w:rsidR="00B46EF8">
        <w:rPr>
          <w:rFonts w:ascii="Times New Roman" w:eastAsia="Times New Roman" w:hAnsi="Times New Roman" w:cs="Times New Roman"/>
          <w:lang w:val="en-GB"/>
        </w:rPr>
        <w:t xml:space="preserve"> to others,</w:t>
      </w:r>
      <w:r w:rsidR="007C516A">
        <w:rPr>
          <w:rFonts w:ascii="Times New Roman" w:eastAsia="Times New Roman" w:hAnsi="Times New Roman" w:cs="Times New Roman"/>
          <w:lang w:val="en-GB"/>
        </w:rPr>
        <w:t xml:space="preserve"> but PHEs do have a specific</w:t>
      </w:r>
      <w:r w:rsidR="00E56954">
        <w:rPr>
          <w:rFonts w:ascii="Times New Roman" w:eastAsia="Times New Roman" w:hAnsi="Times New Roman" w:cs="Times New Roman"/>
          <w:lang w:val="en-GB"/>
        </w:rPr>
        <w:t xml:space="preserve"> responsibility</w:t>
      </w:r>
      <w:r w:rsidR="00B46EF8">
        <w:rPr>
          <w:rFonts w:ascii="Times New Roman" w:eastAsia="Times New Roman" w:hAnsi="Times New Roman" w:cs="Times New Roman"/>
          <w:lang w:val="en-GB"/>
        </w:rPr>
        <w:t>, by virtue of their roles,</w:t>
      </w:r>
      <w:r w:rsidR="00E56954">
        <w:rPr>
          <w:rFonts w:ascii="Times New Roman" w:eastAsia="Times New Roman" w:hAnsi="Times New Roman" w:cs="Times New Roman"/>
          <w:lang w:val="en-GB"/>
        </w:rPr>
        <w:t xml:space="preserve"> exper</w:t>
      </w:r>
      <w:r w:rsidR="00367AAA">
        <w:rPr>
          <w:rFonts w:ascii="Times New Roman" w:eastAsia="Times New Roman" w:hAnsi="Times New Roman" w:cs="Times New Roman"/>
          <w:lang w:val="en-GB"/>
        </w:rPr>
        <w:t>tise</w:t>
      </w:r>
      <w:r w:rsidR="00E56954">
        <w:rPr>
          <w:rFonts w:ascii="Times New Roman" w:eastAsia="Times New Roman" w:hAnsi="Times New Roman" w:cs="Times New Roman"/>
          <w:lang w:val="en-GB"/>
        </w:rPr>
        <w:t>, a</w:t>
      </w:r>
      <w:r w:rsidR="007C516A">
        <w:rPr>
          <w:rFonts w:ascii="Times New Roman" w:eastAsia="Times New Roman" w:hAnsi="Times New Roman" w:cs="Times New Roman"/>
          <w:lang w:val="en-GB"/>
        </w:rPr>
        <w:t>nd education to attend</w:t>
      </w:r>
      <w:r w:rsidR="00E56954">
        <w:rPr>
          <w:rFonts w:ascii="Times New Roman" w:eastAsia="Times New Roman" w:hAnsi="Times New Roman" w:cs="Times New Roman"/>
          <w:lang w:val="en-GB"/>
        </w:rPr>
        <w:t xml:space="preserve"> </w:t>
      </w:r>
      <w:r w:rsidR="00B46EF8">
        <w:rPr>
          <w:rFonts w:ascii="Times New Roman" w:eastAsia="Times New Roman" w:hAnsi="Times New Roman" w:cs="Times New Roman"/>
          <w:lang w:val="en-GB"/>
        </w:rPr>
        <w:t xml:space="preserve">to the ethical dimensions of the cases (clinical, organisational and research-related), that arise in the institutions in which they work. </w:t>
      </w:r>
      <w:r w:rsidR="00367AAA">
        <w:rPr>
          <w:rFonts w:ascii="Times New Roman" w:eastAsia="Times New Roman" w:hAnsi="Times New Roman" w:cs="Times New Roman"/>
          <w:lang w:val="en-GB"/>
        </w:rPr>
        <w:t xml:space="preserve">To use Margaret Urban Walker’s phrase, an ethics consultation may be one way of keeping moral space open in an environment that is prone to thinking in terms of technical rationality.    </w:t>
      </w:r>
      <w:r w:rsidR="00B46EF8">
        <w:rPr>
          <w:rFonts w:ascii="Times New Roman" w:eastAsia="Times New Roman" w:hAnsi="Times New Roman" w:cs="Times New Roman"/>
          <w:lang w:val="en-GB"/>
        </w:rPr>
        <w:t xml:space="preserve"> </w:t>
      </w:r>
      <w:r w:rsidR="0071553A">
        <w:rPr>
          <w:rFonts w:ascii="Times New Roman" w:eastAsia="Times New Roman" w:hAnsi="Times New Roman" w:cs="Times New Roman"/>
          <w:lang w:val="en-GB"/>
        </w:rPr>
        <w:t xml:space="preserve"> </w:t>
      </w:r>
      <w:r w:rsidR="0043171F">
        <w:rPr>
          <w:rFonts w:ascii="Times New Roman" w:eastAsia="Times New Roman" w:hAnsi="Times New Roman" w:cs="Times New Roman"/>
          <w:lang w:val="en-GB"/>
        </w:rPr>
        <w:t xml:space="preserve"> </w:t>
      </w:r>
    </w:p>
    <w:p w14:paraId="28C18226" w14:textId="7F064606" w:rsidR="00682706" w:rsidRDefault="002F345A" w:rsidP="00682706">
      <w:pPr>
        <w:pStyle w:val="Body1"/>
        <w:spacing w:line="480" w:lineRule="auto"/>
        <w:ind w:firstLine="720"/>
        <w:rPr>
          <w:rFonts w:ascii="Times New Roman" w:eastAsia="Times New Roman" w:hAnsi="Times New Roman" w:cs="Times New Roman"/>
          <w:lang w:val="en-GB"/>
        </w:rPr>
      </w:pPr>
      <w:r>
        <w:rPr>
          <w:rFonts w:ascii="Times New Roman" w:eastAsia="Times New Roman" w:hAnsi="Times New Roman" w:cs="Times New Roman"/>
          <w:lang w:val="en-GB"/>
        </w:rPr>
        <w:t>In</w:t>
      </w:r>
      <w:r w:rsidR="00FB5790">
        <w:rPr>
          <w:rFonts w:ascii="Times New Roman" w:eastAsia="Times New Roman" w:hAnsi="Times New Roman" w:cs="Times New Roman"/>
          <w:lang w:val="en-GB"/>
        </w:rPr>
        <w:t xml:space="preserve"> the next chapter we will turn to what I’</w:t>
      </w:r>
      <w:r w:rsidR="00872FEA">
        <w:rPr>
          <w:rFonts w:ascii="Times New Roman" w:eastAsia="Times New Roman" w:hAnsi="Times New Roman" w:cs="Times New Roman"/>
          <w:lang w:val="en-GB"/>
        </w:rPr>
        <w:t>ll describe</w:t>
      </w:r>
      <w:r w:rsidR="00FB5790">
        <w:rPr>
          <w:rFonts w:ascii="Times New Roman" w:eastAsia="Times New Roman" w:hAnsi="Times New Roman" w:cs="Times New Roman"/>
          <w:lang w:val="en-GB"/>
        </w:rPr>
        <w:t xml:space="preserve"> as hard cases. Hard cases prompt reflection on what is distinctive</w:t>
      </w:r>
      <w:r w:rsidR="00C6237D">
        <w:rPr>
          <w:rFonts w:ascii="Times New Roman" w:eastAsia="Times New Roman" w:hAnsi="Times New Roman" w:cs="Times New Roman"/>
          <w:lang w:val="en-GB"/>
        </w:rPr>
        <w:t xml:space="preserve">, </w:t>
      </w:r>
      <w:r w:rsidR="00FB5790">
        <w:rPr>
          <w:rFonts w:ascii="Times New Roman" w:eastAsia="Times New Roman" w:hAnsi="Times New Roman" w:cs="Times New Roman"/>
          <w:lang w:val="en-GB"/>
        </w:rPr>
        <w:t xml:space="preserve">and perhaps most controversial, about the PHE’s work. My aim is to demonstrate </w:t>
      </w:r>
      <w:r w:rsidR="00872FEA">
        <w:rPr>
          <w:rFonts w:ascii="Times New Roman" w:eastAsia="Times New Roman" w:hAnsi="Times New Roman" w:cs="Times New Roman"/>
          <w:lang w:val="en-GB"/>
        </w:rPr>
        <w:t xml:space="preserve">that while hard cases may be challenging or complex – or even in wicked in the sense </w:t>
      </w:r>
      <w:r w:rsidR="00682706">
        <w:rPr>
          <w:rFonts w:ascii="Times New Roman" w:eastAsia="Times New Roman" w:hAnsi="Times New Roman" w:cs="Times New Roman"/>
          <w:lang w:val="en-GB"/>
        </w:rPr>
        <w:t xml:space="preserve">that </w:t>
      </w:r>
      <w:r w:rsidR="00872FEA">
        <w:rPr>
          <w:rFonts w:ascii="Times New Roman" w:eastAsia="Times New Roman" w:hAnsi="Times New Roman" w:cs="Times New Roman"/>
          <w:lang w:val="en-GB"/>
        </w:rPr>
        <w:t>I’ve just described –</w:t>
      </w:r>
      <w:r w:rsidR="007C516A">
        <w:rPr>
          <w:rFonts w:ascii="Times New Roman" w:eastAsia="Times New Roman" w:hAnsi="Times New Roman" w:cs="Times New Roman"/>
          <w:lang w:val="en-GB"/>
        </w:rPr>
        <w:t xml:space="preserve"> they </w:t>
      </w:r>
      <w:r w:rsidR="00872FEA">
        <w:rPr>
          <w:rFonts w:ascii="Times New Roman" w:eastAsia="Times New Roman" w:hAnsi="Times New Roman" w:cs="Times New Roman"/>
          <w:lang w:val="en-GB"/>
        </w:rPr>
        <w:t>need not be mysterious, opaque, or even insoluble.</w:t>
      </w:r>
      <w:r w:rsidR="00367AAA">
        <w:rPr>
          <w:rFonts w:ascii="Times New Roman" w:eastAsia="Times New Roman" w:hAnsi="Times New Roman" w:cs="Times New Roman"/>
          <w:lang w:val="en-GB"/>
        </w:rPr>
        <w:t xml:space="preserve"> </w:t>
      </w:r>
    </w:p>
    <w:p w14:paraId="22AABD41" w14:textId="77777777" w:rsidR="000C1F9E" w:rsidRPr="00682706" w:rsidRDefault="00682706" w:rsidP="00682706">
      <w:r>
        <w:br w:type="page"/>
      </w:r>
      <w:r w:rsidR="000C1F9E" w:rsidRPr="000C1F9E">
        <w:rPr>
          <w:u w:val="single"/>
        </w:rPr>
        <w:lastRenderedPageBreak/>
        <w:t>Chapter 4: Ethics as Interpretation: Lessons from Legal Theory</w:t>
      </w:r>
    </w:p>
    <w:p w14:paraId="0B2B2B1A" w14:textId="77777777" w:rsidR="000C1F9E" w:rsidRDefault="000C1F9E" w:rsidP="000C1F9E"/>
    <w:p w14:paraId="122138AC" w14:textId="77777777" w:rsidR="00C6237D" w:rsidRDefault="00C6237D" w:rsidP="000C1F9E">
      <w:pPr>
        <w:spacing w:line="480" w:lineRule="auto"/>
        <w:ind w:firstLine="720"/>
      </w:pPr>
    </w:p>
    <w:p w14:paraId="1F87E91E" w14:textId="77777777" w:rsidR="000C1F9E" w:rsidRDefault="000C1F9E" w:rsidP="00682706">
      <w:pPr>
        <w:spacing w:line="480" w:lineRule="auto"/>
        <w:ind w:firstLine="720"/>
      </w:pPr>
      <w:r>
        <w:t>At the outset of this project I clai</w:t>
      </w:r>
      <w:r w:rsidR="003D5013">
        <w:t xml:space="preserve">med that the charges </w:t>
      </w:r>
      <w:r w:rsidR="009834B4">
        <w:t>levelled</w:t>
      </w:r>
      <w:r>
        <w:t xml:space="preserve"> </w:t>
      </w:r>
      <w:r w:rsidR="00E364F6">
        <w:t>by</w:t>
      </w:r>
      <w:r w:rsidR="003D5013">
        <w:t xml:space="preserve"> </w:t>
      </w:r>
      <w:r w:rsidR="00BF5E6C">
        <w:t xml:space="preserve">some of the </w:t>
      </w:r>
      <w:r w:rsidR="003D5013">
        <w:t>critics</w:t>
      </w:r>
      <w:r w:rsidR="007C516A">
        <w:t xml:space="preserve"> of </w:t>
      </w:r>
      <w:r w:rsidR="00682706">
        <w:t>health care ethics consultants, and consultation,</w:t>
      </w:r>
      <w:r w:rsidR="00B352A9">
        <w:t xml:space="preserve"> deserve greater attent</w:t>
      </w:r>
      <w:r w:rsidR="00E364F6">
        <w:t xml:space="preserve">ion because </w:t>
      </w:r>
      <w:r w:rsidR="007C516A">
        <w:t xml:space="preserve">our </w:t>
      </w:r>
      <w:r w:rsidR="00E364F6">
        <w:t>efforts to address</w:t>
      </w:r>
      <w:r w:rsidR="00B352A9">
        <w:t xml:space="preserve"> them </w:t>
      </w:r>
      <w:r w:rsidR="00E56954">
        <w:t>might</w:t>
      </w:r>
      <w:r w:rsidR="00B352A9">
        <w:t xml:space="preserve"> illuminate</w:t>
      </w:r>
      <w:r w:rsidR="003D5013">
        <w:t xml:space="preserve"> </w:t>
      </w:r>
      <w:r w:rsidR="00B352A9">
        <w:t>aspects of the work that have been neglected in the (I believe</w:t>
      </w:r>
      <w:r w:rsidR="00FF0469">
        <w:t>,</w:t>
      </w:r>
      <w:r w:rsidR="00B352A9">
        <w:t xml:space="preserve"> worthwhile) effort to professionalise the field. As a reminder, these charges consist in the various</w:t>
      </w:r>
      <w:r w:rsidR="00FF0469">
        <w:t>,</w:t>
      </w:r>
      <w:r w:rsidR="00B352A9">
        <w:t xml:space="preserve"> and </w:t>
      </w:r>
      <w:r w:rsidR="00FF0469">
        <w:t>some</w:t>
      </w:r>
      <w:r w:rsidR="00BF5E6C">
        <w:t>what</w:t>
      </w:r>
      <w:r w:rsidR="00FF0469">
        <w:t xml:space="preserve"> </w:t>
      </w:r>
      <w:r w:rsidR="00B352A9">
        <w:t>contradictory</w:t>
      </w:r>
      <w:r w:rsidR="00FF0469">
        <w:t>,</w:t>
      </w:r>
      <w:r w:rsidR="00FE2578">
        <w:t xml:space="preserve"> claims that the work of </w:t>
      </w:r>
      <w:r w:rsidR="00B352A9">
        <w:t>ethicists is</w:t>
      </w:r>
      <w:r w:rsidR="00FF0469">
        <w:t>:</w:t>
      </w:r>
      <w:r w:rsidR="00B352A9">
        <w:t xml:space="preserve"> </w:t>
      </w:r>
      <w:r w:rsidR="00B352A9" w:rsidRPr="008C7EBC">
        <w:rPr>
          <w:i/>
        </w:rPr>
        <w:t>compromised</w:t>
      </w:r>
      <w:r w:rsidR="00B352A9">
        <w:t xml:space="preserve"> and ineffectual</w:t>
      </w:r>
      <w:r w:rsidR="003D5013">
        <w:t xml:space="preserve"> (often framed as a conflict</w:t>
      </w:r>
      <w:r w:rsidR="003D5013" w:rsidRPr="003D5013">
        <w:t xml:space="preserve"> of interest</w:t>
      </w:r>
      <w:r w:rsidR="003D5013">
        <w:t xml:space="preserve"> charge)</w:t>
      </w:r>
      <w:r w:rsidR="00E56954">
        <w:t>;</w:t>
      </w:r>
      <w:r w:rsidR="00B352A9">
        <w:t xml:space="preserve"> </w:t>
      </w:r>
      <w:r w:rsidR="003D5013">
        <w:t>e</w:t>
      </w:r>
      <w:r w:rsidR="00EF6D84">
        <w:t>litist</w:t>
      </w:r>
      <w:r w:rsidR="003D5013">
        <w:t xml:space="preserve"> and </w:t>
      </w:r>
      <w:r w:rsidR="00EF6D84">
        <w:rPr>
          <w:i/>
        </w:rPr>
        <w:t>politicised</w:t>
      </w:r>
      <w:r w:rsidR="003D5013">
        <w:t xml:space="preserve"> (</w:t>
      </w:r>
      <w:r w:rsidR="00021B84">
        <w:t>which may be implicit in the assertion</w:t>
      </w:r>
      <w:r w:rsidR="00FE2578">
        <w:t xml:space="preserve"> that the health care </w:t>
      </w:r>
      <w:r w:rsidR="003D5013">
        <w:t xml:space="preserve">ethicist imposes her world view on unsuspecting </w:t>
      </w:r>
      <w:r w:rsidR="00E56954">
        <w:t>stakeholders);</w:t>
      </w:r>
      <w:r w:rsidR="003D5013">
        <w:t xml:space="preserve"> </w:t>
      </w:r>
      <w:r w:rsidR="00B352A9">
        <w:t>and</w:t>
      </w:r>
      <w:r w:rsidR="00E56954">
        <w:t>, finally,</w:t>
      </w:r>
      <w:r w:rsidR="00B352A9">
        <w:t xml:space="preserve"> </w:t>
      </w:r>
      <w:r w:rsidR="00B352A9" w:rsidRPr="008C7EBC">
        <w:rPr>
          <w:i/>
        </w:rPr>
        <w:t xml:space="preserve">incoherent </w:t>
      </w:r>
      <w:r w:rsidR="00B352A9">
        <w:t>in the context of value pluralism</w:t>
      </w:r>
      <w:r w:rsidR="003D5013">
        <w:t xml:space="preserve"> (sometimes expressed as a yearning for frameworks or foundations)</w:t>
      </w:r>
      <w:r w:rsidR="00B352A9">
        <w:t xml:space="preserve">. </w:t>
      </w:r>
      <w:r w:rsidR="001A085E">
        <w:t xml:space="preserve">The previous chapters have consisted of efforts </w:t>
      </w:r>
      <w:r w:rsidR="00FF0469">
        <w:t xml:space="preserve">to </w:t>
      </w:r>
      <w:r w:rsidR="00E56954">
        <w:t>re</w:t>
      </w:r>
      <w:r w:rsidR="00FF0469">
        <w:t xml:space="preserve">construct </w:t>
      </w:r>
      <w:r w:rsidR="001A085E">
        <w:t xml:space="preserve">some </w:t>
      </w:r>
      <w:r w:rsidR="00FF0469">
        <w:t xml:space="preserve">forms of each </w:t>
      </w:r>
      <w:r w:rsidR="00682706">
        <w:t xml:space="preserve">of these challenges with a view toward </w:t>
      </w:r>
      <w:r w:rsidR="00FF0469">
        <w:t>show</w:t>
      </w:r>
      <w:r w:rsidR="00682706">
        <w:t>ing</w:t>
      </w:r>
      <w:r w:rsidR="00FF0469">
        <w:t xml:space="preserve"> why they need</w:t>
      </w:r>
      <w:r w:rsidR="00E56954">
        <w:t xml:space="preserve"> not be</w:t>
      </w:r>
      <w:r w:rsidR="00982A55">
        <w:t xml:space="preserve"> decisive arguments</w:t>
      </w:r>
      <w:r w:rsidR="00FF0469">
        <w:t xml:space="preserve"> against the practice</w:t>
      </w:r>
      <w:r w:rsidR="00982A55">
        <w:t xml:space="preserve"> </w:t>
      </w:r>
      <w:r w:rsidR="00682706">
        <w:t>(</w:t>
      </w:r>
      <w:r w:rsidR="00982A55">
        <w:t xml:space="preserve">despite the fact that </w:t>
      </w:r>
      <w:r w:rsidR="00FF0469">
        <w:t xml:space="preserve">each contains important </w:t>
      </w:r>
      <w:r w:rsidR="00982A55">
        <w:t>lessons</w:t>
      </w:r>
      <w:r w:rsidR="00FF0469">
        <w:t xml:space="preserve"> </w:t>
      </w:r>
      <w:r w:rsidR="00E56954">
        <w:t>with respect to</w:t>
      </w:r>
      <w:r w:rsidR="00982A55">
        <w:t xml:space="preserve"> the ways t</w:t>
      </w:r>
      <w:r w:rsidR="0056004F">
        <w:t>hat the practice might lose its bearings</w:t>
      </w:r>
      <w:r w:rsidR="000A0D27">
        <w:t xml:space="preserve"> or find</w:t>
      </w:r>
      <w:r w:rsidR="00FD7F16">
        <w:t xml:space="preserve"> them</w:t>
      </w:r>
      <w:r w:rsidR="00682706">
        <w:t>)</w:t>
      </w:r>
      <w:r w:rsidR="00FF0469">
        <w:t>.</w:t>
      </w:r>
      <w:r w:rsidR="00C1379C">
        <w:t xml:space="preserve"> Whi</w:t>
      </w:r>
      <w:r w:rsidR="00C50A92">
        <w:t>le these indictments</w:t>
      </w:r>
      <w:r w:rsidR="00C1379C">
        <w:t xml:space="preserve"> were never intended to be compre</w:t>
      </w:r>
      <w:r w:rsidR="009834B4">
        <w:t xml:space="preserve">hensive, they are </w:t>
      </w:r>
      <w:r w:rsidR="00C50A92">
        <w:t>familiar and serious charges</w:t>
      </w:r>
      <w:r w:rsidR="00682706">
        <w:t>,</w:t>
      </w:r>
      <w:r w:rsidR="00C1379C">
        <w:t xml:space="preserve"> and they were selected </w:t>
      </w:r>
      <w:r w:rsidR="00982A55">
        <w:t xml:space="preserve">specifically </w:t>
      </w:r>
      <w:r w:rsidR="00C1379C">
        <w:t xml:space="preserve">because </w:t>
      </w:r>
      <w:r w:rsidR="00640160">
        <w:t xml:space="preserve">they encourage </w:t>
      </w:r>
      <w:r w:rsidR="00982A55">
        <w:t xml:space="preserve">an examination of </w:t>
      </w:r>
      <w:r w:rsidR="00C1379C">
        <w:t xml:space="preserve">the nature of the work and </w:t>
      </w:r>
      <w:r w:rsidR="00682706">
        <w:t xml:space="preserve">thereby </w:t>
      </w:r>
      <w:r w:rsidR="00C1379C">
        <w:t xml:space="preserve">bring us closer to </w:t>
      </w:r>
      <w:r w:rsidR="00097498">
        <w:t xml:space="preserve">answering </w:t>
      </w:r>
      <w:r w:rsidR="00C1379C">
        <w:t>the</w:t>
      </w:r>
      <w:r w:rsidR="00982A55">
        <w:t xml:space="preserve"> overarching question</w:t>
      </w:r>
      <w:r w:rsidR="00C1379C">
        <w:t xml:space="preserve"> with which we began</w:t>
      </w:r>
      <w:r w:rsidR="00B4646D">
        <w:t xml:space="preserve">, What </w:t>
      </w:r>
      <w:r w:rsidR="00B4646D" w:rsidRPr="00B4646D">
        <w:rPr>
          <w:i/>
        </w:rPr>
        <w:t>should</w:t>
      </w:r>
      <w:r w:rsidR="00B4646D">
        <w:t xml:space="preserve"> practicing healthcare ethicists be doing when they are doing what they are doing? </w:t>
      </w:r>
      <w:r w:rsidR="00C1379C">
        <w:t xml:space="preserve"> </w:t>
      </w:r>
    </w:p>
    <w:p w14:paraId="3C06D414" w14:textId="7C01F236" w:rsidR="00D85663" w:rsidRDefault="00B4646D" w:rsidP="00B4646D">
      <w:pPr>
        <w:spacing w:line="480" w:lineRule="auto"/>
      </w:pPr>
      <w:r>
        <w:lastRenderedPageBreak/>
        <w:tab/>
        <w:t>The s</w:t>
      </w:r>
      <w:r w:rsidR="00982A55">
        <w:t>hort and easy</w:t>
      </w:r>
      <w:r>
        <w:t xml:space="preserve"> answers to that question have, to so</w:t>
      </w:r>
      <w:r w:rsidR="00C50A92">
        <w:t>me extent, already been proffered</w:t>
      </w:r>
      <w:r w:rsidR="001A085E">
        <w:t xml:space="preserve">. </w:t>
      </w:r>
      <w:r>
        <w:t>PHE</w:t>
      </w:r>
      <w:r w:rsidR="001A085E">
        <w:t>s</w:t>
      </w:r>
      <w:r>
        <w:t xml:space="preserve"> should </w:t>
      </w:r>
      <w:r w:rsidR="00C50A92">
        <w:t xml:space="preserve">endeavour </w:t>
      </w:r>
      <w:r w:rsidR="00982A55">
        <w:t xml:space="preserve">to assist parties tackling </w:t>
      </w:r>
      <w:r>
        <w:t>hard case</w:t>
      </w:r>
      <w:r w:rsidR="00982A55">
        <w:t>s</w:t>
      </w:r>
      <w:r>
        <w:t xml:space="preserve"> </w:t>
      </w:r>
      <w:r w:rsidR="00982A55">
        <w:t xml:space="preserve">arising in healthcare </w:t>
      </w:r>
      <w:r w:rsidR="00C50A92">
        <w:t xml:space="preserve">as they attempt </w:t>
      </w:r>
      <w:r>
        <w:t>to come t</w:t>
      </w:r>
      <w:r w:rsidR="00982A55">
        <w:t>o decisions</w:t>
      </w:r>
      <w:r w:rsidR="00C50A92">
        <w:t>,</w:t>
      </w:r>
      <w:r w:rsidR="00982A55">
        <w:t xml:space="preserve"> or </w:t>
      </w:r>
      <w:r w:rsidR="00792E5B">
        <w:t xml:space="preserve">try </w:t>
      </w:r>
      <w:r w:rsidR="00AF3659">
        <w:t xml:space="preserve">to </w:t>
      </w:r>
      <w:r w:rsidR="00C50A92">
        <w:t xml:space="preserve">craft </w:t>
      </w:r>
      <w:r>
        <w:t>position</w:t>
      </w:r>
      <w:r w:rsidR="00982A55">
        <w:t>s</w:t>
      </w:r>
      <w:r w:rsidR="00C50A92">
        <w:t>,</w:t>
      </w:r>
      <w:r>
        <w:t xml:space="preserve"> </w:t>
      </w:r>
      <w:r w:rsidR="00C50A92">
        <w:t xml:space="preserve">in order to render them </w:t>
      </w:r>
      <w:r>
        <w:t>ethically</w:t>
      </w:r>
      <w:r w:rsidR="00982A55">
        <w:t xml:space="preserve"> bet</w:t>
      </w:r>
      <w:r>
        <w:t>t</w:t>
      </w:r>
      <w:r w:rsidR="00792E5B">
        <w:t>er than they otherwise might</w:t>
      </w:r>
      <w:r w:rsidR="00982A55">
        <w:t xml:space="preserve"> be</w:t>
      </w:r>
      <w:r>
        <w:t>.</w:t>
      </w:r>
      <w:r w:rsidR="00722689">
        <w:rPr>
          <w:rStyle w:val="FootnoteReference"/>
        </w:rPr>
        <w:footnoteReference w:id="142"/>
      </w:r>
      <w:r>
        <w:t xml:space="preserve"> The nature of </w:t>
      </w:r>
      <w:r w:rsidR="00C50A92">
        <w:t>t</w:t>
      </w:r>
      <w:r>
        <w:t>h</w:t>
      </w:r>
      <w:r w:rsidR="00C50A92">
        <w:t>e PHE’s</w:t>
      </w:r>
      <w:r>
        <w:t xml:space="preserve"> involvement </w:t>
      </w:r>
      <w:r w:rsidR="001A085E">
        <w:t xml:space="preserve">in a specific case </w:t>
      </w:r>
      <w:r>
        <w:t>will vary depending</w:t>
      </w:r>
      <w:r w:rsidR="002C1500">
        <w:t xml:space="preserve"> on </w:t>
      </w:r>
      <w:r w:rsidR="004150B9">
        <w:t xml:space="preserve">the </w:t>
      </w:r>
      <w:r w:rsidR="001A085E">
        <w:t xml:space="preserve">context </w:t>
      </w:r>
      <w:r w:rsidR="004150B9">
        <w:t xml:space="preserve">in which it arises </w:t>
      </w:r>
      <w:r w:rsidR="001A085E">
        <w:t xml:space="preserve">and </w:t>
      </w:r>
      <w:r w:rsidR="00982A55">
        <w:t xml:space="preserve">the </w:t>
      </w:r>
      <w:r w:rsidR="00E347F4">
        <w:t>needs of the parties</w:t>
      </w:r>
      <w:r w:rsidR="00C50A92">
        <w:t xml:space="preserve"> seeking her support</w:t>
      </w:r>
      <w:r w:rsidR="00E347F4">
        <w:t xml:space="preserve">. She </w:t>
      </w:r>
      <w:r w:rsidR="00982A55">
        <w:t xml:space="preserve">may </w:t>
      </w:r>
      <w:r w:rsidR="00E347F4">
        <w:t xml:space="preserve">serve as a resource </w:t>
      </w:r>
      <w:r w:rsidR="00181EAB">
        <w:t>to identify pertinent</w:t>
      </w:r>
      <w:r w:rsidR="00C50A92">
        <w:t xml:space="preserve"> (</w:t>
      </w:r>
      <w:r w:rsidR="008C7EBC">
        <w:t>non-medical</w:t>
      </w:r>
      <w:r w:rsidR="00C50A92">
        <w:t>)</w:t>
      </w:r>
      <w:r w:rsidR="00E347F4">
        <w:t xml:space="preserve"> information for parties seeking to know the content of </w:t>
      </w:r>
      <w:r w:rsidR="00181EAB">
        <w:t xml:space="preserve">precedents, </w:t>
      </w:r>
      <w:r w:rsidR="00982A55">
        <w:t>policies</w:t>
      </w:r>
      <w:r w:rsidR="00181EAB">
        <w:t>, procedures, laws, and other applicable</w:t>
      </w:r>
      <w:r w:rsidR="002C1500">
        <w:t xml:space="preserve"> standards; s</w:t>
      </w:r>
      <w:r w:rsidR="00181EAB">
        <w:t xml:space="preserve">he may </w:t>
      </w:r>
      <w:r w:rsidR="00792E5B">
        <w:t>mediate disputes between stakeholders</w:t>
      </w:r>
      <w:r w:rsidR="00181EAB">
        <w:t xml:space="preserve"> </w:t>
      </w:r>
      <w:r w:rsidR="00C50A92">
        <w:t xml:space="preserve">that have come </w:t>
      </w:r>
      <w:r w:rsidR="00181EAB">
        <w:t>in</w:t>
      </w:r>
      <w:r w:rsidR="00C50A92">
        <w:t>to</w:t>
      </w:r>
      <w:r w:rsidR="002C1500">
        <w:t xml:space="preserve"> conflict; a</w:t>
      </w:r>
      <w:r w:rsidR="00181EAB">
        <w:t xml:space="preserve">nd, </w:t>
      </w:r>
      <w:r w:rsidR="00722689">
        <w:t>finally</w:t>
      </w:r>
      <w:r w:rsidR="00C50A92">
        <w:t>,</w:t>
      </w:r>
      <w:r w:rsidR="00181EAB">
        <w:t xml:space="preserve"> s</w:t>
      </w:r>
      <w:r w:rsidR="002C1500">
        <w:t xml:space="preserve">he may </w:t>
      </w:r>
      <w:r w:rsidR="00181EAB">
        <w:t xml:space="preserve">be asked </w:t>
      </w:r>
      <w:r w:rsidR="009D52D5">
        <w:t xml:space="preserve">to </w:t>
      </w:r>
      <w:r w:rsidR="00181EAB">
        <w:t xml:space="preserve">interpret and apply </w:t>
      </w:r>
      <w:r w:rsidR="002C1500">
        <w:t>contested</w:t>
      </w:r>
      <w:r w:rsidR="00181EAB">
        <w:t xml:space="preserve"> concepts (such as fair</w:t>
      </w:r>
      <w:r w:rsidR="00C50A92">
        <w:t>ness</w:t>
      </w:r>
      <w:r w:rsidR="00181EAB">
        <w:t xml:space="preserve">, </w:t>
      </w:r>
      <w:r w:rsidR="00C50A92">
        <w:t>best interests, coercion, or duty</w:t>
      </w:r>
      <w:r w:rsidR="00181EAB">
        <w:t xml:space="preserve">) in </w:t>
      </w:r>
      <w:r w:rsidR="001A085E">
        <w:t xml:space="preserve">order to identify a path forward in </w:t>
      </w:r>
      <w:r w:rsidR="00181EAB">
        <w:t>light of a particular case or institutional</w:t>
      </w:r>
      <w:r w:rsidR="00D85663">
        <w:t xml:space="preserve"> stance</w:t>
      </w:r>
      <w:r w:rsidR="00181EAB">
        <w:t>.</w:t>
      </w:r>
      <w:r w:rsidR="00D85663">
        <w:rPr>
          <w:rStyle w:val="FootnoteReference"/>
        </w:rPr>
        <w:footnoteReference w:id="143"/>
      </w:r>
      <w:r w:rsidR="00E670B0">
        <w:t xml:space="preserve"> </w:t>
      </w:r>
    </w:p>
    <w:p w14:paraId="6D02D53C" w14:textId="28B10DC0" w:rsidR="00E670B0" w:rsidRDefault="00E670B0" w:rsidP="00B4646D">
      <w:pPr>
        <w:spacing w:line="480" w:lineRule="auto"/>
      </w:pPr>
      <w:r>
        <w:tab/>
        <w:t>Information-gathering, mediation, and interpretation may (depending on how they are understood) sound like fairly straightforward and uncontroversial ac</w:t>
      </w:r>
      <w:r w:rsidR="00B55E77">
        <w:t>tivities. The critics of practicing</w:t>
      </w:r>
      <w:r>
        <w:t xml:space="preserve"> healthcar</w:t>
      </w:r>
      <w:r w:rsidR="00B55E77">
        <w:t xml:space="preserve">e ethicists, however, challenge the </w:t>
      </w:r>
      <w:r w:rsidR="00FB547F">
        <w:lastRenderedPageBreak/>
        <w:t xml:space="preserve">members of </w:t>
      </w:r>
      <w:r w:rsidR="000D5627">
        <w:t xml:space="preserve">the </w:t>
      </w:r>
      <w:r w:rsidR="00B55E77">
        <w:t>field</w:t>
      </w:r>
      <w:r>
        <w:t xml:space="preserve"> to think more deeply about the ways that these activities</w:t>
      </w:r>
      <w:r w:rsidR="00792E5B">
        <w:t xml:space="preserve"> may provide occasion</w:t>
      </w:r>
      <w:r w:rsidR="00B55E77">
        <w:t xml:space="preserve"> for an ethicist to </w:t>
      </w:r>
      <w:r w:rsidR="006A4B41">
        <w:t xml:space="preserve">introduce bias or </w:t>
      </w:r>
      <w:r w:rsidR="00B55E77">
        <w:t>exert undue influence over the important value-laden decisions that</w:t>
      </w:r>
      <w:r w:rsidR="00792E5B">
        <w:t xml:space="preserve"> are </w:t>
      </w:r>
      <w:r w:rsidR="00B55E77">
        <w:t xml:space="preserve">made </w:t>
      </w:r>
      <w:r w:rsidR="00792E5B">
        <w:t xml:space="preserve">regularly </w:t>
      </w:r>
      <w:r w:rsidR="00B55E77">
        <w:t xml:space="preserve">in </w:t>
      </w:r>
      <w:r w:rsidR="00792E5B">
        <w:t xml:space="preserve">the </w:t>
      </w:r>
      <w:r w:rsidR="00B55E77">
        <w:t xml:space="preserve">healthcare </w:t>
      </w:r>
      <w:r w:rsidR="00792E5B">
        <w:t>context</w:t>
      </w:r>
      <w:r w:rsidR="00B55E77">
        <w:t>.</w:t>
      </w:r>
      <w:r w:rsidR="00FB547F">
        <w:t xml:space="preserve"> Because it would be unlikely for deviation from settled practice to go unnoticed, and uncontested, </w:t>
      </w:r>
      <w:r w:rsidR="00792E5B">
        <w:t xml:space="preserve">in routine consultations </w:t>
      </w:r>
      <w:r w:rsidR="00FB547F">
        <w:t xml:space="preserve">what we might call hard cases </w:t>
      </w:r>
      <w:r w:rsidR="00792E5B">
        <w:t>will provide our point of departure</w:t>
      </w:r>
      <w:r w:rsidR="00FB547F">
        <w:t xml:space="preserve">. Although I don’t </w:t>
      </w:r>
      <w:r w:rsidR="006A4B41">
        <w:t>use the terminology</w:t>
      </w:r>
      <w:r w:rsidR="00FB547F">
        <w:t xml:space="preserve"> in precisely the way that our colleagues in jurisprudence do, it should gradually become evident t</w:t>
      </w:r>
      <w:r w:rsidR="00FA4754">
        <w:t xml:space="preserve">hat their insights have inspired </w:t>
      </w:r>
      <w:r w:rsidR="00FB547F">
        <w:t xml:space="preserve">my </w:t>
      </w:r>
      <w:r w:rsidR="00FA4754">
        <w:t>analysis</w:t>
      </w:r>
      <w:r w:rsidR="008A3AB3">
        <w:t xml:space="preserve"> and recommendations</w:t>
      </w:r>
      <w:r w:rsidR="00FB547F">
        <w:t xml:space="preserve">.  </w:t>
      </w:r>
      <w:r w:rsidR="00B55E77">
        <w:t xml:space="preserve">    </w:t>
      </w:r>
      <w:r>
        <w:t xml:space="preserve"> </w:t>
      </w:r>
    </w:p>
    <w:p w14:paraId="20BB5410" w14:textId="77777777" w:rsidR="0096138F" w:rsidRDefault="0096138F" w:rsidP="00B4646D">
      <w:pPr>
        <w:spacing w:line="480" w:lineRule="auto"/>
      </w:pPr>
    </w:p>
    <w:p w14:paraId="4D94A7A1" w14:textId="77777777" w:rsidR="005F6E5E" w:rsidRDefault="002C1500" w:rsidP="00B4646D">
      <w:pPr>
        <w:spacing w:line="480" w:lineRule="auto"/>
        <w:rPr>
          <w:i/>
        </w:rPr>
      </w:pPr>
      <w:r>
        <w:rPr>
          <w:i/>
        </w:rPr>
        <w:t>W</w:t>
      </w:r>
      <w:r w:rsidRPr="002C1500">
        <w:rPr>
          <w:i/>
        </w:rPr>
        <w:t xml:space="preserve">hat makes </w:t>
      </w:r>
      <w:r>
        <w:rPr>
          <w:i/>
        </w:rPr>
        <w:t>a hard case</w:t>
      </w:r>
      <w:r w:rsidRPr="002C1500">
        <w:rPr>
          <w:i/>
        </w:rPr>
        <w:t xml:space="preserve"> hard?</w:t>
      </w:r>
    </w:p>
    <w:p w14:paraId="5AEF9FB5" w14:textId="77777777" w:rsidR="00412267" w:rsidRPr="005F6E5E" w:rsidRDefault="001A085E" w:rsidP="00B4646D">
      <w:pPr>
        <w:spacing w:line="480" w:lineRule="auto"/>
        <w:rPr>
          <w:i/>
        </w:rPr>
      </w:pPr>
      <w:r>
        <w:tab/>
        <w:t xml:space="preserve">Bioethicists are </w:t>
      </w:r>
      <w:r w:rsidR="00EC7B2A">
        <w:t xml:space="preserve">typically consulted when those </w:t>
      </w:r>
      <w:r>
        <w:t xml:space="preserve">involved in health-related </w:t>
      </w:r>
      <w:r w:rsidR="00C53551">
        <w:t xml:space="preserve">decision-making are faced with </w:t>
      </w:r>
      <w:r w:rsidR="00FE2578">
        <w:t>circumstances</w:t>
      </w:r>
      <w:r w:rsidR="00C53551">
        <w:t xml:space="preserve"> or questions</w:t>
      </w:r>
      <w:r>
        <w:t xml:space="preserve"> that </w:t>
      </w:r>
      <w:r w:rsidR="00EC7B2A">
        <w:t>they find problematic or perplexing</w:t>
      </w:r>
      <w:r>
        <w:t xml:space="preserve"> in some way.</w:t>
      </w:r>
      <w:r w:rsidR="00C53551">
        <w:t xml:space="preserve"> A novice </w:t>
      </w:r>
      <w:r w:rsidR="0056004F">
        <w:t xml:space="preserve">health care </w:t>
      </w:r>
      <w:r w:rsidR="00C53551">
        <w:t>practitioner, or a new</w:t>
      </w:r>
      <w:r w:rsidR="00872FEA">
        <w:t xml:space="preserve"> hospital</w:t>
      </w:r>
      <w:r w:rsidR="00C53551">
        <w:t xml:space="preserve"> employee, might ask for direction with respect to a question that can be answered empirically, or via reference to well-established rules or norms</w:t>
      </w:r>
      <w:r w:rsidR="004150B9">
        <w:t xml:space="preserve"> (for example, a </w:t>
      </w:r>
      <w:r w:rsidR="00BF5E6C">
        <w:t xml:space="preserve">nursing student or surgical </w:t>
      </w:r>
      <w:r w:rsidR="004150B9">
        <w:t>resident might ask the bioethicist</w:t>
      </w:r>
      <w:r w:rsidR="00BF5E6C">
        <w:t>:</w:t>
      </w:r>
      <w:r w:rsidR="004150B9">
        <w:t xml:space="preserve"> Who should make </w:t>
      </w:r>
      <w:r w:rsidR="007A3CC4">
        <w:t xml:space="preserve">treatment </w:t>
      </w:r>
      <w:r w:rsidR="004150B9">
        <w:t xml:space="preserve">decisions for an incapable patient without </w:t>
      </w:r>
      <w:r w:rsidR="0096500A">
        <w:t>any known family or community</w:t>
      </w:r>
      <w:r w:rsidR="004150B9">
        <w:t>?</w:t>
      </w:r>
      <w:r w:rsidR="00BF5E6C">
        <w:t xml:space="preserve"> Is informed consent necessary for even a </w:t>
      </w:r>
      <w:r w:rsidR="00F848A2">
        <w:t xml:space="preserve">very </w:t>
      </w:r>
      <w:r w:rsidR="00BF5E6C">
        <w:t>low risk medical intervention?</w:t>
      </w:r>
      <w:r w:rsidR="004150B9">
        <w:t>)</w:t>
      </w:r>
      <w:r w:rsidR="000A0D27">
        <w:t>, but the more interesting and controversial part</w:t>
      </w:r>
      <w:r w:rsidR="00C53551">
        <w:t xml:space="preserve"> of the PHE’s work will consist of what might be dubbed “hard cases.” The nature of hard cases varies</w:t>
      </w:r>
      <w:r w:rsidR="000502B1">
        <w:t xml:space="preserve"> however</w:t>
      </w:r>
      <w:r w:rsidR="00412267">
        <w:t>,</w:t>
      </w:r>
      <w:r w:rsidR="00C53551">
        <w:t xml:space="preserve"> and it may be use</w:t>
      </w:r>
      <w:r w:rsidR="00EC7B2A">
        <w:t>ful to distinguish the chief</w:t>
      </w:r>
      <w:r w:rsidR="00C53551">
        <w:t xml:space="preserve"> ways that hard cases are hard. </w:t>
      </w:r>
      <w:r w:rsidR="00412267">
        <w:t xml:space="preserve">The categories may overlap, and </w:t>
      </w:r>
      <w:r w:rsidR="0096500A">
        <w:t xml:space="preserve">while </w:t>
      </w:r>
      <w:r w:rsidR="00412267">
        <w:t xml:space="preserve">cases may be </w:t>
      </w:r>
      <w:r w:rsidR="00412267">
        <w:lastRenderedPageBreak/>
        <w:t>challenging</w:t>
      </w:r>
      <w:r w:rsidR="0096500A">
        <w:t xml:space="preserve"> in more than one way, </w:t>
      </w:r>
      <w:r w:rsidR="00845301">
        <w:t>the effort to parse their content</w:t>
      </w:r>
      <w:r w:rsidR="00FD7F16">
        <w:t xml:space="preserve"> </w:t>
      </w:r>
      <w:r w:rsidR="000A0D27">
        <w:t>provides</w:t>
      </w:r>
      <w:r w:rsidR="00412267">
        <w:t xml:space="preserve"> </w:t>
      </w:r>
      <w:r w:rsidR="0041194D">
        <w:t>an occasion to</w:t>
      </w:r>
      <w:r w:rsidR="00412267">
        <w:t xml:space="preserve"> think about the work</w:t>
      </w:r>
      <w:r w:rsidR="0041194D">
        <w:t xml:space="preserve"> in a fresh way</w:t>
      </w:r>
      <w:r w:rsidR="00412267">
        <w:t xml:space="preserve">; that is, it </w:t>
      </w:r>
      <w:r w:rsidR="009834B4">
        <w:t xml:space="preserve">can </w:t>
      </w:r>
      <w:r w:rsidR="00FE2578">
        <w:t>invite bio</w:t>
      </w:r>
      <w:r w:rsidR="00412267">
        <w:t>ethicists specifically to draw upon some of the lessons of legal theory.</w:t>
      </w:r>
    </w:p>
    <w:p w14:paraId="35CEC2E3" w14:textId="77777777" w:rsidR="00B72462" w:rsidRDefault="00412267" w:rsidP="00B4646D">
      <w:pPr>
        <w:spacing w:line="480" w:lineRule="auto"/>
      </w:pPr>
      <w:r>
        <w:tab/>
      </w:r>
      <w:r w:rsidR="000502B1">
        <w:t>A</w:t>
      </w:r>
      <w:r w:rsidR="00B762DE">
        <w:t xml:space="preserve">s may be expected in a </w:t>
      </w:r>
      <w:r w:rsidR="00435F8F">
        <w:t xml:space="preserve">stressful </w:t>
      </w:r>
      <w:r w:rsidR="00B762DE">
        <w:t>health care environment, s</w:t>
      </w:r>
      <w:r w:rsidR="00D10969">
        <w:t xml:space="preserve">ome cases may be described as </w:t>
      </w:r>
      <w:r w:rsidR="00B762DE">
        <w:t xml:space="preserve">hard </w:t>
      </w:r>
      <w:r w:rsidR="00FD7F16">
        <w:t xml:space="preserve">primarily </w:t>
      </w:r>
      <w:r w:rsidR="00B762DE">
        <w:t>because they are emotionally</w:t>
      </w:r>
      <w:r w:rsidR="00D10969">
        <w:t xml:space="preserve"> taxing. </w:t>
      </w:r>
      <w:r w:rsidR="00FD7F16">
        <w:t>For example, a</w:t>
      </w:r>
      <w:r w:rsidR="00D10969">
        <w:t xml:space="preserve"> </w:t>
      </w:r>
      <w:r w:rsidR="008E47DA">
        <w:t xml:space="preserve">case involving a </w:t>
      </w:r>
      <w:r w:rsidR="00D10969">
        <w:t xml:space="preserve">patient with </w:t>
      </w:r>
      <w:r w:rsidR="00B762DE">
        <w:t>a</w:t>
      </w:r>
      <w:r w:rsidR="000A0D27">
        <w:t>n</w:t>
      </w:r>
      <w:r w:rsidR="00B762DE">
        <w:t xml:space="preserve"> </w:t>
      </w:r>
      <w:r w:rsidR="000A0D27">
        <w:t xml:space="preserve">injury, </w:t>
      </w:r>
      <w:r w:rsidR="00D10969">
        <w:t>disease</w:t>
      </w:r>
      <w:r w:rsidR="007A3CC4">
        <w:t>,</w:t>
      </w:r>
      <w:r w:rsidR="00D10969">
        <w:t xml:space="preserve"> or disability</w:t>
      </w:r>
      <w:r w:rsidR="008E47DA">
        <w:t xml:space="preserve"> that causes great suffering, especially if that </w:t>
      </w:r>
      <w:r w:rsidR="0096500A">
        <w:t xml:space="preserve">suffering </w:t>
      </w:r>
      <w:r w:rsidR="0030549F">
        <w:t>cannot be ameliorated</w:t>
      </w:r>
      <w:r w:rsidR="00004112">
        <w:t xml:space="preserve">, may be described as </w:t>
      </w:r>
      <w:r w:rsidR="008E47DA">
        <w:t>hard</w:t>
      </w:r>
      <w:r w:rsidR="00004112">
        <w:t xml:space="preserve"> in this sense</w:t>
      </w:r>
      <w:r w:rsidR="008E47DA">
        <w:t>. I</w:t>
      </w:r>
      <w:r w:rsidR="00B72462">
        <w:t>n addition, i</w:t>
      </w:r>
      <w:r w:rsidR="008E47DA">
        <w:t xml:space="preserve">f </w:t>
      </w:r>
      <w:r w:rsidR="009834B4">
        <w:t xml:space="preserve">a </w:t>
      </w:r>
      <w:r w:rsidR="008E47DA">
        <w:t xml:space="preserve">health care provider identifies </w:t>
      </w:r>
      <w:r w:rsidR="006F5530">
        <w:t>closely with</w:t>
      </w:r>
      <w:r w:rsidR="0096500A">
        <w:t xml:space="preserve"> a particular patient, </w:t>
      </w:r>
      <w:r w:rsidR="006F5530">
        <w:t xml:space="preserve">he may </w:t>
      </w:r>
      <w:r w:rsidR="00A74038">
        <w:t xml:space="preserve">want to </w:t>
      </w:r>
      <w:r w:rsidR="0096500A">
        <w:t xml:space="preserve">consult with </w:t>
      </w:r>
      <w:r w:rsidR="00D0010A">
        <w:t>a PHE</w:t>
      </w:r>
      <w:r w:rsidR="006F5530">
        <w:t xml:space="preserve"> to reassure himself that he has not overlooked important details</w:t>
      </w:r>
      <w:r w:rsidR="00C53E05">
        <w:t>,</w:t>
      </w:r>
      <w:r w:rsidR="006F5530">
        <w:t xml:space="preserve"> or lost </w:t>
      </w:r>
      <w:r w:rsidR="00B72462">
        <w:t xml:space="preserve">critical </w:t>
      </w:r>
      <w:r w:rsidR="006F5530">
        <w:t>perspective</w:t>
      </w:r>
      <w:r w:rsidR="00C53E05">
        <w:t>,</w:t>
      </w:r>
      <w:r w:rsidR="006F5530">
        <w:t xml:space="preserve"> owing to the psychological demands of the case. </w:t>
      </w:r>
      <w:r w:rsidR="009834B4">
        <w:t xml:space="preserve">Ethicists </w:t>
      </w:r>
      <w:r w:rsidR="000A0D27">
        <w:t xml:space="preserve">too may experience this </w:t>
      </w:r>
      <w:r w:rsidR="009834B4">
        <w:t>type of angst when a</w:t>
      </w:r>
      <w:r w:rsidR="0096500A">
        <w:t xml:space="preserve"> case</w:t>
      </w:r>
      <w:r w:rsidR="00E5761B">
        <w:t xml:space="preserve"> strikes an emotional chord, although</w:t>
      </w:r>
      <w:r w:rsidR="0096500A">
        <w:t xml:space="preserve"> they may lack </w:t>
      </w:r>
      <w:r w:rsidR="00FE2578">
        <w:t xml:space="preserve">access to </w:t>
      </w:r>
      <w:r w:rsidR="009834B4">
        <w:t>advisor</w:t>
      </w:r>
      <w:r w:rsidR="0096500A">
        <w:t>s</w:t>
      </w:r>
      <w:r w:rsidR="009834B4">
        <w:t xml:space="preserve"> or </w:t>
      </w:r>
      <w:r w:rsidR="0096500A">
        <w:t>communities</w:t>
      </w:r>
      <w:r w:rsidR="009834B4">
        <w:t xml:space="preserve"> of practice with whom the case may b</w:t>
      </w:r>
      <w:r w:rsidR="00E5761B">
        <w:t>e reviewed</w:t>
      </w:r>
      <w:r w:rsidR="009834B4">
        <w:t xml:space="preserve">. </w:t>
      </w:r>
      <w:r w:rsidR="006F5530">
        <w:t xml:space="preserve">We may call this kind of case an </w:t>
      </w:r>
      <w:r w:rsidR="006F5530" w:rsidRPr="006F5530">
        <w:rPr>
          <w:i/>
        </w:rPr>
        <w:t>evocative case</w:t>
      </w:r>
      <w:r w:rsidR="00B72462">
        <w:t>, recognising that some</w:t>
      </w:r>
      <w:r w:rsidR="006F5530">
        <w:t xml:space="preserve"> c</w:t>
      </w:r>
      <w:r w:rsidR="0096500A">
        <w:t>onsultation</w:t>
      </w:r>
      <w:r w:rsidR="009834B4">
        <w:t>s</w:t>
      </w:r>
      <w:r w:rsidR="006F5530">
        <w:t xml:space="preserve"> </w:t>
      </w:r>
      <w:r w:rsidR="00E525CD">
        <w:t xml:space="preserve">have the potential to </w:t>
      </w:r>
      <w:r w:rsidR="006F5530">
        <w:t xml:space="preserve">elicit strong feelings toward, or against, particular patients or </w:t>
      </w:r>
      <w:r w:rsidR="00A74038">
        <w:t xml:space="preserve">patients in </w:t>
      </w:r>
      <w:r w:rsidR="006F5530">
        <w:t>particular circumstances.</w:t>
      </w:r>
      <w:r w:rsidR="006F5530">
        <w:rPr>
          <w:rStyle w:val="FootnoteReference"/>
        </w:rPr>
        <w:footnoteReference w:id="144"/>
      </w:r>
    </w:p>
    <w:p w14:paraId="58175A07" w14:textId="77777777" w:rsidR="00435F8F" w:rsidRDefault="00944266" w:rsidP="00435F8F">
      <w:pPr>
        <w:spacing w:line="480" w:lineRule="auto"/>
        <w:ind w:left="720"/>
      </w:pPr>
      <w:r>
        <w:lastRenderedPageBreak/>
        <w:t>A</w:t>
      </w:r>
      <w:r w:rsidR="00B72462">
        <w:t>nother type of hard case</w:t>
      </w:r>
      <w:r w:rsidR="00382903">
        <w:t xml:space="preserve"> (also </w:t>
      </w:r>
      <w:r w:rsidR="00B72462">
        <w:t>emotionally challenging</w:t>
      </w:r>
      <w:r w:rsidR="00435F8F">
        <w:t>,</w:t>
      </w:r>
      <w:r w:rsidR="007D52CE">
        <w:t xml:space="preserve"> but for </w:t>
      </w:r>
      <w:r w:rsidR="00435F8F">
        <w:t>a</w:t>
      </w:r>
    </w:p>
    <w:p w14:paraId="12E59709" w14:textId="0A3BA69A" w:rsidR="00030DA1" w:rsidRDefault="00D971CC" w:rsidP="00435F8F">
      <w:pPr>
        <w:spacing w:line="480" w:lineRule="auto"/>
      </w:pPr>
      <w:r>
        <w:t>d</w:t>
      </w:r>
      <w:r w:rsidR="007D52CE">
        <w:t>ifferent</w:t>
      </w:r>
      <w:r>
        <w:t xml:space="preserve"> reason</w:t>
      </w:r>
      <w:r w:rsidR="00A80E28">
        <w:t xml:space="preserve"> than the first</w:t>
      </w:r>
      <w:r w:rsidR="00382903">
        <w:t xml:space="preserve">) </w:t>
      </w:r>
      <w:r w:rsidR="006A61D3">
        <w:t>is</w:t>
      </w:r>
      <w:r>
        <w:t xml:space="preserve"> one</w:t>
      </w:r>
      <w:r w:rsidR="00B72462">
        <w:t xml:space="preserve"> </w:t>
      </w:r>
      <w:r w:rsidR="006A61D3">
        <w:t xml:space="preserve">which </w:t>
      </w:r>
      <w:r w:rsidR="0022123B">
        <w:t>generates</w:t>
      </w:r>
      <w:r w:rsidR="00B72462">
        <w:t xml:space="preserve"> </w:t>
      </w:r>
      <w:r w:rsidR="0031664B">
        <w:t>what is often</w:t>
      </w:r>
      <w:r w:rsidR="00382903">
        <w:t xml:space="preserve"> described as </w:t>
      </w:r>
      <w:r w:rsidR="00B72462">
        <w:t xml:space="preserve">moral distress. </w:t>
      </w:r>
      <w:r w:rsidR="00B72462" w:rsidRPr="007D52CE">
        <w:rPr>
          <w:i/>
        </w:rPr>
        <w:t>Morally distressing cases</w:t>
      </w:r>
      <w:r w:rsidR="00E5761B">
        <w:t xml:space="preserve"> were first described</w:t>
      </w:r>
      <w:r w:rsidR="00B72462">
        <w:t xml:space="preserve"> in the </w:t>
      </w:r>
      <w:r w:rsidR="0041194D">
        <w:t xml:space="preserve">academic </w:t>
      </w:r>
      <w:r w:rsidR="00B72462">
        <w:t>nursing literature and, although the phrase is often us</w:t>
      </w:r>
      <w:r w:rsidR="00820A99">
        <w:t xml:space="preserve">ed without great </w:t>
      </w:r>
      <w:r w:rsidR="007D52CE">
        <w:t>precision,</w:t>
      </w:r>
      <w:r w:rsidR="00B72462">
        <w:t xml:space="preserve"> </w:t>
      </w:r>
      <w:r w:rsidR="007D52CE">
        <w:t>t</w:t>
      </w:r>
      <w:r w:rsidR="00382903">
        <w:t>he concept</w:t>
      </w:r>
      <w:r w:rsidR="007D52CE">
        <w:t xml:space="preserve"> can be traced back to an enormously influential </w:t>
      </w:r>
      <w:r w:rsidR="00382903">
        <w:t xml:space="preserve">text </w:t>
      </w:r>
      <w:r w:rsidR="006A61D3">
        <w:t>by Andrew Jameton that was published in 1984</w:t>
      </w:r>
      <w:r w:rsidR="007D52CE">
        <w:t xml:space="preserve">. Jameton’s focus was on threats to the </w:t>
      </w:r>
      <w:r w:rsidR="00514183">
        <w:t xml:space="preserve">morale and </w:t>
      </w:r>
      <w:r w:rsidR="007D52CE">
        <w:t>professionalism of nurses</w:t>
      </w:r>
      <w:r w:rsidR="008C3509">
        <w:t>,</w:t>
      </w:r>
      <w:r w:rsidR="007D52CE">
        <w:t xml:space="preserve"> and he</w:t>
      </w:r>
      <w:r w:rsidR="00382903">
        <w:t xml:space="preserve"> described </w:t>
      </w:r>
      <w:r w:rsidR="00514183">
        <w:t>moral distress</w:t>
      </w:r>
      <w:r w:rsidR="00145E4F">
        <w:t xml:space="preserve"> as </w:t>
      </w:r>
      <w:r w:rsidR="0062597A">
        <w:t>the feeling</w:t>
      </w:r>
      <w:r w:rsidR="00382903">
        <w:t xml:space="preserve"> evoked by situations in </w:t>
      </w:r>
      <w:r w:rsidR="00145E4F">
        <w:t xml:space="preserve">which </w:t>
      </w:r>
      <w:r w:rsidR="000A0D27">
        <w:t>the provider</w:t>
      </w:r>
      <w:r w:rsidR="00382903">
        <w:t xml:space="preserve"> “knows </w:t>
      </w:r>
      <w:r w:rsidR="00145E4F">
        <w:t>the right thing to do, but</w:t>
      </w:r>
      <w:r w:rsidR="00D0010A">
        <w:t xml:space="preserve"> </w:t>
      </w:r>
      <w:r w:rsidR="00145E4F">
        <w:t>institutional constrain</w:t>
      </w:r>
      <w:r w:rsidR="00382903">
        <w:t xml:space="preserve">ts make it nearly impossible to </w:t>
      </w:r>
      <w:r w:rsidR="00145E4F">
        <w:t>pursue the right course of action.”</w:t>
      </w:r>
      <w:r w:rsidR="00145E4F">
        <w:rPr>
          <w:rStyle w:val="FootnoteReference"/>
        </w:rPr>
        <w:footnoteReference w:id="145"/>
      </w:r>
      <w:r w:rsidR="00145E4F">
        <w:t xml:space="preserve"> </w:t>
      </w:r>
    </w:p>
    <w:p w14:paraId="0CDFFB9B" w14:textId="77777777" w:rsidR="00923F70" w:rsidRDefault="00382903" w:rsidP="00EB001B">
      <w:pPr>
        <w:spacing w:line="480" w:lineRule="auto"/>
        <w:ind w:firstLine="720"/>
      </w:pPr>
      <w:r>
        <w:t>Much has been written on the topic si</w:t>
      </w:r>
      <w:r w:rsidR="00EB001B">
        <w:t xml:space="preserve">nce this early effort to name a </w:t>
      </w:r>
      <w:r>
        <w:t>common source of staff burnout and disaffection</w:t>
      </w:r>
      <w:r w:rsidR="00AC38C3">
        <w:t>,</w:t>
      </w:r>
      <w:r>
        <w:t xml:space="preserve"> </w:t>
      </w:r>
      <w:r w:rsidR="0062597A">
        <w:t>but</w:t>
      </w:r>
      <w:r>
        <w:t xml:space="preserve"> the concept</w:t>
      </w:r>
      <w:r w:rsidR="00AC38C3">
        <w:t xml:space="preserve"> remains a useful one</w:t>
      </w:r>
      <w:r>
        <w:t xml:space="preserve">, especially when </w:t>
      </w:r>
      <w:r w:rsidR="00AC38C3">
        <w:t xml:space="preserve">it is </w:t>
      </w:r>
      <w:r>
        <w:t xml:space="preserve">expanded to cover distress prompted by </w:t>
      </w:r>
      <w:r w:rsidR="00AC38C3">
        <w:t xml:space="preserve">a tension between a professional’s sense of ethical integrity and </w:t>
      </w:r>
      <w:r w:rsidR="00A80E28">
        <w:t xml:space="preserve">a myriad of </w:t>
      </w:r>
      <w:r w:rsidR="00AC38C3">
        <w:t xml:space="preserve">external forces (such as </w:t>
      </w:r>
      <w:r>
        <w:t xml:space="preserve">institutional, legal, </w:t>
      </w:r>
      <w:r w:rsidR="00AC38C3">
        <w:t>or interpe</w:t>
      </w:r>
      <w:r w:rsidR="00E5761B">
        <w:t>rsonal factors) that prevent her</w:t>
      </w:r>
      <w:r w:rsidR="00AC38C3">
        <w:t xml:space="preserve"> from acting in accordance with those values</w:t>
      </w:r>
      <w:r w:rsidR="00670872">
        <w:t>. An example</w:t>
      </w:r>
      <w:r w:rsidR="00265F7D">
        <w:t xml:space="preserve"> might be the case of </w:t>
      </w:r>
      <w:r w:rsidR="00AB2703">
        <w:t>an intensivist faced with a substitute decision-maker who insists on maintaining full code status for a pa</w:t>
      </w:r>
      <w:r w:rsidR="00A80E28">
        <w:t>tient with a profound</w:t>
      </w:r>
      <w:r w:rsidR="00AB2703">
        <w:t xml:space="preserve"> and diffuse brain injury. Even if the physician does not share the values of</w:t>
      </w:r>
      <w:r w:rsidR="0062597A">
        <w:t xml:space="preserve"> the patient’s legally-authorised</w:t>
      </w:r>
      <w:r w:rsidR="00AB2703">
        <w:t xml:space="preserve"> representative, she may be obliged to act </w:t>
      </w:r>
      <w:r w:rsidR="007D7D15">
        <w:t>in accor</w:t>
      </w:r>
      <w:r w:rsidR="00EB001B">
        <w:t>dance with those values so long as</w:t>
      </w:r>
      <w:r w:rsidR="007D7D15">
        <w:t xml:space="preserve"> the situation is not </w:t>
      </w:r>
      <w:r w:rsidR="007D7D15">
        <w:lastRenderedPageBreak/>
        <w:t>physiologically futile.</w:t>
      </w:r>
      <w:r w:rsidR="00EC7B2A">
        <w:rPr>
          <w:rStyle w:val="FootnoteReference"/>
        </w:rPr>
        <w:footnoteReference w:id="146"/>
      </w:r>
      <w:r w:rsidR="00D34FEE">
        <w:t xml:space="preserve"> Similarly, a healthcare ethicist</w:t>
      </w:r>
      <w:r w:rsidR="00820A99">
        <w:t xml:space="preserve"> may </w:t>
      </w:r>
      <w:r w:rsidR="00811FC7">
        <w:t xml:space="preserve">experience moral distress because she </w:t>
      </w:r>
      <w:r w:rsidR="00820A99">
        <w:t>believe</w:t>
      </w:r>
      <w:r w:rsidR="00811FC7">
        <w:t>s</w:t>
      </w:r>
      <w:r w:rsidR="00820A99">
        <w:t xml:space="preserve"> that a Ministry of Health funding formula which fails to cover routine dialysis for </w:t>
      </w:r>
      <w:r w:rsidR="0062597A">
        <w:t xml:space="preserve">impoverished and </w:t>
      </w:r>
      <w:r w:rsidR="00820A99">
        <w:t xml:space="preserve">uninsured patients (especially when those patients seem to meet what she sees as the criteria for community membership) </w:t>
      </w:r>
      <w:r w:rsidR="00BD5EB0">
        <w:t>fails any reasonable test of justice.</w:t>
      </w:r>
      <w:r w:rsidR="00811FC7">
        <w:rPr>
          <w:rStyle w:val="FootnoteReference"/>
        </w:rPr>
        <w:footnoteReference w:id="147"/>
      </w:r>
      <w:r w:rsidR="00820A99">
        <w:t xml:space="preserve"> </w:t>
      </w:r>
      <w:r w:rsidR="00923F70">
        <w:t>It is importan</w:t>
      </w:r>
      <w:r w:rsidR="00872FEA">
        <w:t>t to notice that these cases can</w:t>
      </w:r>
      <w:r w:rsidR="00923F70">
        <w:t xml:space="preserve"> be distinguished from evocative cases because they point to a very specific sourc</w:t>
      </w:r>
      <w:r w:rsidR="00D971CC">
        <w:t xml:space="preserve">e of tension. Despite the name, </w:t>
      </w:r>
      <w:r w:rsidR="00923F70">
        <w:t>which I employ becau</w:t>
      </w:r>
      <w:r w:rsidR="00D971CC">
        <w:t>se of an established literature</w:t>
      </w:r>
      <w:r w:rsidR="00923F70">
        <w:t>, not all evocative cases are morally distressing, although many morally distressing cases are likely to be evocative</w:t>
      </w:r>
      <w:r w:rsidR="00872FEA">
        <w:t xml:space="preserve"> too</w:t>
      </w:r>
      <w:r w:rsidR="00923F70">
        <w:t>.</w:t>
      </w:r>
    </w:p>
    <w:p w14:paraId="07C419CA" w14:textId="77777777" w:rsidR="00A37651" w:rsidRDefault="00935855" w:rsidP="00923F70">
      <w:pPr>
        <w:spacing w:line="480" w:lineRule="auto"/>
        <w:ind w:firstLine="720"/>
      </w:pPr>
      <w:r>
        <w:t>A</w:t>
      </w:r>
      <w:r w:rsidR="00BD5EB0">
        <w:t xml:space="preserve"> third</w:t>
      </w:r>
      <w:r w:rsidR="0062597A">
        <w:t xml:space="preserve"> kind of hard case </w:t>
      </w:r>
      <w:r>
        <w:t>ar</w:t>
      </w:r>
      <w:r w:rsidR="0062597A">
        <w:t xml:space="preserve">ising in health care is </w:t>
      </w:r>
      <w:r w:rsidR="00D315E9">
        <w:t>that</w:t>
      </w:r>
      <w:r>
        <w:t xml:space="preserve"> </w:t>
      </w:r>
      <w:r w:rsidR="0062597A">
        <w:t xml:space="preserve">which </w:t>
      </w:r>
      <w:r>
        <w:t xml:space="preserve">lacks clear answers because there appear to be few </w:t>
      </w:r>
      <w:r w:rsidR="0062597A">
        <w:t xml:space="preserve">applicable </w:t>
      </w:r>
      <w:r w:rsidR="00324916">
        <w:t xml:space="preserve">standards, </w:t>
      </w:r>
      <w:r>
        <w:t>precedents</w:t>
      </w:r>
      <w:r w:rsidR="00BD5EB0">
        <w:t>,</w:t>
      </w:r>
      <w:r w:rsidR="0050191D">
        <w:t xml:space="preserve"> </w:t>
      </w:r>
      <w:r w:rsidR="00670872">
        <w:t xml:space="preserve">settled practises, </w:t>
      </w:r>
      <w:r w:rsidR="0050191D">
        <w:t xml:space="preserve">or </w:t>
      </w:r>
      <w:r w:rsidR="00E5761B">
        <w:t xml:space="preserve">other </w:t>
      </w:r>
      <w:r w:rsidR="0050191D">
        <w:t>clear guides to</w:t>
      </w:r>
      <w:r w:rsidR="005C2C2A">
        <w:t xml:space="preserve"> aid judgement</w:t>
      </w:r>
      <w:r w:rsidR="0050191D">
        <w:t xml:space="preserve"> and action</w:t>
      </w:r>
      <w:r w:rsidR="00BD5EB0">
        <w:t>.</w:t>
      </w:r>
      <w:r>
        <w:t xml:space="preserve"> </w:t>
      </w:r>
      <w:r w:rsidR="005F79CE">
        <w:t xml:space="preserve">Existing standards, </w:t>
      </w:r>
      <w:r w:rsidR="00EB001B">
        <w:t>or well-established</w:t>
      </w:r>
      <w:r w:rsidR="005F79CE">
        <w:t xml:space="preserve"> principles, may pull the </w:t>
      </w:r>
      <w:r w:rsidR="00D34FEE">
        <w:t>clinician</w:t>
      </w:r>
      <w:r w:rsidR="00D971CC">
        <w:t xml:space="preserve"> (or, indeed, the </w:t>
      </w:r>
      <w:r w:rsidR="004A5233">
        <w:t xml:space="preserve">practicing </w:t>
      </w:r>
      <w:r w:rsidR="00D971CC">
        <w:t>ethicist)</w:t>
      </w:r>
      <w:r w:rsidR="005F79CE">
        <w:t xml:space="preserve"> in opposing directions or they may seem not to be entire</w:t>
      </w:r>
      <w:r w:rsidR="00A7380D">
        <w:t xml:space="preserve">ly on-point, yet decisions </w:t>
      </w:r>
      <w:r w:rsidR="00C53E05">
        <w:t xml:space="preserve">will </w:t>
      </w:r>
      <w:r w:rsidR="005F79CE">
        <w:t>need to be made</w:t>
      </w:r>
      <w:r w:rsidR="00A7380D">
        <w:t xml:space="preserve"> and a way forward must</w:t>
      </w:r>
      <w:r w:rsidR="005F79CE">
        <w:t xml:space="preserve"> be found. </w:t>
      </w:r>
      <w:r w:rsidR="0050191D">
        <w:t xml:space="preserve">Such </w:t>
      </w:r>
      <w:r w:rsidR="009B6526">
        <w:t xml:space="preserve">a </w:t>
      </w:r>
      <w:r w:rsidR="0050191D">
        <w:t xml:space="preserve">case </w:t>
      </w:r>
      <w:r w:rsidR="00E05BA7">
        <w:lastRenderedPageBreak/>
        <w:t>might</w:t>
      </w:r>
      <w:r w:rsidR="00C84D2D">
        <w:t xml:space="preserve"> </w:t>
      </w:r>
      <w:r w:rsidR="009B6526">
        <w:t>involve</w:t>
      </w:r>
      <w:r w:rsidR="001E1F02">
        <w:t>, for example,</w:t>
      </w:r>
      <w:r w:rsidR="00CB1A11">
        <w:t xml:space="preserve"> </w:t>
      </w:r>
      <w:r w:rsidR="000A0D27">
        <w:t>a request to supply an</w:t>
      </w:r>
      <w:r w:rsidR="0050191D">
        <w:t xml:space="preserve"> evaluation of the ethical merits and shortcomings associated with the use of </w:t>
      </w:r>
      <w:r w:rsidR="00A7380D">
        <w:t>a novel</w:t>
      </w:r>
      <w:r w:rsidR="00CB1A11">
        <w:t xml:space="preserve"> technology</w:t>
      </w:r>
      <w:r w:rsidR="004B638E">
        <w:t xml:space="preserve"> (an example might be non-hypothesis driven research on machine learning algorithms)</w:t>
      </w:r>
      <w:r w:rsidR="0050191D">
        <w:t>,</w:t>
      </w:r>
      <w:r w:rsidR="00CB1A11">
        <w:t xml:space="preserve"> or </w:t>
      </w:r>
      <w:r w:rsidR="004B638E">
        <w:t xml:space="preserve">to provide </w:t>
      </w:r>
      <w:r w:rsidR="00D860B2">
        <w:t>an appraisal</w:t>
      </w:r>
      <w:r w:rsidR="00A7380D">
        <w:t xml:space="preserve"> of a treatment option which </w:t>
      </w:r>
      <w:r w:rsidR="0050191D">
        <w:t>seem</w:t>
      </w:r>
      <w:r w:rsidR="00A7380D">
        <w:t>s</w:t>
      </w:r>
      <w:r w:rsidR="0050191D">
        <w:t xml:space="preserve"> to fall</w:t>
      </w:r>
      <w:r w:rsidR="00CB1A11">
        <w:t xml:space="preserve"> </w:t>
      </w:r>
      <w:r w:rsidR="00A7380D">
        <w:t xml:space="preserve">outside of </w:t>
      </w:r>
      <w:r w:rsidR="0050191D">
        <w:t xml:space="preserve">the </w:t>
      </w:r>
      <w:r w:rsidR="001E1F02">
        <w:t>standards</w:t>
      </w:r>
      <w:r w:rsidR="0050191D">
        <w:t xml:space="preserve"> </w:t>
      </w:r>
      <w:r w:rsidR="00C84D2D">
        <w:t>ordinarily</w:t>
      </w:r>
      <w:r w:rsidR="00A7380D">
        <w:t xml:space="preserve"> governing </w:t>
      </w:r>
      <w:r w:rsidR="00CB1A11">
        <w:t>current practice (</w:t>
      </w:r>
      <w:r w:rsidR="004B638E">
        <w:t xml:space="preserve">such as </w:t>
      </w:r>
      <w:r w:rsidR="00A7380D">
        <w:t xml:space="preserve">a proposed case of </w:t>
      </w:r>
      <w:r w:rsidR="00C84D2D">
        <w:t>surgical innovation)</w:t>
      </w:r>
      <w:r w:rsidR="00A7380D">
        <w:t>.</w:t>
      </w:r>
      <w:r w:rsidR="006A61D3">
        <w:rPr>
          <w:rStyle w:val="FootnoteReference"/>
        </w:rPr>
        <w:footnoteReference w:id="148"/>
      </w:r>
      <w:r w:rsidR="00582F39">
        <w:t xml:space="preserve"> </w:t>
      </w:r>
      <w:r w:rsidR="000A0D27">
        <w:t>In addition, a</w:t>
      </w:r>
      <w:r w:rsidR="00D34FEE">
        <w:t xml:space="preserve"> clinical</w:t>
      </w:r>
      <w:r w:rsidR="00AE51D3">
        <w:t xml:space="preserve"> case</w:t>
      </w:r>
      <w:r w:rsidR="00C84D2D">
        <w:t xml:space="preserve"> may </w:t>
      </w:r>
      <w:r w:rsidR="00E05BA7">
        <w:t xml:space="preserve">feel hard </w:t>
      </w:r>
      <w:r w:rsidR="00C84D2D">
        <w:t xml:space="preserve">because </w:t>
      </w:r>
      <w:r w:rsidR="00AE51D3">
        <w:t>it</w:t>
      </w:r>
      <w:r w:rsidR="00C84D2D">
        <w:t xml:space="preserve"> </w:t>
      </w:r>
      <w:r w:rsidR="00CB1A11">
        <w:t>require</w:t>
      </w:r>
      <w:r w:rsidR="00AE51D3">
        <w:t>s that</w:t>
      </w:r>
      <w:r w:rsidR="00CB1A11">
        <w:t xml:space="preserve"> </w:t>
      </w:r>
      <w:r w:rsidR="00AE51D3">
        <w:t xml:space="preserve">decisions </w:t>
      </w:r>
      <w:r w:rsidR="00CB1A11">
        <w:t>be made with only the scant</w:t>
      </w:r>
      <w:r w:rsidR="00C84D2D">
        <w:t>i</w:t>
      </w:r>
      <w:r w:rsidR="00E33CE4">
        <w:t>est evidence about a</w:t>
      </w:r>
      <w:r w:rsidR="00CB1A11">
        <w:t xml:space="preserve"> patient’s relevant </w:t>
      </w:r>
      <w:r w:rsidR="005C2C2A">
        <w:t>values or</w:t>
      </w:r>
      <w:r w:rsidR="00CB1A11">
        <w:t xml:space="preserve"> interests</w:t>
      </w:r>
      <w:r w:rsidR="00670872">
        <w:t xml:space="preserve">; </w:t>
      </w:r>
      <w:r w:rsidR="00AE51D3">
        <w:t>p</w:t>
      </w:r>
      <w:r w:rsidR="00BD5EB0">
        <w:t xml:space="preserve">erhaps </w:t>
      </w:r>
      <w:r w:rsidR="00582F39">
        <w:t>because he</w:t>
      </w:r>
      <w:r w:rsidR="00CB1A11">
        <w:t xml:space="preserve"> never p</w:t>
      </w:r>
      <w:r w:rsidR="001E1F02">
        <w:t>ossessed decisional-capacity or because</w:t>
      </w:r>
      <w:r w:rsidR="00582F39">
        <w:t xml:space="preserve">, although previously capacitated, he </w:t>
      </w:r>
      <w:r w:rsidR="00CB1A11">
        <w:t>was silent on matters relevant to current decision</w:t>
      </w:r>
      <w:r w:rsidR="00582F39">
        <w:t>-making imperatives</w:t>
      </w:r>
      <w:r w:rsidR="00CB1A11">
        <w:t>.</w:t>
      </w:r>
      <w:r w:rsidR="009B6526">
        <w:t xml:space="preserve"> </w:t>
      </w:r>
      <w:r w:rsidR="00CB1A11">
        <w:t xml:space="preserve">We might call these kinds of hard cases, following the </w:t>
      </w:r>
      <w:r w:rsidR="004514E7">
        <w:t>terminology coined</w:t>
      </w:r>
      <w:r w:rsidR="004029C2">
        <w:t xml:space="preserve"> </w:t>
      </w:r>
      <w:r w:rsidR="004B1301">
        <w:t xml:space="preserve">by </w:t>
      </w:r>
      <w:r w:rsidR="004029C2">
        <w:t xml:space="preserve">the </w:t>
      </w:r>
      <w:r w:rsidR="00CB1A11">
        <w:t>legal theorist H. L. A</w:t>
      </w:r>
      <w:r w:rsidR="00BD5EB0">
        <w:t>.</w:t>
      </w:r>
      <w:r w:rsidR="00CB1A11">
        <w:t xml:space="preserve"> Hart, </w:t>
      </w:r>
      <w:r w:rsidR="00CB1A11" w:rsidRPr="004A57CC">
        <w:rPr>
          <w:i/>
        </w:rPr>
        <w:t>penumbral cases</w:t>
      </w:r>
      <w:r w:rsidR="00CB1A11">
        <w:t xml:space="preserve"> because they t</w:t>
      </w:r>
      <w:r w:rsidR="00C84D2D">
        <w:t xml:space="preserve">ake </w:t>
      </w:r>
      <w:r w:rsidR="00A37651">
        <w:t xml:space="preserve">their </w:t>
      </w:r>
      <w:r w:rsidR="00C84D2D">
        <w:t>stakeholders</w:t>
      </w:r>
      <w:r w:rsidR="004A57CC">
        <w:t xml:space="preserve"> into a zone of indeterminacy</w:t>
      </w:r>
      <w:r w:rsidR="00A37651">
        <w:t xml:space="preserve"> where it can seem that no answer can b</w:t>
      </w:r>
      <w:r w:rsidR="00582F39">
        <w:t>e deemed right even if some appear</w:t>
      </w:r>
      <w:r w:rsidR="00A37651">
        <w:t xml:space="preserve"> to be clearly wrong</w:t>
      </w:r>
      <w:r w:rsidR="004A57CC">
        <w:t>.</w:t>
      </w:r>
    </w:p>
    <w:p w14:paraId="091E21DE" w14:textId="166F377D" w:rsidR="00680F3A" w:rsidRDefault="00E7248C" w:rsidP="00680F3A">
      <w:pPr>
        <w:spacing w:line="480" w:lineRule="auto"/>
        <w:ind w:firstLine="720"/>
      </w:pPr>
      <w:r>
        <w:t>As was mentioned earlier, the varieties of hard cases described above (those</w:t>
      </w:r>
      <w:r w:rsidR="00670872">
        <w:t xml:space="preserve"> </w:t>
      </w:r>
      <w:r w:rsidR="00D512DF">
        <w:t xml:space="preserve">to </w:t>
      </w:r>
      <w:r w:rsidR="00670872">
        <w:t>which I have given the labels ‘</w:t>
      </w:r>
      <w:r>
        <w:t>evocative</w:t>
      </w:r>
      <w:r w:rsidR="00670872">
        <w:t>,’ ‘morally distressing,’ and ‘penumbral’</w:t>
      </w:r>
      <w:r>
        <w:t>) are not meant to be mutually exclusive</w:t>
      </w:r>
      <w:r w:rsidR="004B1301">
        <w:t>:</w:t>
      </w:r>
      <w:r w:rsidR="00680F3A">
        <w:t xml:space="preserve"> </w:t>
      </w:r>
      <w:r>
        <w:t>a</w:t>
      </w:r>
      <w:r w:rsidR="004B1301">
        <w:t>n evocative case</w:t>
      </w:r>
      <w:r w:rsidR="00582F39">
        <w:t xml:space="preserve"> </w:t>
      </w:r>
      <w:r w:rsidR="006A6F8A">
        <w:t xml:space="preserve">may </w:t>
      </w:r>
      <w:r>
        <w:t xml:space="preserve">lack </w:t>
      </w:r>
      <w:r>
        <w:lastRenderedPageBreak/>
        <w:t>clear precedents</w:t>
      </w:r>
      <w:r w:rsidR="006A6F8A">
        <w:t>, and a mora</w:t>
      </w:r>
      <w:r w:rsidR="00680F3A">
        <w:t>lly distressing case may</w:t>
      </w:r>
      <w:r w:rsidR="006A6F8A">
        <w:t xml:space="preserve"> be evocative</w:t>
      </w:r>
      <w:r w:rsidR="00680F3A">
        <w:t>. It is also true</w:t>
      </w:r>
      <w:r>
        <w:t xml:space="preserve"> </w:t>
      </w:r>
      <w:r w:rsidR="00680F3A">
        <w:t xml:space="preserve">that </w:t>
      </w:r>
      <w:r>
        <w:t xml:space="preserve">they </w:t>
      </w:r>
      <w:r w:rsidR="00680F3A">
        <w:t xml:space="preserve">need not </w:t>
      </w:r>
      <w:r w:rsidR="003047B8">
        <w:t>comprise a bioethicist’s entire consultation caseload</w:t>
      </w:r>
      <w:r w:rsidR="004B1301">
        <w:t>; o</w:t>
      </w:r>
      <w:r w:rsidR="00680F3A">
        <w:t>ther types of hard cases may well exist</w:t>
      </w:r>
      <w:r w:rsidR="003047B8">
        <w:t>. My ambition, however, is not to offer a compre</w:t>
      </w:r>
      <w:r w:rsidR="00030DA1">
        <w:t xml:space="preserve">hensive account of the practicing healthcare </w:t>
      </w:r>
      <w:r w:rsidR="003047B8">
        <w:t>ethicis</w:t>
      </w:r>
      <w:r w:rsidR="00E871E5">
        <w:t xml:space="preserve">t’s labours, or </w:t>
      </w:r>
      <w:r w:rsidR="003047B8">
        <w:t xml:space="preserve">even </w:t>
      </w:r>
      <w:r w:rsidR="00E871E5">
        <w:t xml:space="preserve">of </w:t>
      </w:r>
      <w:r w:rsidR="003047B8">
        <w:t xml:space="preserve">her </w:t>
      </w:r>
      <w:r w:rsidR="00CB2E21">
        <w:t xml:space="preserve">full </w:t>
      </w:r>
      <w:r w:rsidR="003E53C9">
        <w:t>range of consultation</w:t>
      </w:r>
      <w:r w:rsidR="003047B8">
        <w:t xml:space="preserve"> cases.</w:t>
      </w:r>
      <w:r w:rsidR="006A6F8A">
        <w:rPr>
          <w:rStyle w:val="FootnoteReference"/>
        </w:rPr>
        <w:footnoteReference w:id="149"/>
      </w:r>
      <w:r w:rsidR="003047B8">
        <w:t xml:space="preserve"> My </w:t>
      </w:r>
      <w:r w:rsidR="00582F39">
        <w:t xml:space="preserve">immediate </w:t>
      </w:r>
      <w:r w:rsidR="003047B8">
        <w:t xml:space="preserve">task is the more modest one </w:t>
      </w:r>
      <w:r w:rsidR="00680F3A">
        <w:t xml:space="preserve">of </w:t>
      </w:r>
      <w:r w:rsidR="00D860B2">
        <w:t xml:space="preserve">naming and </w:t>
      </w:r>
      <w:r w:rsidR="00680F3A">
        <w:t xml:space="preserve">distinguishing some familiar </w:t>
      </w:r>
      <w:r w:rsidR="00CB2E21">
        <w:t xml:space="preserve">categories of </w:t>
      </w:r>
      <w:r w:rsidR="003E53C9">
        <w:t xml:space="preserve">health care ethics </w:t>
      </w:r>
      <w:r w:rsidR="003047B8">
        <w:t xml:space="preserve">consultation </w:t>
      </w:r>
      <w:r w:rsidR="00680F3A">
        <w:t xml:space="preserve">in order </w:t>
      </w:r>
      <w:r w:rsidR="00582F39">
        <w:t xml:space="preserve">to determine whether </w:t>
      </w:r>
      <w:r w:rsidR="006A6F8A">
        <w:t>we can think more productively about how to engage some of the most challenging and contentious</w:t>
      </w:r>
      <w:r w:rsidR="00680F3A">
        <w:t xml:space="preserve"> aspects of that work.</w:t>
      </w:r>
    </w:p>
    <w:p w14:paraId="64060010" w14:textId="77777777" w:rsidR="0096138F" w:rsidRDefault="0096138F" w:rsidP="00680F3A">
      <w:pPr>
        <w:spacing w:line="480" w:lineRule="auto"/>
        <w:ind w:firstLine="720"/>
      </w:pPr>
    </w:p>
    <w:p w14:paraId="553D4B6A" w14:textId="77777777" w:rsidR="00DB02DC" w:rsidRDefault="00680F3A" w:rsidP="00680F3A">
      <w:pPr>
        <w:spacing w:line="480" w:lineRule="auto"/>
      </w:pPr>
      <w:r w:rsidRPr="00680F3A">
        <w:rPr>
          <w:i/>
        </w:rPr>
        <w:t>Practis</w:t>
      </w:r>
      <w:r w:rsidR="006056D1">
        <w:rPr>
          <w:i/>
        </w:rPr>
        <w:t xml:space="preserve">ing in the penumbra: </w:t>
      </w:r>
      <w:r w:rsidRPr="00680F3A">
        <w:rPr>
          <w:i/>
        </w:rPr>
        <w:t>variation</w:t>
      </w:r>
      <w:r w:rsidR="006056D1">
        <w:rPr>
          <w:i/>
        </w:rPr>
        <w:t xml:space="preserve"> and values</w:t>
      </w:r>
    </w:p>
    <w:p w14:paraId="2B83070A" w14:textId="7BDD1E0F" w:rsidR="00800BF1" w:rsidRDefault="004514E7" w:rsidP="00506896">
      <w:pPr>
        <w:spacing w:line="480" w:lineRule="auto"/>
        <w:ind w:firstLine="720"/>
      </w:pPr>
      <w:r>
        <w:t>Although t</w:t>
      </w:r>
      <w:r w:rsidR="007E2DA5">
        <w:t xml:space="preserve">hose </w:t>
      </w:r>
      <w:r w:rsidR="00506896">
        <w:t xml:space="preserve">cases </w:t>
      </w:r>
      <w:r w:rsidR="007E2DA5">
        <w:t>that</w:t>
      </w:r>
      <w:r>
        <w:t xml:space="preserve"> I have labelled </w:t>
      </w:r>
      <w:r w:rsidR="00A13DD9">
        <w:t>‘</w:t>
      </w:r>
      <w:r>
        <w:t>evocative</w:t>
      </w:r>
      <w:r w:rsidR="00A13DD9">
        <w:t>’</w:t>
      </w:r>
      <w:r>
        <w:t xml:space="preserve"> and </w:t>
      </w:r>
      <w:r w:rsidR="00A13DD9">
        <w:t>‘</w:t>
      </w:r>
      <w:r>
        <w:t>morally distressing</w:t>
      </w:r>
      <w:r w:rsidR="00A13DD9">
        <w:t>’</w:t>
      </w:r>
      <w:r w:rsidR="00506896">
        <w:t xml:space="preserve"> </w:t>
      </w:r>
      <w:r>
        <w:t xml:space="preserve">do not constitute a small </w:t>
      </w:r>
      <w:r w:rsidR="00A13DD9">
        <w:t xml:space="preserve">or </w:t>
      </w:r>
      <w:r w:rsidR="006056D1">
        <w:t xml:space="preserve">inconsequential </w:t>
      </w:r>
      <w:r>
        <w:t xml:space="preserve">part of a clinical ethicist’s work, </w:t>
      </w:r>
      <w:r w:rsidR="00670872">
        <w:t xml:space="preserve">it seems reasonable to </w:t>
      </w:r>
      <w:r w:rsidR="00A13DD9">
        <w:t>suggest</w:t>
      </w:r>
      <w:r>
        <w:t xml:space="preserve"> that</w:t>
      </w:r>
      <w:r w:rsidR="00A13DD9">
        <w:t xml:space="preserve"> these are not </w:t>
      </w:r>
      <w:r w:rsidR="00506896">
        <w:t xml:space="preserve">the kinds of </w:t>
      </w:r>
      <w:r w:rsidR="00A13DD9">
        <w:t>cases</w:t>
      </w:r>
      <w:r w:rsidR="007E2DA5">
        <w:t xml:space="preserve"> which present unique or especially</w:t>
      </w:r>
      <w:r w:rsidR="00A13DD9">
        <w:t xml:space="preserve"> problematic challenges for the field. </w:t>
      </w:r>
      <w:r w:rsidR="00506896">
        <w:t>Indeed, the literature of most, if not all, of the health-related pro</w:t>
      </w:r>
      <w:r w:rsidR="009C7DF2">
        <w:t>fessions make</w:t>
      </w:r>
      <w:r w:rsidR="000526FE">
        <w:t>s</w:t>
      </w:r>
      <w:r w:rsidR="009C7DF2">
        <w:t xml:space="preserve"> mention of</w:t>
      </w:r>
      <w:r w:rsidR="0094559D">
        <w:t xml:space="preserve"> the various bounda</w:t>
      </w:r>
      <w:r w:rsidR="00506896">
        <w:t>ry dilemmas that I reference within th</w:t>
      </w:r>
      <w:r w:rsidR="000E5F31">
        <w:t>e broader category which encapsulates</w:t>
      </w:r>
      <w:r w:rsidR="00506896">
        <w:t xml:space="preserve"> evocative cases</w:t>
      </w:r>
      <w:r w:rsidR="00800BF1">
        <w:t>;</w:t>
      </w:r>
      <w:r w:rsidR="002F6EDE">
        <w:t xml:space="preserve"> </w:t>
      </w:r>
      <w:r w:rsidR="00506896">
        <w:t xml:space="preserve">and morally distressing cases are, by definition, troubling </w:t>
      </w:r>
      <w:r w:rsidR="00800BF1">
        <w:t xml:space="preserve">precisely </w:t>
      </w:r>
      <w:r w:rsidR="00AA3488">
        <w:t xml:space="preserve">because they leave </w:t>
      </w:r>
      <w:r w:rsidR="009C7DF2">
        <w:t>little doubt</w:t>
      </w:r>
      <w:r w:rsidR="00506896">
        <w:t xml:space="preserve"> about </w:t>
      </w:r>
      <w:r w:rsidR="002F6EDE">
        <w:t xml:space="preserve">the kinds of </w:t>
      </w:r>
      <w:r w:rsidR="00506896">
        <w:t xml:space="preserve">actions </w:t>
      </w:r>
      <w:r w:rsidR="002F6EDE">
        <w:t xml:space="preserve">that </w:t>
      </w:r>
      <w:r w:rsidR="00AA3488">
        <w:t>are</w:t>
      </w:r>
      <w:r w:rsidR="00506896">
        <w:t xml:space="preserve"> expected of the health care professional</w:t>
      </w:r>
      <w:r w:rsidR="00F83A8F">
        <w:t xml:space="preserve"> </w:t>
      </w:r>
      <w:r w:rsidR="009C7DF2">
        <w:t>(</w:t>
      </w:r>
      <w:r w:rsidR="00DE5AF0">
        <w:t>despite her</w:t>
      </w:r>
      <w:r w:rsidR="00F83A8F">
        <w:t xml:space="preserve"> desire to avoid or resist </w:t>
      </w:r>
      <w:r w:rsidR="00F83A8F">
        <w:lastRenderedPageBreak/>
        <w:t>them</w:t>
      </w:r>
      <w:r w:rsidR="009C7DF2">
        <w:t>)</w:t>
      </w:r>
      <w:r w:rsidR="00324916">
        <w:t>.</w:t>
      </w:r>
      <w:r w:rsidR="002F6EDE">
        <w:t xml:space="preserve"> Penumbral cases, on the other hand, would seem to present the greatest opportunities for bioethicists to render opinions</w:t>
      </w:r>
      <w:r w:rsidR="00800BF1">
        <w:t>,</w:t>
      </w:r>
      <w:r w:rsidR="002F6EDE">
        <w:t xml:space="preserve"> or </w:t>
      </w:r>
      <w:r w:rsidR="00841F2E">
        <w:t xml:space="preserve">to </w:t>
      </w:r>
      <w:r w:rsidR="002F6EDE">
        <w:t>offer analyses</w:t>
      </w:r>
      <w:r w:rsidR="00800BF1">
        <w:t>,</w:t>
      </w:r>
      <w:r w:rsidR="002F6EDE">
        <w:t xml:space="preserve"> that are compromised, politicised, or </w:t>
      </w:r>
      <w:r w:rsidR="00841F2E">
        <w:t>incoherent</w:t>
      </w:r>
      <w:r w:rsidR="00800BF1">
        <w:t xml:space="preserve"> </w:t>
      </w:r>
      <w:r w:rsidR="00DE5AF0">
        <w:t>in the ways that</w:t>
      </w:r>
      <w:r w:rsidR="00841F2E">
        <w:t xml:space="preserve"> these terms</w:t>
      </w:r>
      <w:r w:rsidR="00DE5AF0">
        <w:t xml:space="preserve"> are intended to capture</w:t>
      </w:r>
      <w:r w:rsidR="00841F2E">
        <w:t xml:space="preserve">. Before we can assess the gravity of these charges, however, </w:t>
      </w:r>
      <w:r w:rsidR="001F02AC">
        <w:t>it will</w:t>
      </w:r>
      <w:r w:rsidR="00800BF1">
        <w:t xml:space="preserve"> be helpful to have at least a modest acquaintance with what </w:t>
      </w:r>
      <w:r w:rsidR="00D971CC">
        <w:t xml:space="preserve">H.L.A. </w:t>
      </w:r>
      <w:r w:rsidR="00800BF1">
        <w:t>Hart described as the “problems of the penumbra.”</w:t>
      </w:r>
    </w:p>
    <w:p w14:paraId="5CB1C2D4" w14:textId="77777777" w:rsidR="00DB5CCE" w:rsidRDefault="00742F49" w:rsidP="00506896">
      <w:pPr>
        <w:spacing w:line="480" w:lineRule="auto"/>
        <w:ind w:firstLine="720"/>
      </w:pPr>
      <w:r>
        <w:t>In an elegant and much-</w:t>
      </w:r>
      <w:r w:rsidR="006026FC">
        <w:t>cited paper called “Positivism and the Separation of Law and Morals,” Hart offer</w:t>
      </w:r>
      <w:r w:rsidR="001A0025">
        <w:t>ed an a</w:t>
      </w:r>
      <w:r w:rsidR="00AB3FB8">
        <w:t>nalysis of the way</w:t>
      </w:r>
      <w:r w:rsidR="001A0025">
        <w:t xml:space="preserve"> that</w:t>
      </w:r>
      <w:r w:rsidR="006026FC">
        <w:t xml:space="preserve"> judges </w:t>
      </w:r>
      <w:r w:rsidR="001A0025">
        <w:t xml:space="preserve">reason through the cases that come before them. Noting that a particular school of legal thought, </w:t>
      </w:r>
      <w:r w:rsidR="00D860B2">
        <w:t xml:space="preserve">that associated with </w:t>
      </w:r>
      <w:r w:rsidR="001A0025">
        <w:t xml:space="preserve">the so-called American Realists, were onto something important </w:t>
      </w:r>
      <w:r w:rsidR="006026FC">
        <w:t xml:space="preserve">when </w:t>
      </w:r>
      <w:r w:rsidR="001A0025">
        <w:t>they suggested that what judges do differs from how they describe what they do, Hart observed that</w:t>
      </w:r>
      <w:r w:rsidR="00883B16">
        <w:t xml:space="preserve"> </w:t>
      </w:r>
      <w:r w:rsidR="00D971CC">
        <w:t xml:space="preserve">- </w:t>
      </w:r>
      <w:r w:rsidR="00883B16">
        <w:t>despite the fact that ou</w:t>
      </w:r>
      <w:r w:rsidR="00AB3FB8">
        <w:t>r language often</w:t>
      </w:r>
      <w:r w:rsidR="00883B16">
        <w:t xml:space="preserve"> suggest</w:t>
      </w:r>
      <w:r w:rsidR="00AB3FB8">
        <w:t>s</w:t>
      </w:r>
      <w:r w:rsidR="00883B16">
        <w:t xml:space="preserve"> otherwise</w:t>
      </w:r>
      <w:r w:rsidR="00D971CC">
        <w:t xml:space="preserve"> -</w:t>
      </w:r>
      <w:r w:rsidR="00883B16">
        <w:t xml:space="preserve"> rules, including legal rules, such as a very</w:t>
      </w:r>
      <w:r w:rsidR="00EF6D84">
        <w:t xml:space="preserve"> simple one that forbids the use of vehicles in a public park,</w:t>
      </w:r>
      <w:r w:rsidR="004D3CD0">
        <w:t xml:space="preserve"> may accommodate</w:t>
      </w:r>
      <w:r w:rsidR="00883B16">
        <w:t xml:space="preserve"> a range </w:t>
      </w:r>
      <w:r w:rsidR="004D3CD0">
        <w:t xml:space="preserve">of </w:t>
      </w:r>
      <w:r w:rsidR="00883B16">
        <w:t xml:space="preserve">understandings. Although </w:t>
      </w:r>
      <w:r>
        <w:t>the rule</w:t>
      </w:r>
      <w:r w:rsidR="004D3CD0">
        <w:t xml:space="preserve"> </w:t>
      </w:r>
      <w:r w:rsidR="00E124E9">
        <w:t>might clearly prohibit</w:t>
      </w:r>
      <w:r w:rsidR="004D3CD0">
        <w:t xml:space="preserve"> </w:t>
      </w:r>
      <w:r w:rsidR="00AB3FB8">
        <w:t>the operation</w:t>
      </w:r>
      <w:r>
        <w:t xml:space="preserve"> </w:t>
      </w:r>
      <w:r w:rsidR="00AB3FB8">
        <w:t xml:space="preserve">of </w:t>
      </w:r>
      <w:r>
        <w:t xml:space="preserve">automobiles </w:t>
      </w:r>
      <w:r w:rsidR="00AB3FB8">
        <w:t>in a</w:t>
      </w:r>
      <w:r w:rsidR="00E124E9">
        <w:t xml:space="preserve"> specific public space</w:t>
      </w:r>
      <w:r w:rsidR="00AB3FB8">
        <w:t xml:space="preserve">, it is far from </w:t>
      </w:r>
      <w:r w:rsidR="00E124E9">
        <w:t>self-</w:t>
      </w:r>
      <w:r w:rsidR="00AB3FB8">
        <w:t>evident</w:t>
      </w:r>
      <w:r w:rsidR="00DB5CCE">
        <w:t>, for ex</w:t>
      </w:r>
      <w:r w:rsidR="006056D1">
        <w:t>ample, that children’s toys or all manner of human-</w:t>
      </w:r>
      <w:r w:rsidR="00DB5CCE">
        <w:t>powered conv</w:t>
      </w:r>
      <w:r w:rsidR="006056D1">
        <w:t xml:space="preserve">eyances </w:t>
      </w:r>
      <w:r>
        <w:t xml:space="preserve">are also </w:t>
      </w:r>
      <w:r w:rsidR="00D860B2">
        <w:t>to be subject to the ordinance</w:t>
      </w:r>
      <w:r w:rsidR="00DB5CCE">
        <w:t>:</w:t>
      </w:r>
    </w:p>
    <w:p w14:paraId="2A8C21B3" w14:textId="77777777" w:rsidR="00AB3FB8" w:rsidRDefault="00DB5CCE" w:rsidP="00AB3FB8">
      <w:pPr>
        <w:ind w:left="720"/>
      </w:pPr>
      <w:r>
        <w:t xml:space="preserve">Are these, as we say, to be called “vehicles” for the purpose of the rule or not? If we are to communicate with each other at all, and if, in the most elementary form of law, we are to express our intentions that a certain type of </w:t>
      </w:r>
      <w:r w:rsidR="00FD48FC">
        <w:t xml:space="preserve">behaviour be regulated by rules, the general word we use – like “vehicle” in the case I consider – must have, some standard instance in which no doubts are felt about its application. There must be a core of settled meaning, but there will be, as well, a penumbra of debatable cases </w:t>
      </w:r>
      <w:r w:rsidR="00FD48FC">
        <w:lastRenderedPageBreak/>
        <w:t>in which words are neither obviously appl</w:t>
      </w:r>
      <w:r w:rsidR="00AB3FB8">
        <w:t>icable nor obviously ruled out.</w:t>
      </w:r>
      <w:r w:rsidR="00FD48FC">
        <w:t>.</w:t>
      </w:r>
      <w:r w:rsidR="00AB3FB8">
        <w:t>.</w:t>
      </w:r>
      <w:r w:rsidR="00F44C3C">
        <w:rPr>
          <w:rStyle w:val="FootnoteReference"/>
        </w:rPr>
        <w:footnoteReference w:id="150"/>
      </w:r>
    </w:p>
    <w:p w14:paraId="5CF58BF8" w14:textId="77777777" w:rsidR="00680F3A" w:rsidRPr="00AB3FB8" w:rsidRDefault="00FD48FC" w:rsidP="00AB3FB8">
      <w:pPr>
        <w:ind w:left="720"/>
      </w:pPr>
      <w:r>
        <w:t xml:space="preserve"> </w:t>
      </w:r>
      <w:r w:rsidR="00DB5CCE">
        <w:t xml:space="preserve">     </w:t>
      </w:r>
      <w:r w:rsidR="00883B16">
        <w:t xml:space="preserve">       </w:t>
      </w:r>
      <w:r w:rsidR="001A0025">
        <w:t xml:space="preserve"> </w:t>
      </w:r>
      <w:r w:rsidR="006026FC">
        <w:t xml:space="preserve">      </w:t>
      </w:r>
      <w:r w:rsidR="00800BF1">
        <w:t xml:space="preserve"> </w:t>
      </w:r>
      <w:r w:rsidR="00841F2E">
        <w:t xml:space="preserve">       </w:t>
      </w:r>
      <w:r w:rsidR="002F6EDE">
        <w:t xml:space="preserve"> </w:t>
      </w:r>
    </w:p>
    <w:p w14:paraId="53078EEC" w14:textId="77777777" w:rsidR="00680F3A" w:rsidRPr="00B47C53" w:rsidRDefault="00680F3A" w:rsidP="00680F3A">
      <w:pPr>
        <w:spacing w:line="480" w:lineRule="auto"/>
      </w:pPr>
      <w:r w:rsidRPr="00680F3A">
        <w:rPr>
          <w:i/>
        </w:rPr>
        <w:t xml:space="preserve"> </w:t>
      </w:r>
      <w:r w:rsidR="00B47C53">
        <w:rPr>
          <w:i/>
        </w:rPr>
        <w:tab/>
      </w:r>
      <w:r w:rsidR="00B47C53">
        <w:t>Hart’s essay, and indeed the body of his work on the nature of law</w:t>
      </w:r>
      <w:r w:rsidR="00742F49">
        <w:t>,</w:t>
      </w:r>
      <w:r w:rsidR="00FE2E6D">
        <w:t xml:space="preserve"> has made</w:t>
      </w:r>
      <w:r w:rsidR="00B650E4">
        <w:t xml:space="preserve"> an important</w:t>
      </w:r>
      <w:r w:rsidR="00B47C53">
        <w:t xml:space="preserve"> </w:t>
      </w:r>
      <w:r w:rsidR="00B650E4">
        <w:t xml:space="preserve">contribution to </w:t>
      </w:r>
      <w:r w:rsidR="00B47C53">
        <w:t>an enduring and nuanced literature</w:t>
      </w:r>
      <w:r w:rsidR="00FE5FA6">
        <w:t xml:space="preserve"> </w:t>
      </w:r>
      <w:r w:rsidR="003E53C9">
        <w:t>that concerns</w:t>
      </w:r>
      <w:r w:rsidR="00FE5FA6">
        <w:t xml:space="preserve"> </w:t>
      </w:r>
      <w:r w:rsidR="00FE2E6D">
        <w:t>the way that</w:t>
      </w:r>
      <w:r w:rsidR="00655841">
        <w:t xml:space="preserve"> legal standards can be</w:t>
      </w:r>
      <w:r w:rsidR="00B47C53">
        <w:t xml:space="preserve"> identified, how judges judge, and the</w:t>
      </w:r>
      <w:r w:rsidR="00742F49">
        <w:t xml:space="preserve"> </w:t>
      </w:r>
      <w:r w:rsidR="00CD255E">
        <w:t xml:space="preserve">nature of the </w:t>
      </w:r>
      <w:r w:rsidR="00742F49">
        <w:t>relationship between legal and moral standards. Legal positivists</w:t>
      </w:r>
      <w:r w:rsidR="003A4607">
        <w:t xml:space="preserve">, including Hart, are </w:t>
      </w:r>
      <w:r w:rsidR="000E5F31">
        <w:t xml:space="preserve">often </w:t>
      </w:r>
      <w:r w:rsidR="003A4607">
        <w:t xml:space="preserve">associated </w:t>
      </w:r>
      <w:r w:rsidR="0094559D">
        <w:t>with the position most clearly</w:t>
      </w:r>
      <w:r w:rsidR="003A4607">
        <w:t xml:space="preserve"> expressed in John Austin’s </w:t>
      </w:r>
      <w:r w:rsidR="006056D1">
        <w:t>famous dictum,</w:t>
      </w:r>
      <w:r w:rsidR="00963330">
        <w:t xml:space="preserve"> “the ex</w:t>
      </w:r>
      <w:r w:rsidR="00655841">
        <w:t>istence of law is one thing;</w:t>
      </w:r>
      <w:r w:rsidR="00963330">
        <w:t xml:space="preserve"> its merit or</w:t>
      </w:r>
      <w:r w:rsidR="00D860B2">
        <w:t xml:space="preserve"> </w:t>
      </w:r>
      <w:r w:rsidR="00963330">
        <w:t xml:space="preserve">demerit </w:t>
      </w:r>
      <w:r w:rsidR="00655841">
        <w:t xml:space="preserve">is </w:t>
      </w:r>
      <w:r w:rsidR="00963330">
        <w:t>another</w:t>
      </w:r>
      <w:r w:rsidR="00655841">
        <w:t>,</w:t>
      </w:r>
      <w:r w:rsidR="00963330">
        <w:t>” whereas so-called natural lawyers</w:t>
      </w:r>
      <w:r w:rsidR="005C2CBD">
        <w:t xml:space="preserve">, </w:t>
      </w:r>
      <w:r w:rsidR="00CD255E">
        <w:t xml:space="preserve">or interpretivists, </w:t>
      </w:r>
      <w:r w:rsidR="005C2CBD">
        <w:t xml:space="preserve">like Ronald </w:t>
      </w:r>
      <w:r w:rsidR="00B2337F">
        <w:t xml:space="preserve">M. </w:t>
      </w:r>
      <w:r w:rsidR="005C2CBD">
        <w:t>Dworkin,</w:t>
      </w:r>
      <w:r w:rsidR="00963330">
        <w:t xml:space="preserve"> </w:t>
      </w:r>
      <w:r w:rsidR="006056D1">
        <w:t xml:space="preserve">have </w:t>
      </w:r>
      <w:r w:rsidR="00963330">
        <w:t>insist</w:t>
      </w:r>
      <w:r w:rsidR="006056D1">
        <w:t>ed</w:t>
      </w:r>
      <w:r w:rsidR="00963330">
        <w:t xml:space="preserve"> (to varying degrees) that law and morality are never entirely separable.</w:t>
      </w:r>
      <w:r w:rsidR="00EB001B">
        <w:rPr>
          <w:rStyle w:val="FootnoteReference"/>
        </w:rPr>
        <w:footnoteReference w:id="151"/>
      </w:r>
      <w:r w:rsidR="00655841">
        <w:t xml:space="preserve"> </w:t>
      </w:r>
      <w:r w:rsidR="00FE5FA6">
        <w:t>The way that legal theori</w:t>
      </w:r>
      <w:r w:rsidR="003E53C9">
        <w:t xml:space="preserve">sts approach hard </w:t>
      </w:r>
      <w:r w:rsidR="00FE5FA6">
        <w:t xml:space="preserve">cases is especially </w:t>
      </w:r>
      <w:r w:rsidR="006056D1">
        <w:t>interesting to</w:t>
      </w:r>
      <w:r w:rsidR="00CE5A5C">
        <w:t xml:space="preserve"> the receptive ethicist</w:t>
      </w:r>
      <w:r w:rsidR="00FE5FA6">
        <w:t xml:space="preserve"> for a number of reasons</w:t>
      </w:r>
      <w:r w:rsidR="00FE2E6D">
        <w:t xml:space="preserve"> that will gradually become evident</w:t>
      </w:r>
      <w:r w:rsidR="00FE5FA6">
        <w:t>. First, those mire</w:t>
      </w:r>
      <w:r w:rsidR="005C2CBD">
        <w:t>d in sorting out</w:t>
      </w:r>
      <w:r w:rsidR="00FE5FA6">
        <w:t xml:space="preserve"> </w:t>
      </w:r>
      <w:r w:rsidR="005C2CBD">
        <w:t>the ethical challenges that ar</w:t>
      </w:r>
      <w:r w:rsidR="00EF6D84">
        <w:t>ise in the daily work of health</w:t>
      </w:r>
      <w:r w:rsidR="005C2CBD">
        <w:t>care may be surprised to discover</w:t>
      </w:r>
      <w:r w:rsidR="0094559D">
        <w:t xml:space="preserve"> that</w:t>
      </w:r>
      <w:r w:rsidR="00F44C3C">
        <w:t xml:space="preserve"> </w:t>
      </w:r>
      <w:r w:rsidR="0094559D">
        <w:t xml:space="preserve">even </w:t>
      </w:r>
      <w:r w:rsidR="00B2337F">
        <w:t xml:space="preserve">legal standards - </w:t>
      </w:r>
      <w:r w:rsidR="00F44C3C">
        <w:t>standards</w:t>
      </w:r>
      <w:r w:rsidR="006056D1">
        <w:t xml:space="preserve"> that are </w:t>
      </w:r>
      <w:r w:rsidR="005C2CBD">
        <w:t>often take</w:t>
      </w:r>
      <w:r w:rsidR="006056D1">
        <w:t>n</w:t>
      </w:r>
      <w:r w:rsidR="005C2CBD">
        <w:t xml:space="preserve"> to be </w:t>
      </w:r>
      <w:r w:rsidR="00F44C3C">
        <w:t xml:space="preserve">clear, </w:t>
      </w:r>
      <w:r w:rsidR="005C2CBD">
        <w:t>dispositive</w:t>
      </w:r>
      <w:r w:rsidR="00F44C3C">
        <w:t>,</w:t>
      </w:r>
      <w:r w:rsidR="00B2337F">
        <w:t xml:space="preserve"> and largely unchallengeable -</w:t>
      </w:r>
      <w:r w:rsidR="005C2CBD">
        <w:t xml:space="preserve"> are not self-announcing</w:t>
      </w:r>
      <w:r w:rsidR="00F44C3C">
        <w:t xml:space="preserve">. </w:t>
      </w:r>
      <w:r w:rsidR="005C2CBD">
        <w:t xml:space="preserve">As Hart observed: </w:t>
      </w:r>
      <w:r w:rsidR="003A4607">
        <w:t xml:space="preserve"> </w:t>
      </w:r>
      <w:r w:rsidR="00742F49">
        <w:t xml:space="preserve"> </w:t>
      </w:r>
      <w:r w:rsidR="00B47C53">
        <w:t xml:space="preserve">   </w:t>
      </w:r>
    </w:p>
    <w:p w14:paraId="6402C7CD" w14:textId="77777777" w:rsidR="00AB3FB8" w:rsidRPr="00FE2E6D" w:rsidRDefault="00AB3FB8" w:rsidP="00AB3FB8">
      <w:pPr>
        <w:ind w:left="720"/>
      </w:pPr>
      <w:r>
        <w:t xml:space="preserve">Fact situations do not await us neatly labelled, creased, and folded, nor is their legal classification written on them ready to be simply read off by the judge. Instead, in applying legal rules, someone must take the </w:t>
      </w:r>
      <w:r w:rsidRPr="00FE2E6D">
        <w:t>responsibility of deciding that words do or do not cover some case in hand with all of the practical consequences that cover this decision.</w:t>
      </w:r>
      <w:r w:rsidRPr="00FE2E6D">
        <w:rPr>
          <w:rStyle w:val="FootnoteReference"/>
        </w:rPr>
        <w:footnoteReference w:id="152"/>
      </w:r>
      <w:r w:rsidRPr="00FE2E6D">
        <w:t xml:space="preserve"> </w:t>
      </w:r>
    </w:p>
    <w:p w14:paraId="59B7FC08" w14:textId="77777777" w:rsidR="00F44C3C" w:rsidRPr="00FE2E6D" w:rsidRDefault="00F44C3C" w:rsidP="00FE2E6D"/>
    <w:p w14:paraId="024CA2B7" w14:textId="5AD85BD6" w:rsidR="00D1076F" w:rsidRDefault="00F44C3C" w:rsidP="00F44C3C">
      <w:pPr>
        <w:spacing w:line="480" w:lineRule="auto"/>
      </w:pPr>
      <w:r w:rsidRPr="00FE2E6D">
        <w:lastRenderedPageBreak/>
        <w:t xml:space="preserve">Second, </w:t>
      </w:r>
      <w:r w:rsidR="00D1076F" w:rsidRPr="00FE2E6D">
        <w:t xml:space="preserve">how judges understand, and </w:t>
      </w:r>
      <w:r w:rsidR="00A46B5F" w:rsidRPr="00FE2E6D">
        <w:t>resolve</w:t>
      </w:r>
      <w:r w:rsidR="00D1076F" w:rsidRPr="00FE2E6D">
        <w:t xml:space="preserve">, the uncertainty </w:t>
      </w:r>
      <w:r w:rsidR="00A46B5F" w:rsidRPr="00FE2E6D">
        <w:t>inherent in</w:t>
      </w:r>
      <w:r w:rsidR="00D1076F" w:rsidRPr="00FE2E6D">
        <w:t xml:space="preserve"> penumbral cases</w:t>
      </w:r>
      <w:r w:rsidR="00D1076F">
        <w:t xml:space="preserve"> is a source of considerable debate. Some legal theorists maintai</w:t>
      </w:r>
      <w:r w:rsidR="00BB4623">
        <w:t>n that penumbral cases are those</w:t>
      </w:r>
      <w:r w:rsidR="00A65C2A">
        <w:t xml:space="preserve"> in which the</w:t>
      </w:r>
      <w:r w:rsidR="00D1076F">
        <w:t xml:space="preserve"> law has essentially run out and it is the judge’s responsibili</w:t>
      </w:r>
      <w:r w:rsidR="00A65C2A">
        <w:t>ty to legislate in the gap that</w:t>
      </w:r>
      <w:r w:rsidR="00D1076F">
        <w:t xml:space="preserve"> remains. Others have insisted that the law </w:t>
      </w:r>
      <w:r w:rsidR="009B4EF4">
        <w:t>can never run</w:t>
      </w:r>
      <w:r w:rsidR="00D1076F">
        <w:t xml:space="preserve"> out because</w:t>
      </w:r>
      <w:r w:rsidR="006056D1">
        <w:t xml:space="preserve"> </w:t>
      </w:r>
      <w:r w:rsidR="009B4EF4">
        <w:t>adjudicator</w:t>
      </w:r>
      <w:r w:rsidR="00BB4623">
        <w:t>s</w:t>
      </w:r>
      <w:r w:rsidR="009B4EF4">
        <w:t xml:space="preserve"> </w:t>
      </w:r>
      <w:r w:rsidR="00BB4623">
        <w:t>are</w:t>
      </w:r>
      <w:r w:rsidR="006056D1">
        <w:t xml:space="preserve"> charged with the work </w:t>
      </w:r>
      <w:r w:rsidR="009B4EF4">
        <w:t>o</w:t>
      </w:r>
      <w:r w:rsidR="006056D1">
        <w:t>f</w:t>
      </w:r>
      <w:r w:rsidR="009B4EF4">
        <w:t xml:space="preserve"> interpret</w:t>
      </w:r>
      <w:r w:rsidR="006056D1">
        <w:t>ing</w:t>
      </w:r>
      <w:r w:rsidR="009B4EF4">
        <w:t xml:space="preserve"> existing legal materials</w:t>
      </w:r>
      <w:r w:rsidR="00A65C2A">
        <w:t xml:space="preserve"> -</w:t>
      </w:r>
      <w:r w:rsidR="00BB4623">
        <w:t xml:space="preserve"> including</w:t>
      </w:r>
      <w:r w:rsidR="009B4EF4">
        <w:t xml:space="preserve"> </w:t>
      </w:r>
      <w:r w:rsidR="00B650E4">
        <w:t xml:space="preserve">moral </w:t>
      </w:r>
      <w:r w:rsidR="009B4EF4">
        <w:t>principles</w:t>
      </w:r>
      <w:r w:rsidR="00A65C2A">
        <w:t xml:space="preserve"> -</w:t>
      </w:r>
      <w:r w:rsidR="009B4EF4">
        <w:t xml:space="preserve"> </w:t>
      </w:r>
      <w:r w:rsidR="00A65C2A">
        <w:t>which</w:t>
      </w:r>
      <w:r w:rsidR="00F70584">
        <w:t xml:space="preserve"> they believe to be </w:t>
      </w:r>
      <w:r w:rsidR="009B4EF4">
        <w:t xml:space="preserve">implicit in prior decisions and legal statutes </w:t>
      </w:r>
      <w:r w:rsidR="00CD255E">
        <w:t xml:space="preserve">in order to </w:t>
      </w:r>
      <w:r w:rsidR="00BB4623">
        <w:t>offer</w:t>
      </w:r>
      <w:r w:rsidR="009B4EF4">
        <w:t xml:space="preserve"> interpretation</w:t>
      </w:r>
      <w:r w:rsidR="00BB4623">
        <w:t>s</w:t>
      </w:r>
      <w:r w:rsidR="009B4EF4">
        <w:t xml:space="preserve"> of what the </w:t>
      </w:r>
      <w:r w:rsidR="00BB4623">
        <w:t>law requires in the cases that have come before them</w:t>
      </w:r>
      <w:r w:rsidR="009B4EF4">
        <w:t>.</w:t>
      </w:r>
      <w:r w:rsidR="003417C6">
        <w:t xml:space="preserve"> Whichever approach one finds more convincing (and, I admit that both are far more comp</w:t>
      </w:r>
      <w:r w:rsidR="00273B12">
        <w:t>lex than this gloss</w:t>
      </w:r>
      <w:r w:rsidR="003417C6">
        <w:t xml:space="preserve"> suggests) it may be comforting to know that there is a deep and so</w:t>
      </w:r>
      <w:r w:rsidR="00D31DB7">
        <w:t xml:space="preserve">phisticated literature that has engaged the challenges presented by hard cases – particularly hard cases of the penumbral kind - and has offered some promising strategies to aid in their resolution.   </w:t>
      </w:r>
    </w:p>
    <w:p w14:paraId="510AF7DC" w14:textId="77777777" w:rsidR="0096138F" w:rsidRDefault="00BB4623" w:rsidP="00BB4623">
      <w:pPr>
        <w:spacing w:line="480" w:lineRule="auto"/>
        <w:ind w:firstLine="720"/>
      </w:pPr>
      <w:r>
        <w:t>It may</w:t>
      </w:r>
      <w:r w:rsidR="00D31DB7">
        <w:t xml:space="preserve"> seem perplexing to respond to one the most</w:t>
      </w:r>
      <w:r>
        <w:t xml:space="preserve"> controversial aspect</w:t>
      </w:r>
      <w:r w:rsidR="00D31DB7">
        <w:t>s</w:t>
      </w:r>
      <w:r>
        <w:t xml:space="preserve"> of the PHE’s work by referencing an area of scholarship which is fraught with debates that are as contentious as any </w:t>
      </w:r>
      <w:r w:rsidR="00CC0611">
        <w:t xml:space="preserve">arising in the practice </w:t>
      </w:r>
      <w:r w:rsidR="0094559D">
        <w:t xml:space="preserve">or </w:t>
      </w:r>
      <w:r w:rsidR="00CC0611">
        <w:t>literature related to clinical ethics consultation. I</w:t>
      </w:r>
      <w:r w:rsidR="00C53D8E">
        <w:t>f I may paraphrase</w:t>
      </w:r>
      <w:r w:rsidR="00705013">
        <w:t xml:space="preserve"> </w:t>
      </w:r>
      <w:r w:rsidR="00C53D8E">
        <w:t>Hart</w:t>
      </w:r>
      <w:r w:rsidR="00CC0611">
        <w:t>, however, the sovereign virtue in jurisprudence is clarity</w:t>
      </w:r>
      <w:r w:rsidR="00705013">
        <w:t>,</w:t>
      </w:r>
      <w:r w:rsidR="00CC0611">
        <w:t xml:space="preserve"> and we may learn much even </w:t>
      </w:r>
      <w:r w:rsidR="00705013">
        <w:t>from positions in the</w:t>
      </w:r>
      <w:r w:rsidR="00F70584">
        <w:t>se</w:t>
      </w:r>
      <w:r w:rsidR="00705013">
        <w:t xml:space="preserve"> debate</w:t>
      </w:r>
      <w:r w:rsidR="00F70584">
        <w:t>s</w:t>
      </w:r>
      <w:r w:rsidR="00705013">
        <w:t xml:space="preserve"> that we think </w:t>
      </w:r>
      <w:r w:rsidR="00C53D8E">
        <w:t xml:space="preserve">wrong, especially </w:t>
      </w:r>
      <w:r w:rsidR="00705013">
        <w:t>when</w:t>
      </w:r>
      <w:r w:rsidR="00C53D8E">
        <w:t xml:space="preserve"> </w:t>
      </w:r>
      <w:r w:rsidR="00705013">
        <w:t>those positions</w:t>
      </w:r>
      <w:r w:rsidR="00C53D8E">
        <w:t xml:space="preserve"> are clear</w:t>
      </w:r>
      <w:r w:rsidR="00705013">
        <w:t xml:space="preserve"> and cogent</w:t>
      </w:r>
      <w:r w:rsidR="00AF5209">
        <w:t>.</w:t>
      </w:r>
      <w:r w:rsidR="00924515">
        <w:rPr>
          <w:rStyle w:val="FootnoteReference"/>
        </w:rPr>
        <w:footnoteReference w:id="153"/>
      </w:r>
      <w:r w:rsidR="00AF5209">
        <w:t xml:space="preserve"> The various d</w:t>
      </w:r>
      <w:r w:rsidR="00C53D8E">
        <w:t>ebates in legal theory that</w:t>
      </w:r>
      <w:r w:rsidR="00AB6435">
        <w:t>, for example,</w:t>
      </w:r>
      <w:r w:rsidR="00C53D8E">
        <w:t xml:space="preserve"> </w:t>
      </w:r>
      <w:r w:rsidR="00AF5209">
        <w:t xml:space="preserve">have </w:t>
      </w:r>
      <w:r w:rsidR="00C53D8E">
        <w:t>engage</w:t>
      </w:r>
      <w:r w:rsidR="00AF5209">
        <w:t>d</w:t>
      </w:r>
      <w:r w:rsidR="00C53D8E">
        <w:t xml:space="preserve"> the relationship between law and morality</w:t>
      </w:r>
      <w:r w:rsidR="00705013">
        <w:t>,</w:t>
      </w:r>
      <w:r w:rsidR="00C53D8E">
        <w:t xml:space="preserve"> </w:t>
      </w:r>
      <w:r w:rsidR="00705013">
        <w:t xml:space="preserve">and the nature of judicial discretion, </w:t>
      </w:r>
      <w:r w:rsidR="00C53D8E">
        <w:t xml:space="preserve">may </w:t>
      </w:r>
      <w:r w:rsidR="00C53D8E">
        <w:lastRenderedPageBreak/>
        <w:t xml:space="preserve">not have been settled once and forever, but they have </w:t>
      </w:r>
      <w:r w:rsidR="00AF5209">
        <w:t xml:space="preserve">produced some ways of </w:t>
      </w:r>
      <w:r w:rsidR="00A876D8">
        <w:t>thinking about the law</w:t>
      </w:r>
      <w:r w:rsidR="00705013">
        <w:t xml:space="preserve"> </w:t>
      </w:r>
      <w:r w:rsidR="00CE5A5C">
        <w:t xml:space="preserve">that may shed </w:t>
      </w:r>
      <w:r w:rsidR="00F70584">
        <w:t xml:space="preserve">needed </w:t>
      </w:r>
      <w:r w:rsidR="00AF5209">
        <w:t xml:space="preserve">light on how we might </w:t>
      </w:r>
      <w:r w:rsidR="00CE5A5C">
        <w:t>understand, and resolve,</w:t>
      </w:r>
      <w:r w:rsidR="00AF5209">
        <w:t xml:space="preserve"> </w:t>
      </w:r>
      <w:r w:rsidR="00705013">
        <w:t xml:space="preserve">the </w:t>
      </w:r>
      <w:r w:rsidR="00AF5209">
        <w:t>penumbral cases</w:t>
      </w:r>
      <w:r w:rsidR="00417B97">
        <w:t xml:space="preserve"> arising in clinical </w:t>
      </w:r>
      <w:r w:rsidR="00705013">
        <w:t>ethics</w:t>
      </w:r>
      <w:r w:rsidR="00417B97">
        <w:t xml:space="preserve"> consultation</w:t>
      </w:r>
      <w:r w:rsidR="00AF5209">
        <w:t>.</w:t>
      </w:r>
      <w:r w:rsidR="001B7C75">
        <w:t xml:space="preserve"> Both</w:t>
      </w:r>
      <w:r w:rsidR="00924515">
        <w:t xml:space="preserve"> law and medic</w:t>
      </w:r>
      <w:r w:rsidR="00B2337F">
        <w:t>ine, after all, are</w:t>
      </w:r>
      <w:r w:rsidR="00924515">
        <w:t xml:space="preserve"> complex social practices which engage controversial and high stakes questions</w:t>
      </w:r>
      <w:r w:rsidR="000B0248">
        <w:t xml:space="preserve"> which defy easy answers</w:t>
      </w:r>
      <w:r w:rsidR="00924515">
        <w:t>.</w:t>
      </w:r>
      <w:r w:rsidR="000B0248">
        <w:t xml:space="preserve"> In addition, </w:t>
      </w:r>
      <w:r w:rsidR="00B650E4">
        <w:t xml:space="preserve">as I </w:t>
      </w:r>
      <w:r w:rsidR="000B0248">
        <w:t>suggested</w:t>
      </w:r>
      <w:r w:rsidR="00B650E4">
        <w:t xml:space="preserve"> earlier</w:t>
      </w:r>
      <w:r w:rsidR="000B0248">
        <w:t xml:space="preserve">, </w:t>
      </w:r>
      <w:r w:rsidR="00B650E4">
        <w:t xml:space="preserve">some </w:t>
      </w:r>
      <w:r w:rsidR="00B2337F">
        <w:t xml:space="preserve">of the </w:t>
      </w:r>
      <w:r w:rsidR="00B650E4">
        <w:t>hard</w:t>
      </w:r>
      <w:r w:rsidR="000B0248">
        <w:t xml:space="preserve"> cases arising </w:t>
      </w:r>
      <w:r w:rsidR="00417B97">
        <w:t>in healthcare</w:t>
      </w:r>
      <w:r w:rsidR="000B0248">
        <w:t xml:space="preserve"> </w:t>
      </w:r>
      <w:r w:rsidR="00B650E4">
        <w:t>may be challenging</w:t>
      </w:r>
      <w:r w:rsidR="000B0248">
        <w:t xml:space="preserve"> in precisely the way tha</w:t>
      </w:r>
      <w:r w:rsidR="00B650E4">
        <w:t xml:space="preserve">t they are hard </w:t>
      </w:r>
      <w:r w:rsidR="0059359E">
        <w:t>in legal decision-making</w:t>
      </w:r>
      <w:r w:rsidR="000B0248">
        <w:t xml:space="preserve">. </w:t>
      </w:r>
      <w:r w:rsidR="00CD255E">
        <w:t>Even when</w:t>
      </w:r>
      <w:r w:rsidR="005507FB">
        <w:t xml:space="preserve"> </w:t>
      </w:r>
      <w:r w:rsidR="00B2337F">
        <w:t xml:space="preserve">the </w:t>
      </w:r>
      <w:r w:rsidR="009C7DF2">
        <w:t>relevant medical facts are</w:t>
      </w:r>
      <w:r w:rsidR="005507FB">
        <w:t xml:space="preserve"> uncontested, t</w:t>
      </w:r>
      <w:r w:rsidR="000B0248">
        <w:t xml:space="preserve">here may be no </w:t>
      </w:r>
      <w:r w:rsidR="00417B97">
        <w:t>ethical (or</w:t>
      </w:r>
      <w:r w:rsidR="00012D81">
        <w:t xml:space="preserve"> indeed</w:t>
      </w:r>
      <w:r w:rsidR="00417B97">
        <w:t xml:space="preserve">, legal) </w:t>
      </w:r>
      <w:r w:rsidR="000B0248">
        <w:t>standards th</w:t>
      </w:r>
      <w:r w:rsidR="0059359E">
        <w:t>at are clearly applicable to a specific</w:t>
      </w:r>
      <w:r w:rsidR="000B0248">
        <w:t xml:space="preserve"> case</w:t>
      </w:r>
      <w:r w:rsidR="00B2337F">
        <w:t xml:space="preserve">. Alternatively, </w:t>
      </w:r>
      <w:r w:rsidR="000B0248">
        <w:t>there may be a number of competing standards</w:t>
      </w:r>
      <w:r w:rsidR="0059359E">
        <w:t xml:space="preserve">, </w:t>
      </w:r>
      <w:r w:rsidR="000B0248">
        <w:t>principles</w:t>
      </w:r>
      <w:r w:rsidR="0059359E">
        <w:t>, or values</w:t>
      </w:r>
      <w:r w:rsidR="000B0248">
        <w:t xml:space="preserve"> that may influence</w:t>
      </w:r>
      <w:r w:rsidR="0096138F">
        <w:t xml:space="preserve"> </w:t>
      </w:r>
      <w:r w:rsidR="00B2337F">
        <w:t xml:space="preserve">ethical </w:t>
      </w:r>
      <w:r w:rsidR="000B0248">
        <w:t>decision-making</w:t>
      </w:r>
      <w:r w:rsidR="0059359E">
        <w:t>.</w:t>
      </w:r>
      <w:r w:rsidR="005507FB">
        <w:t xml:space="preserve"> </w:t>
      </w:r>
      <w:r w:rsidR="007D71A5">
        <w:t xml:space="preserve">Although </w:t>
      </w:r>
      <w:r w:rsidR="00A876D8">
        <w:t xml:space="preserve">it is generally accepted that </w:t>
      </w:r>
      <w:r w:rsidR="007D71A5">
        <w:t>t</w:t>
      </w:r>
      <w:r w:rsidR="00A876D8">
        <w:t>here</w:t>
      </w:r>
      <w:r w:rsidR="005507FB">
        <w:t xml:space="preserve"> are cases which may be resolved by reasonable people in different ways</w:t>
      </w:r>
      <w:r w:rsidR="001B7C75">
        <w:t>, ethicists can productively</w:t>
      </w:r>
      <w:r w:rsidR="00324916">
        <w:t xml:space="preserve"> assist stakeholders by examining</w:t>
      </w:r>
      <w:r w:rsidR="00E9179D">
        <w:t xml:space="preserve"> </w:t>
      </w:r>
      <w:r w:rsidR="0096138F">
        <w:t xml:space="preserve">the underlying </w:t>
      </w:r>
      <w:r w:rsidR="005507FB">
        <w:t xml:space="preserve">justifications for proposed solutions </w:t>
      </w:r>
      <w:r w:rsidR="00CE5A5C">
        <w:t>to ensure that they</w:t>
      </w:r>
      <w:r w:rsidR="00E9179D">
        <w:t xml:space="preserve"> </w:t>
      </w:r>
      <w:r w:rsidR="0047420E">
        <w:t xml:space="preserve">take account of relevant facts, and </w:t>
      </w:r>
      <w:r w:rsidR="00E9179D">
        <w:t xml:space="preserve">are not </w:t>
      </w:r>
      <w:r w:rsidR="005507FB">
        <w:t>political or parti</w:t>
      </w:r>
      <w:r w:rsidR="00E9179D">
        <w:t xml:space="preserve">al in </w:t>
      </w:r>
      <w:r w:rsidR="0063145D">
        <w:t>way</w:t>
      </w:r>
      <w:r w:rsidR="00E9179D">
        <w:t xml:space="preserve">s that </w:t>
      </w:r>
      <w:r w:rsidR="005044E6">
        <w:t>violate stakeholder</w:t>
      </w:r>
      <w:r w:rsidR="00B41434">
        <w:t>’</w:t>
      </w:r>
      <w:r w:rsidR="00C6237D">
        <w:t xml:space="preserve">s rights, </w:t>
      </w:r>
      <w:r w:rsidR="00E9179D">
        <w:t>undermine</w:t>
      </w:r>
      <w:r w:rsidR="0063145D">
        <w:t xml:space="preserve"> the credibility of the consultation process</w:t>
      </w:r>
      <w:r w:rsidR="005044E6">
        <w:t>,</w:t>
      </w:r>
      <w:r w:rsidR="00FE2E6D">
        <w:t xml:space="preserve"> or </w:t>
      </w:r>
      <w:r w:rsidR="000D3AFD">
        <w:t>threaten</w:t>
      </w:r>
      <w:r w:rsidR="005044E6">
        <w:t xml:space="preserve"> </w:t>
      </w:r>
      <w:r w:rsidR="00FE2E6D">
        <w:t xml:space="preserve">the </w:t>
      </w:r>
      <w:r w:rsidR="005044E6">
        <w:t xml:space="preserve">very </w:t>
      </w:r>
      <w:r w:rsidR="00FE2E6D">
        <w:t>integrity of the practice of medicine</w:t>
      </w:r>
      <w:r w:rsidR="005507FB">
        <w:t xml:space="preserve">. </w:t>
      </w:r>
      <w:r w:rsidR="007D71A5">
        <w:t>In this respect</w:t>
      </w:r>
      <w:r w:rsidR="00012D81">
        <w:t>,</w:t>
      </w:r>
      <w:r w:rsidR="007D71A5">
        <w:t xml:space="preserve"> there are aspects of </w:t>
      </w:r>
      <w:r w:rsidR="00273B12">
        <w:t xml:space="preserve">clinical </w:t>
      </w:r>
      <w:r w:rsidR="007D71A5">
        <w:t>ethics consultation which can benefit from long-standing debates wit</w:t>
      </w:r>
      <w:r w:rsidR="00506079">
        <w:t>hin jurisprudence</w:t>
      </w:r>
      <w:r w:rsidR="00FE2E6D">
        <w:t>, including those</w:t>
      </w:r>
      <w:r w:rsidR="00506079">
        <w:t xml:space="preserve"> which </w:t>
      </w:r>
      <w:r w:rsidR="00012D81">
        <w:t>endeavour to understand</w:t>
      </w:r>
      <w:r w:rsidR="00506079">
        <w:t xml:space="preserve"> the nature of what is sometimes described as </w:t>
      </w:r>
      <w:r w:rsidR="007D71A5">
        <w:t>judicial discretion.</w:t>
      </w:r>
      <w:r w:rsidR="005507FB">
        <w:t xml:space="preserve"> </w:t>
      </w:r>
    </w:p>
    <w:p w14:paraId="2CD3814D" w14:textId="77777777" w:rsidR="00BB4623" w:rsidRDefault="005507FB" w:rsidP="00BB4623">
      <w:pPr>
        <w:spacing w:line="480" w:lineRule="auto"/>
        <w:ind w:firstLine="720"/>
      </w:pPr>
      <w:r>
        <w:t xml:space="preserve">   </w:t>
      </w:r>
      <w:r w:rsidR="000B0248">
        <w:t xml:space="preserve">   </w:t>
      </w:r>
      <w:r w:rsidR="00924515">
        <w:t xml:space="preserve">    </w:t>
      </w:r>
      <w:r w:rsidR="00AF5209">
        <w:t xml:space="preserve">  </w:t>
      </w:r>
      <w:r w:rsidR="00C53D8E">
        <w:t xml:space="preserve">    </w:t>
      </w:r>
      <w:r w:rsidR="00CC0611">
        <w:t xml:space="preserve">   </w:t>
      </w:r>
      <w:r w:rsidR="00BB4623">
        <w:t xml:space="preserve">  </w:t>
      </w:r>
    </w:p>
    <w:p w14:paraId="4914314D" w14:textId="77777777" w:rsidR="00F70584" w:rsidRPr="00F70584" w:rsidRDefault="00984BBB" w:rsidP="00F70584">
      <w:pPr>
        <w:spacing w:line="480" w:lineRule="auto"/>
        <w:rPr>
          <w:i/>
        </w:rPr>
      </w:pPr>
      <w:r>
        <w:rPr>
          <w:i/>
        </w:rPr>
        <w:t>The core and</w:t>
      </w:r>
      <w:r w:rsidR="0031619A">
        <w:rPr>
          <w:i/>
        </w:rPr>
        <w:t xml:space="preserve"> the penumbra: Settled questions and unsettling ones </w:t>
      </w:r>
    </w:p>
    <w:p w14:paraId="26B43802" w14:textId="1968F2D9" w:rsidR="00AB3FB8" w:rsidRDefault="0010094B" w:rsidP="00DE5AF0">
      <w:pPr>
        <w:spacing w:line="480" w:lineRule="auto"/>
        <w:ind w:firstLine="720"/>
      </w:pPr>
      <w:r>
        <w:lastRenderedPageBreak/>
        <w:t>As Hart’s example illustrates</w:t>
      </w:r>
      <w:r w:rsidR="00705013">
        <w:t xml:space="preserve">, </w:t>
      </w:r>
      <w:r>
        <w:t>even standards that</w:t>
      </w:r>
      <w:r w:rsidR="00C72914">
        <w:t xml:space="preserve"> seem to be straightforward </w:t>
      </w:r>
      <w:r w:rsidR="00F44C3C">
        <w:t xml:space="preserve">are not always </w:t>
      </w:r>
      <w:r w:rsidR="00F44C3C" w:rsidRPr="00F44C3C">
        <w:t>uncontroversial with re</w:t>
      </w:r>
      <w:r w:rsidR="00AB6435">
        <w:t>spect to their</w:t>
      </w:r>
      <w:r w:rsidR="00F41437">
        <w:t xml:space="preserve"> meaning or</w:t>
      </w:r>
      <w:r w:rsidR="00AB6435">
        <w:t xml:space="preserve"> </w:t>
      </w:r>
      <w:r w:rsidR="00F44C3C" w:rsidRPr="00F44C3C">
        <w:t>application.</w:t>
      </w:r>
      <w:r w:rsidR="0094559D">
        <w:t xml:space="preserve"> </w:t>
      </w:r>
      <w:r w:rsidR="00C72914">
        <w:t xml:space="preserve">A </w:t>
      </w:r>
      <w:r w:rsidR="00F41437">
        <w:t>simple rule, like the “no vehicles” injunction</w:t>
      </w:r>
      <w:r w:rsidR="00C72914">
        <w:t>,</w:t>
      </w:r>
      <w:r w:rsidR="00F41437">
        <w:t xml:space="preserve"> may support a variety of interpretations including ones that prohibit, or permit, the use of bicyc</w:t>
      </w:r>
      <w:r w:rsidR="00B2337F">
        <w:t>les, roller skates, or</w:t>
      </w:r>
      <w:r w:rsidR="00F41437">
        <w:t xml:space="preserve"> toy automobiles in </w:t>
      </w:r>
      <w:r w:rsidR="00856585">
        <w:t>a</w:t>
      </w:r>
      <w:r w:rsidR="00F41437">
        <w:t xml:space="preserve"> </w:t>
      </w:r>
      <w:r w:rsidR="00C72914">
        <w:t xml:space="preserve">common </w:t>
      </w:r>
      <w:r w:rsidR="00F41437">
        <w:t xml:space="preserve">space. </w:t>
      </w:r>
      <w:r w:rsidR="006825E5">
        <w:t>Someone (</w:t>
      </w:r>
      <w:r w:rsidR="00F41437">
        <w:t>in a legal</w:t>
      </w:r>
      <w:r w:rsidR="00C72914">
        <w:t xml:space="preserve"> context it will be a judge</w:t>
      </w:r>
      <w:r w:rsidR="006825E5">
        <w:t>)</w:t>
      </w:r>
      <w:r w:rsidR="00C72914">
        <w:t xml:space="preserve"> </w:t>
      </w:r>
      <w:r w:rsidR="00856585">
        <w:t>therefore</w:t>
      </w:r>
      <w:r w:rsidR="006825E5">
        <w:t>,</w:t>
      </w:r>
      <w:r w:rsidR="00856585">
        <w:t xml:space="preserve"> </w:t>
      </w:r>
      <w:r w:rsidR="00C72914">
        <w:t xml:space="preserve">must </w:t>
      </w:r>
      <w:r w:rsidR="00393812">
        <w:t>decide</w:t>
      </w:r>
      <w:r>
        <w:t xml:space="preserve"> what that rule means for the cases that fall</w:t>
      </w:r>
      <w:r w:rsidR="00856585">
        <w:t>, in</w:t>
      </w:r>
      <w:r>
        <w:t xml:space="preserve"> Hart’s words</w:t>
      </w:r>
      <w:r w:rsidR="00856585">
        <w:t>,</w:t>
      </w:r>
      <w:r>
        <w:t xml:space="preserve"> </w:t>
      </w:r>
      <w:r w:rsidR="00D75F9E">
        <w:t xml:space="preserve">in the penumbra or </w:t>
      </w:r>
      <w:r>
        <w:t>outside the</w:t>
      </w:r>
      <w:r w:rsidR="0040444A">
        <w:t xml:space="preserve"> “core of settled </w:t>
      </w:r>
      <w:r>
        <w:t>meaning</w:t>
      </w:r>
      <w:r w:rsidR="0040444A">
        <w:t>.</w:t>
      </w:r>
      <w:r w:rsidR="00856585">
        <w:t>”</w:t>
      </w:r>
      <w:r w:rsidR="0040444A">
        <w:rPr>
          <w:rStyle w:val="FootnoteReference"/>
        </w:rPr>
        <w:footnoteReference w:id="154"/>
      </w:r>
      <w:r>
        <w:t xml:space="preserve"> </w:t>
      </w:r>
      <w:r w:rsidR="00856585">
        <w:t xml:space="preserve">Legal theorists have spilled a great deal of ink on analyses of how </w:t>
      </w:r>
      <w:r w:rsidR="0040444A">
        <w:t xml:space="preserve">judges </w:t>
      </w:r>
      <w:r w:rsidR="00CD4626">
        <w:t>make</w:t>
      </w:r>
      <w:r w:rsidR="00931F20">
        <w:t xml:space="preserve">, or ought to make, </w:t>
      </w:r>
      <w:r w:rsidR="00856585">
        <w:t>decisions</w:t>
      </w:r>
      <w:r w:rsidR="00931F20">
        <w:t xml:space="preserve"> in such cases,</w:t>
      </w:r>
      <w:r w:rsidR="00856585">
        <w:t xml:space="preserve"> and Hart himself noted that one plausible</w:t>
      </w:r>
      <w:r w:rsidR="00CD4626">
        <w:t xml:space="preserve"> approach might be </w:t>
      </w:r>
      <w:r w:rsidR="00856585">
        <w:t xml:space="preserve">simply </w:t>
      </w:r>
      <w:r w:rsidR="00CD4626">
        <w:t xml:space="preserve">to admit </w:t>
      </w:r>
      <w:r w:rsidR="00856585">
        <w:t>that “laws are incurably incomplete and we must decide the</w:t>
      </w:r>
      <w:r w:rsidR="00D75F9E">
        <w:t>se</w:t>
      </w:r>
      <w:r w:rsidR="00856585">
        <w:t xml:space="preserve"> penumbral cases rationally by reference to social aims.”</w:t>
      </w:r>
      <w:r w:rsidR="00856585">
        <w:rPr>
          <w:rStyle w:val="FootnoteReference"/>
        </w:rPr>
        <w:footnoteReference w:id="155"/>
      </w:r>
      <w:r>
        <w:t xml:space="preserve"> </w:t>
      </w:r>
      <w:r w:rsidR="00B2337F">
        <w:t>These aims, however</w:t>
      </w:r>
      <w:r w:rsidR="00D75F9E">
        <w:t>, are also subject to interpretation</w:t>
      </w:r>
      <w:r w:rsidR="00380E1F">
        <w:t>,</w:t>
      </w:r>
      <w:r w:rsidR="004B5C67">
        <w:t xml:space="preserve"> and may be judged</w:t>
      </w:r>
      <w:r w:rsidR="00D75F9E">
        <w:t xml:space="preserve"> morally desirable</w:t>
      </w:r>
      <w:r w:rsidR="006825E5">
        <w:t>, neutral,</w:t>
      </w:r>
      <w:r w:rsidR="00D75F9E">
        <w:t xml:space="preserve"> or pernicious, and Hart understood this to be case</w:t>
      </w:r>
      <w:r w:rsidR="006825E5">
        <w:t xml:space="preserve">. His essay did not commit him to a particular strategy for adjudication, nor did it </w:t>
      </w:r>
      <w:r w:rsidR="0000595B">
        <w:t>say anything abo</w:t>
      </w:r>
      <w:r w:rsidR="00CD4626">
        <w:t>ut how one</w:t>
      </w:r>
      <w:r w:rsidR="00B2337F">
        <w:t xml:space="preserve"> might choose between competing</w:t>
      </w:r>
      <w:r w:rsidR="0000595B">
        <w:t xml:space="preserve"> social aims. </w:t>
      </w:r>
      <w:r w:rsidR="003E6F00">
        <w:t>Instead, Hart</w:t>
      </w:r>
      <w:r w:rsidR="0000595B">
        <w:t xml:space="preserve"> endeavoured to show that it is possible </w:t>
      </w:r>
      <w:r w:rsidR="006175AF">
        <w:t xml:space="preserve">both </w:t>
      </w:r>
      <w:r w:rsidR="0000595B">
        <w:t>to distin</w:t>
      </w:r>
      <w:r w:rsidR="00B84792">
        <w:t>guish the law as it is from the law as one</w:t>
      </w:r>
      <w:r w:rsidR="0000595B">
        <w:t xml:space="preserve"> might wish it to be, and to refute the notion that judges must make decisions in </w:t>
      </w:r>
      <w:r w:rsidR="00380E1F">
        <w:t xml:space="preserve">automatic or </w:t>
      </w:r>
      <w:r w:rsidR="0000595B">
        <w:t xml:space="preserve">mechanical ways </w:t>
      </w:r>
      <w:r w:rsidR="003E6F00">
        <w:t>if they are to avoid</w:t>
      </w:r>
      <w:r w:rsidR="00380E1F">
        <w:t xml:space="preserve"> succumbing to</w:t>
      </w:r>
      <w:r w:rsidR="003E6F00">
        <w:t xml:space="preserve"> the </w:t>
      </w:r>
      <w:r w:rsidR="00380E1F">
        <w:t>inference that th</w:t>
      </w:r>
      <w:r w:rsidR="00485277">
        <w:t xml:space="preserve">e law is merely arbitrary </w:t>
      </w:r>
      <w:r w:rsidR="00380E1F">
        <w:t xml:space="preserve">in the sense that it is reducible to a particular judge’s pet policies or </w:t>
      </w:r>
      <w:r w:rsidR="003E6F00">
        <w:t xml:space="preserve">personal </w:t>
      </w:r>
      <w:r w:rsidR="00485277">
        <w:t xml:space="preserve">preferences. </w:t>
      </w:r>
      <w:r w:rsidR="00380E1F">
        <w:t>With respe</w:t>
      </w:r>
      <w:r w:rsidR="00CD4626">
        <w:t xml:space="preserve">ct to the </w:t>
      </w:r>
      <w:r w:rsidR="00CD4626">
        <w:lastRenderedPageBreak/>
        <w:t>interpretation of legal standards</w:t>
      </w:r>
      <w:r w:rsidR="00380E1F">
        <w:t>, Hart concluded</w:t>
      </w:r>
      <w:r w:rsidR="00DE5AF0">
        <w:t xml:space="preserve"> that</w:t>
      </w:r>
      <w:r w:rsidR="00380E1F">
        <w:t xml:space="preserve">, </w:t>
      </w:r>
      <w:r w:rsidR="00DE5AF0">
        <w:t>“we live among uncertainties between which we have to choose, and … the existing law</w:t>
      </w:r>
      <w:r w:rsidR="006825E5">
        <w:t xml:space="preserve"> </w:t>
      </w:r>
      <w:r w:rsidR="00DE5AF0">
        <w:t>imposes only limits on our choice and not the choice itself.”</w:t>
      </w:r>
      <w:r w:rsidR="00DE5AF0">
        <w:rPr>
          <w:rStyle w:val="FootnoteReference"/>
        </w:rPr>
        <w:footnoteReference w:id="156"/>
      </w:r>
      <w:r w:rsidR="006825E5">
        <w:t xml:space="preserve">  </w:t>
      </w:r>
      <w:r w:rsidR="00D75F9E">
        <w:t xml:space="preserve">  </w:t>
      </w:r>
      <w:r w:rsidR="00393812">
        <w:t xml:space="preserve">  </w:t>
      </w:r>
      <w:r w:rsidR="00F41437">
        <w:t xml:space="preserve">    </w:t>
      </w:r>
    </w:p>
    <w:p w14:paraId="6AD560D1" w14:textId="64DEB10A" w:rsidR="0044250F" w:rsidRDefault="003E6F00" w:rsidP="00F848B8">
      <w:pPr>
        <w:spacing w:line="480" w:lineRule="auto"/>
        <w:ind w:firstLine="720"/>
      </w:pPr>
      <w:r>
        <w:t xml:space="preserve">The lessons for bioethicists, even in this very austere account of a much more nuanced debate, are manifold. To begin with, </w:t>
      </w:r>
      <w:r w:rsidR="00CB1819">
        <w:t>PHE</w:t>
      </w:r>
      <w:r w:rsidR="00D3421F">
        <w:t>s</w:t>
      </w:r>
      <w:r>
        <w:t xml:space="preserve"> </w:t>
      </w:r>
      <w:r w:rsidR="00D3421F">
        <w:t xml:space="preserve">who have been asked to aid </w:t>
      </w:r>
      <w:r w:rsidR="00B41434">
        <w:t xml:space="preserve">stakeholders </w:t>
      </w:r>
      <w:r w:rsidR="00D3421F">
        <w:t xml:space="preserve">in the resolution of hard cases may find it tremendously helpful to </w:t>
      </w:r>
      <w:r w:rsidR="004B5C67">
        <w:t>b</w:t>
      </w:r>
      <w:r w:rsidR="00B84792">
        <w:t>egin their efforts by attempting to distinguish</w:t>
      </w:r>
      <w:r w:rsidR="00D3421F">
        <w:t xml:space="preserve"> the aspects of the case</w:t>
      </w:r>
      <w:r w:rsidR="00B41434">
        <w:t>s</w:t>
      </w:r>
      <w:r w:rsidR="00D3421F">
        <w:t xml:space="preserve"> </w:t>
      </w:r>
      <w:r w:rsidR="005044E6">
        <w:t xml:space="preserve">that </w:t>
      </w:r>
      <w:r w:rsidR="000D3AFD">
        <w:t>are in need of interpretation, or subject to discretion,</w:t>
      </w:r>
      <w:r w:rsidR="0040392C">
        <w:t xml:space="preserve"> from</w:t>
      </w:r>
      <w:r w:rsidR="00D3421F">
        <w:t xml:space="preserve"> </w:t>
      </w:r>
      <w:r w:rsidR="005044E6">
        <w:t xml:space="preserve">those </w:t>
      </w:r>
      <w:r w:rsidR="00D3421F">
        <w:t>which are settled or relatively</w:t>
      </w:r>
      <w:r w:rsidR="005044E6">
        <w:t xml:space="preserve"> uncontroversial</w:t>
      </w:r>
      <w:r w:rsidR="00D3421F">
        <w:t>. In</w:t>
      </w:r>
      <w:r w:rsidR="003417C6">
        <w:t xml:space="preserve"> other words, an important aspect of </w:t>
      </w:r>
      <w:r w:rsidR="005044E6">
        <w:t>a</w:t>
      </w:r>
      <w:r w:rsidR="00B84792">
        <w:t>ny</w:t>
      </w:r>
      <w:r w:rsidR="005044E6">
        <w:t xml:space="preserve"> </w:t>
      </w:r>
      <w:r w:rsidR="00B84792">
        <w:t xml:space="preserve">clinical </w:t>
      </w:r>
      <w:r w:rsidR="003417C6">
        <w:t>consultation will be to identify</w:t>
      </w:r>
      <w:r w:rsidR="00485277">
        <w:t>, in no particular order,</w:t>
      </w:r>
      <w:r w:rsidR="005044E6">
        <w:t xml:space="preserve"> pertinent “facts” such as a patient’s diagnosis and prognosis (</w:t>
      </w:r>
      <w:r w:rsidR="000D3AFD">
        <w:t>recognising that the</w:t>
      </w:r>
      <w:r w:rsidR="005044E6">
        <w:t xml:space="preserve"> latter </w:t>
      </w:r>
      <w:r w:rsidR="00451080">
        <w:t xml:space="preserve">may vary </w:t>
      </w:r>
      <w:r w:rsidR="005044E6">
        <w:t xml:space="preserve">in light of any proposed treatment options); his relevant goals, values, and wishes; </w:t>
      </w:r>
      <w:r w:rsidR="00B41434">
        <w:t>other stakeholders</w:t>
      </w:r>
      <w:r w:rsidR="009F7828">
        <w:t>’</w:t>
      </w:r>
      <w:r w:rsidR="00451080">
        <w:t xml:space="preserve"> </w:t>
      </w:r>
      <w:r w:rsidR="00B41434">
        <w:t xml:space="preserve">pertinent </w:t>
      </w:r>
      <w:r w:rsidR="00451080">
        <w:t xml:space="preserve">goals, values, </w:t>
      </w:r>
      <w:r w:rsidR="00B41434">
        <w:t>and wishes</w:t>
      </w:r>
      <w:r w:rsidR="00451080">
        <w:t xml:space="preserve">; </w:t>
      </w:r>
      <w:r w:rsidR="005044E6">
        <w:t xml:space="preserve">contextual features that render various options more or less </w:t>
      </w:r>
      <w:r w:rsidR="00451080">
        <w:t>desirable or attainable</w:t>
      </w:r>
      <w:r w:rsidR="005044E6">
        <w:t xml:space="preserve"> (such as</w:t>
      </w:r>
      <w:r w:rsidR="00451080">
        <w:t xml:space="preserve"> the financial or other costs associated with embracing or forgoi</w:t>
      </w:r>
      <w:r w:rsidR="000D3AFD">
        <w:t xml:space="preserve">ng each of these </w:t>
      </w:r>
      <w:r w:rsidR="00451080">
        <w:t>alternatives);</w:t>
      </w:r>
      <w:r w:rsidR="009E3A96">
        <w:t xml:space="preserve"> any </w:t>
      </w:r>
      <w:r w:rsidR="00B84792">
        <w:t>policies, laws,</w:t>
      </w:r>
      <w:r w:rsidR="00451080">
        <w:t xml:space="preserve"> institutional goals</w:t>
      </w:r>
      <w:r w:rsidR="009C7DF2">
        <w:t>,</w:t>
      </w:r>
      <w:r w:rsidR="00451080">
        <w:t xml:space="preserve"> or </w:t>
      </w:r>
      <w:r w:rsidR="00B84792">
        <w:t xml:space="preserve">professional </w:t>
      </w:r>
      <w:r w:rsidR="00451080">
        <w:t>obligations that limit certain options</w:t>
      </w:r>
      <w:r w:rsidR="000C1A88">
        <w:t xml:space="preserve"> or make them more readily attain</w:t>
      </w:r>
      <w:r w:rsidR="00451080">
        <w:t>able</w:t>
      </w:r>
      <w:r w:rsidR="0040392C">
        <w:t>; and</w:t>
      </w:r>
      <w:r w:rsidR="009E3A96">
        <w:t>,</w:t>
      </w:r>
      <w:r w:rsidR="0040392C">
        <w:t xml:space="preserve"> </w:t>
      </w:r>
      <w:r w:rsidR="009E3A96">
        <w:t xml:space="preserve">finally, </w:t>
      </w:r>
      <w:r w:rsidR="0040392C">
        <w:t xml:space="preserve">who has the authority </w:t>
      </w:r>
      <w:r w:rsidR="007A6414">
        <w:t xml:space="preserve">and responsibility </w:t>
      </w:r>
      <w:r w:rsidR="0040392C">
        <w:t>to make which decisions</w:t>
      </w:r>
      <w:r w:rsidR="00451080">
        <w:t xml:space="preserve">. </w:t>
      </w:r>
      <w:r w:rsidR="00903607">
        <w:t>All o</w:t>
      </w:r>
      <w:r w:rsidR="009C7DF2">
        <w:t>f these variables, to echo</w:t>
      </w:r>
      <w:r w:rsidR="00903607">
        <w:t xml:space="preserve"> Hart, place limits on choice even if they do not dictate the choice itself, and once</w:t>
      </w:r>
      <w:r w:rsidR="00494CA9">
        <w:t xml:space="preserve"> that is well understood the practising healthcare ethicist</w:t>
      </w:r>
      <w:r w:rsidR="00903607">
        <w:t xml:space="preserve">, and those who rely on her </w:t>
      </w:r>
      <w:r w:rsidR="009E3A96">
        <w:t>services</w:t>
      </w:r>
      <w:r w:rsidR="000D3AFD">
        <w:t>,</w:t>
      </w:r>
      <w:r w:rsidR="009E3A96">
        <w:t xml:space="preserve"> </w:t>
      </w:r>
      <w:r w:rsidR="00B84792">
        <w:t xml:space="preserve">can </w:t>
      </w:r>
      <w:r w:rsidR="00567E6C">
        <w:t>identify</w:t>
      </w:r>
      <w:r w:rsidR="004B5C67">
        <w:t xml:space="preserve"> </w:t>
      </w:r>
      <w:r w:rsidR="00B84792">
        <w:t xml:space="preserve">precisely </w:t>
      </w:r>
      <w:r w:rsidR="004B5C67">
        <w:t xml:space="preserve">what falls within </w:t>
      </w:r>
      <w:r w:rsidR="000C1A88">
        <w:t>the</w:t>
      </w:r>
      <w:r w:rsidR="00900663">
        <w:t xml:space="preserve"> sphere</w:t>
      </w:r>
      <w:r w:rsidR="00903607">
        <w:t xml:space="preserve"> of discretion</w:t>
      </w:r>
      <w:r w:rsidR="004B5C67">
        <w:t xml:space="preserve">. To </w:t>
      </w:r>
      <w:r w:rsidR="004B5C67">
        <w:lastRenderedPageBreak/>
        <w:t>return to an earlier</w:t>
      </w:r>
      <w:r w:rsidR="00900663">
        <w:t>,</w:t>
      </w:r>
      <w:r w:rsidR="004B5C67">
        <w:t xml:space="preserve"> </w:t>
      </w:r>
      <w:r w:rsidR="00900663">
        <w:t>and relatively simple</w:t>
      </w:r>
      <w:r w:rsidR="00B84792">
        <w:t>,</w:t>
      </w:r>
      <w:r w:rsidR="00900663">
        <w:t xml:space="preserve"> </w:t>
      </w:r>
      <w:r w:rsidR="004B5C67">
        <w:t>case</w:t>
      </w:r>
      <w:r w:rsidR="00900663">
        <w:t xml:space="preserve"> before moving to a hard</w:t>
      </w:r>
      <w:r w:rsidR="000D3AFD">
        <w:t>er</w:t>
      </w:r>
      <w:r w:rsidR="00B046C7">
        <w:t xml:space="preserve"> </w:t>
      </w:r>
      <w:r w:rsidR="00900663">
        <w:t>one, the PHE</w:t>
      </w:r>
      <w:r w:rsidR="000068B0">
        <w:t xml:space="preserve"> advising the intensivist on her</w:t>
      </w:r>
      <w:r w:rsidR="00900663">
        <w:t xml:space="preserve"> obligations with respect to a </w:t>
      </w:r>
      <w:r w:rsidR="008D3B61">
        <w:t>request for</w:t>
      </w:r>
      <w:r w:rsidR="00900663">
        <w:t xml:space="preserve"> “futile” cardiopulmonary resuscitation</w:t>
      </w:r>
      <w:r w:rsidR="008D3B61">
        <w:t xml:space="preserve"> (CPR) </w:t>
      </w:r>
      <w:r w:rsidR="00900663">
        <w:t>will need to clarify t</w:t>
      </w:r>
      <w:r w:rsidR="00B046C7">
        <w:t>he aspe</w:t>
      </w:r>
      <w:r w:rsidR="00C4414A">
        <w:t>cts of the case which are settled</w:t>
      </w:r>
      <w:r w:rsidR="00B046C7">
        <w:t xml:space="preserve"> or are</w:t>
      </w:r>
      <w:r w:rsidR="00900663">
        <w:t xml:space="preserve"> </w:t>
      </w:r>
      <w:r w:rsidR="008D3B61">
        <w:t xml:space="preserve">largely non-negotiable. In many jurisdictions this will mean that </w:t>
      </w:r>
      <w:r w:rsidR="000068B0">
        <w:t>s</w:t>
      </w:r>
      <w:r w:rsidR="008D3B61">
        <w:t xml:space="preserve">he cannot write a do not </w:t>
      </w:r>
      <w:r w:rsidR="0040392C">
        <w:t>attempt resuscitation</w:t>
      </w:r>
      <w:r w:rsidR="008D3B61">
        <w:t xml:space="preserve"> </w:t>
      </w:r>
      <w:r w:rsidR="009E3A96">
        <w:t xml:space="preserve">(DNAR) </w:t>
      </w:r>
      <w:r w:rsidR="008D3B61">
        <w:t xml:space="preserve">order without the approval of the </w:t>
      </w:r>
      <w:r w:rsidR="0040392C">
        <w:t xml:space="preserve">patient’s </w:t>
      </w:r>
      <w:r w:rsidR="008D3B61">
        <w:t>l</w:t>
      </w:r>
      <w:r w:rsidR="00EB001B">
        <w:t>egally-authorised representative (LAR) or representative</w:t>
      </w:r>
      <w:r w:rsidR="000068B0">
        <w:t>s</w:t>
      </w:r>
      <w:r w:rsidR="00652E95">
        <w:t>, and the</w:t>
      </w:r>
      <w:r w:rsidR="000C1A88">
        <w:t xml:space="preserve"> </w:t>
      </w:r>
      <w:r w:rsidR="008D3B61">
        <w:t xml:space="preserve">decision-maker or decision-makers should be advised as to </w:t>
      </w:r>
      <w:r w:rsidR="00872FEA">
        <w:t xml:space="preserve">the </w:t>
      </w:r>
      <w:r w:rsidR="008D3B61">
        <w:t>o</w:t>
      </w:r>
      <w:r w:rsidR="009C7DF2">
        <w:t>bligations associated with the</w:t>
      </w:r>
      <w:r w:rsidR="000068B0">
        <w:t xml:space="preserve"> LAR’s</w:t>
      </w:r>
      <w:r w:rsidR="008D3B61">
        <w:t xml:space="preserve"> role (that is</w:t>
      </w:r>
      <w:r w:rsidR="0040392C">
        <w:t>, to give</w:t>
      </w:r>
      <w:r w:rsidR="008D3B61">
        <w:t xml:space="preserve"> direction that </w:t>
      </w:r>
      <w:r w:rsidR="009C7DF2">
        <w:t>is in accordance with any known</w:t>
      </w:r>
      <w:r w:rsidR="008D3B61">
        <w:t xml:space="preserve"> relevant</w:t>
      </w:r>
      <w:r w:rsidR="00B84792">
        <w:t xml:space="preserve"> wishes that the patient </w:t>
      </w:r>
      <w:r w:rsidR="008D3B61">
        <w:t>expressed while capable</w:t>
      </w:r>
      <w:r w:rsidR="000068B0">
        <w:t xml:space="preserve"> or, if no known wishes are applicable, to act in the patient’s best interests</w:t>
      </w:r>
      <w:r w:rsidR="008D3B61">
        <w:t>)</w:t>
      </w:r>
      <w:r w:rsidR="000E5F31">
        <w:t>.</w:t>
      </w:r>
      <w:r w:rsidR="00494CA9">
        <w:rPr>
          <w:rStyle w:val="FootnoteReference"/>
        </w:rPr>
        <w:footnoteReference w:id="157"/>
      </w:r>
      <w:r w:rsidR="000E5F31">
        <w:t xml:space="preserve"> </w:t>
      </w:r>
      <w:r w:rsidR="002F1702">
        <w:t>If the medical, legal, and policy-related facts of the case have been articulated clearly</w:t>
      </w:r>
      <w:r w:rsidR="00BF3C39">
        <w:t>,</w:t>
      </w:r>
      <w:r w:rsidR="002F1702">
        <w:t xml:space="preserve"> </w:t>
      </w:r>
      <w:r w:rsidR="00BF3C39">
        <w:t>but</w:t>
      </w:r>
      <w:r w:rsidR="002F1702">
        <w:t xml:space="preserve"> disagreement persists</w:t>
      </w:r>
      <w:r w:rsidR="00BF3C39">
        <w:t>,</w:t>
      </w:r>
      <w:r w:rsidR="002F1702">
        <w:t xml:space="preserve"> the ethicist’s role may simply be to </w:t>
      </w:r>
      <w:r w:rsidR="000068B0">
        <w:t>make the parties aware of how</w:t>
      </w:r>
      <w:r w:rsidR="00BF3C39">
        <w:t xml:space="preserve"> they may initiate </w:t>
      </w:r>
      <w:r w:rsidR="00422F86">
        <w:t>th</w:t>
      </w:r>
      <w:r w:rsidR="009F7828">
        <w:t>e</w:t>
      </w:r>
      <w:r w:rsidR="000C1A88">
        <w:t>ir</w:t>
      </w:r>
      <w:r w:rsidR="00422F86">
        <w:t xml:space="preserve"> local</w:t>
      </w:r>
      <w:r w:rsidR="00BF3C39">
        <w:t xml:space="preserve"> dispute-resolution </w:t>
      </w:r>
      <w:r w:rsidR="00422F86">
        <w:t>process</w:t>
      </w:r>
      <w:r w:rsidR="00795618">
        <w:t>.</w:t>
      </w:r>
      <w:r w:rsidR="00485277">
        <w:rPr>
          <w:rStyle w:val="FootnoteReference"/>
        </w:rPr>
        <w:footnoteReference w:id="158"/>
      </w:r>
      <w:r w:rsidR="00422F86">
        <w:t xml:space="preserve"> </w:t>
      </w:r>
      <w:r w:rsidR="00795618">
        <w:t>I</w:t>
      </w:r>
      <w:r w:rsidR="00BF3C39">
        <w:t>n Ontario</w:t>
      </w:r>
      <w:r w:rsidR="0040392C">
        <w:t>,</w:t>
      </w:r>
      <w:r w:rsidR="00BF3C39">
        <w:t xml:space="preserve"> such </w:t>
      </w:r>
      <w:r w:rsidR="009F7828">
        <w:t xml:space="preserve">cases can be </w:t>
      </w:r>
      <w:r w:rsidR="00422F86">
        <w:t>referred to</w:t>
      </w:r>
      <w:r w:rsidR="00795618">
        <w:t xml:space="preserve"> a quasi-judicial</w:t>
      </w:r>
      <w:r w:rsidR="00BF3C39">
        <w:t xml:space="preserve"> body known as the Consent and Capacity Board</w:t>
      </w:r>
      <w:r w:rsidR="00B84792">
        <w:t xml:space="preserve"> (CCB) </w:t>
      </w:r>
      <w:r w:rsidR="00F0538C">
        <w:t>which</w:t>
      </w:r>
      <w:r w:rsidR="0040392C">
        <w:t xml:space="preserve"> </w:t>
      </w:r>
      <w:r w:rsidR="00F0538C">
        <w:t xml:space="preserve">will </w:t>
      </w:r>
      <w:r w:rsidR="00795618">
        <w:t>rule</w:t>
      </w:r>
      <w:r w:rsidR="0040392C">
        <w:t xml:space="preserve"> </w:t>
      </w:r>
      <w:r w:rsidR="00795618">
        <w:t xml:space="preserve">on </w:t>
      </w:r>
      <w:r w:rsidR="0040392C">
        <w:t xml:space="preserve">who has </w:t>
      </w:r>
      <w:r w:rsidR="00795618">
        <w:t>decision-</w:t>
      </w:r>
      <w:r w:rsidR="00795618">
        <w:lastRenderedPageBreak/>
        <w:t>m</w:t>
      </w:r>
      <w:r w:rsidR="009E3A96">
        <w:t xml:space="preserve">aking authority in </w:t>
      </w:r>
      <w:r w:rsidR="000068B0">
        <w:t xml:space="preserve">each of </w:t>
      </w:r>
      <w:r w:rsidR="009E3A96">
        <w:t xml:space="preserve">the </w:t>
      </w:r>
      <w:r w:rsidR="00795618">
        <w:t>case</w:t>
      </w:r>
      <w:r w:rsidR="009E3A96">
        <w:t>s</w:t>
      </w:r>
      <w:r w:rsidR="00795618">
        <w:t xml:space="preserve"> </w:t>
      </w:r>
      <w:r w:rsidR="009E3A96">
        <w:t>which</w:t>
      </w:r>
      <w:r w:rsidR="00795618">
        <w:t xml:space="preserve"> come before it.</w:t>
      </w:r>
      <w:r w:rsidR="00422F86">
        <w:t xml:space="preserve"> </w:t>
      </w:r>
      <w:r w:rsidR="009E3A96">
        <w:t>While t</w:t>
      </w:r>
      <w:r w:rsidR="00795618">
        <w:t>he CCB’</w:t>
      </w:r>
      <w:r w:rsidR="000D3AFD">
        <w:t>s decisions</w:t>
      </w:r>
      <w:r w:rsidR="00F0538C">
        <w:t xml:space="preserve"> </w:t>
      </w:r>
      <w:r w:rsidR="00204EB6">
        <w:t xml:space="preserve">clarify who has the legal right to make decisions for </w:t>
      </w:r>
      <w:r w:rsidR="000068B0">
        <w:t xml:space="preserve">particular </w:t>
      </w:r>
      <w:r w:rsidR="00204EB6">
        <w:t xml:space="preserve">incapacitated </w:t>
      </w:r>
      <w:r w:rsidR="00204EB6" w:rsidRPr="00422F86">
        <w:t>patie</w:t>
      </w:r>
      <w:r w:rsidR="009E3A96" w:rsidRPr="00422F86">
        <w:t>nts</w:t>
      </w:r>
      <w:r w:rsidR="00422F86">
        <w:t>,</w:t>
      </w:r>
      <w:r w:rsidR="00422F86" w:rsidRPr="00422F86">
        <w:t xml:space="preserve"> </w:t>
      </w:r>
      <w:r w:rsidR="009E3A96" w:rsidRPr="00422F86">
        <w:t xml:space="preserve">they </w:t>
      </w:r>
      <w:r w:rsidR="000068B0">
        <w:t>do not</w:t>
      </w:r>
      <w:r w:rsidR="009E3A96" w:rsidRPr="00422F86">
        <w:t xml:space="preserve"> engage substantive issues such as whether resuscitation is </w:t>
      </w:r>
      <w:r w:rsidR="00422F86" w:rsidRPr="00422F86">
        <w:t xml:space="preserve">the right </w:t>
      </w:r>
      <w:r w:rsidR="009F7828">
        <w:t>option</w:t>
      </w:r>
      <w:r w:rsidR="00422F86" w:rsidRPr="00422F86">
        <w:t xml:space="preserve"> for a particular patient </w:t>
      </w:r>
      <w:r w:rsidR="00B84792">
        <w:t xml:space="preserve">given his current status, </w:t>
      </w:r>
      <w:r w:rsidR="00422F86" w:rsidRPr="00422F86">
        <w:t>known values, and best</w:t>
      </w:r>
      <w:r w:rsidR="000D5627">
        <w:t xml:space="preserve"> </w:t>
      </w:r>
      <w:r w:rsidR="00422F86" w:rsidRPr="00422F86">
        <w:t>interests</w:t>
      </w:r>
      <w:r w:rsidR="000068B0">
        <w:t>.</w:t>
      </w:r>
      <w:r w:rsidR="00422F86" w:rsidRPr="00422F86">
        <w:t xml:space="preserve"> </w:t>
      </w:r>
      <w:r w:rsidR="000068B0">
        <w:t xml:space="preserve">Moreover, </w:t>
      </w:r>
      <w:r w:rsidR="00422F86" w:rsidRPr="00422F86">
        <w:t xml:space="preserve">the Board </w:t>
      </w:r>
      <w:r w:rsidR="000068B0">
        <w:t xml:space="preserve">is not empowered to </w:t>
      </w:r>
      <w:r w:rsidR="00422F86" w:rsidRPr="00422F86">
        <w:t xml:space="preserve">entertain </w:t>
      </w:r>
      <w:r w:rsidR="00422F86">
        <w:t>broader</w:t>
      </w:r>
      <w:r w:rsidR="000C1A88">
        <w:t xml:space="preserve"> and more philosophical</w:t>
      </w:r>
      <w:r w:rsidR="00422F86">
        <w:t xml:space="preserve"> </w:t>
      </w:r>
      <w:r w:rsidR="00422F86" w:rsidRPr="00422F86">
        <w:t>questions such as</w:t>
      </w:r>
      <w:r w:rsidR="00422F86">
        <w:t>, Can</w:t>
      </w:r>
      <w:r w:rsidR="00422F86" w:rsidRPr="00422F86">
        <w:t xml:space="preserve"> it </w:t>
      </w:r>
      <w:r w:rsidR="00422F86">
        <w:t xml:space="preserve">ever be </w:t>
      </w:r>
      <w:r w:rsidR="009E3A96" w:rsidRPr="00422F86">
        <w:t>ethically desirable or</w:t>
      </w:r>
      <w:r w:rsidR="009E3A96">
        <w:t xml:space="preserve"> defensible </w:t>
      </w:r>
      <w:r w:rsidR="00422F86">
        <w:t xml:space="preserve">to attempt resuscitation on </w:t>
      </w:r>
      <w:r w:rsidR="00363C48">
        <w:t>patients</w:t>
      </w:r>
      <w:r w:rsidR="00422F86">
        <w:t xml:space="preserve"> who are not expected to survive </w:t>
      </w:r>
      <w:r w:rsidR="00354D0E">
        <w:t xml:space="preserve">the intervention </w:t>
      </w:r>
      <w:r w:rsidR="00422F86">
        <w:t>or are almost certain to have poor physiological outcomes?</w:t>
      </w:r>
    </w:p>
    <w:p w14:paraId="16F025B1" w14:textId="77777777" w:rsidR="00A85FA9" w:rsidRDefault="0044250F" w:rsidP="00E81BB7">
      <w:pPr>
        <w:spacing w:line="480" w:lineRule="auto"/>
        <w:ind w:firstLine="720"/>
      </w:pPr>
      <w:r>
        <w:t>These las</w:t>
      </w:r>
      <w:r w:rsidR="00143459">
        <w:t xml:space="preserve">t questions are ones that the </w:t>
      </w:r>
      <w:r>
        <w:t xml:space="preserve">ethicist </w:t>
      </w:r>
      <w:r w:rsidR="00354D0E">
        <w:t xml:space="preserve">is </w:t>
      </w:r>
      <w:r>
        <w:t>obliged to engage far less often than the public might expect, at least in her capacity as a practicing healthcare ethicist. The consul</w:t>
      </w:r>
      <w:r w:rsidR="000068B0">
        <w:t xml:space="preserve">tant’s role </w:t>
      </w:r>
      <w:r w:rsidR="006606FA">
        <w:t xml:space="preserve">generally </w:t>
      </w:r>
      <w:r w:rsidR="000068B0">
        <w:t xml:space="preserve">is </w:t>
      </w:r>
      <w:r>
        <w:t xml:space="preserve">focused </w:t>
      </w:r>
      <w:r w:rsidR="009A3947">
        <w:t xml:space="preserve">on </w:t>
      </w:r>
      <w:r>
        <w:t>que</w:t>
      </w:r>
      <w:r w:rsidR="00354D0E">
        <w:t xml:space="preserve">stions that relate to </w:t>
      </w:r>
      <w:r w:rsidR="009C7DF2">
        <w:t>the rights, duties</w:t>
      </w:r>
      <w:r w:rsidR="00143459">
        <w:t xml:space="preserve">, </w:t>
      </w:r>
      <w:r w:rsidR="009C7DF2">
        <w:t>value</w:t>
      </w:r>
      <w:r w:rsidR="00354D0E">
        <w:t>s</w:t>
      </w:r>
      <w:r w:rsidR="00143459">
        <w:t>, and interests</w:t>
      </w:r>
      <w:r w:rsidR="009C7DF2">
        <w:t xml:space="preserve"> </w:t>
      </w:r>
      <w:r>
        <w:t xml:space="preserve">of particular </w:t>
      </w:r>
      <w:r w:rsidR="009A3947">
        <w:t xml:space="preserve">individuals or institutions </w:t>
      </w:r>
      <w:r>
        <w:t>and</w:t>
      </w:r>
      <w:r w:rsidR="00354D0E">
        <w:t>, as the case</w:t>
      </w:r>
      <w:r w:rsidR="00494CA9">
        <w:t xml:space="preserve"> related to resuscitation</w:t>
      </w:r>
      <w:r w:rsidR="009A3947">
        <w:t xml:space="preserve"> status suggests</w:t>
      </w:r>
      <w:r w:rsidR="00354D0E">
        <w:t>,</w:t>
      </w:r>
      <w:r w:rsidR="009A3947">
        <w:t xml:space="preserve"> there may be little room for </w:t>
      </w:r>
      <w:r w:rsidR="00E81BB7">
        <w:t xml:space="preserve">discretion once the settled </w:t>
      </w:r>
      <w:r w:rsidR="00354D0E">
        <w:t>aspects of a</w:t>
      </w:r>
      <w:r w:rsidR="00FD6243">
        <w:t xml:space="preserve"> case have been identified.</w:t>
      </w:r>
      <w:r w:rsidR="00354D0E">
        <w:t xml:space="preserve"> </w:t>
      </w:r>
      <w:r w:rsidR="0031619A">
        <w:t xml:space="preserve">Just as an automobile fits within the so-called </w:t>
      </w:r>
      <w:r w:rsidR="006606FA">
        <w:t xml:space="preserve">core, or </w:t>
      </w:r>
      <w:r w:rsidR="0031619A">
        <w:t>settled meaning</w:t>
      </w:r>
      <w:r w:rsidR="006606FA">
        <w:t>,</w:t>
      </w:r>
      <w:r w:rsidR="0031619A">
        <w:t xml:space="preserve"> of the term vehicle</w:t>
      </w:r>
      <w:r w:rsidR="006606FA">
        <w:t xml:space="preserve">, it is </w:t>
      </w:r>
      <w:r w:rsidR="00514741">
        <w:t xml:space="preserve">generally </w:t>
      </w:r>
      <w:r w:rsidR="006606FA">
        <w:t>uncontroversial that le</w:t>
      </w:r>
      <w:r w:rsidR="00EB001B">
        <w:t>gally authorised representatives</w:t>
      </w:r>
      <w:r w:rsidR="006606FA">
        <w:t xml:space="preserve"> – meaning those appointed by patients or identified via statutory law – are the parties who possess the right t</w:t>
      </w:r>
      <w:r w:rsidR="009A6792">
        <w:t>o direct care</w:t>
      </w:r>
      <w:r w:rsidR="00EB001B">
        <w:t xml:space="preserve"> for decisional</w:t>
      </w:r>
      <w:r w:rsidR="00AE29E1">
        <w:t>l</w:t>
      </w:r>
      <w:r w:rsidR="00CB3B20">
        <w:t>y-</w:t>
      </w:r>
      <w:r w:rsidR="006606FA">
        <w:t xml:space="preserve">incapacitated patients. </w:t>
      </w:r>
    </w:p>
    <w:p w14:paraId="15E2C335" w14:textId="77777777" w:rsidR="00720E17" w:rsidRDefault="00354D0E" w:rsidP="00E81BB7">
      <w:pPr>
        <w:spacing w:line="480" w:lineRule="auto"/>
        <w:ind w:firstLine="720"/>
      </w:pPr>
      <w:r>
        <w:t>Some consultation</w:t>
      </w:r>
      <w:r w:rsidR="000068B0">
        <w:t xml:space="preserve"> case</w:t>
      </w:r>
      <w:r>
        <w:t>s, however, require more than information-sharing</w:t>
      </w:r>
      <w:r w:rsidR="00511300">
        <w:t>,</w:t>
      </w:r>
      <w:r w:rsidR="006606FA">
        <w:t xml:space="preserve"> or the </w:t>
      </w:r>
      <w:r>
        <w:t xml:space="preserve">identification of </w:t>
      </w:r>
      <w:r w:rsidR="0079298B">
        <w:t xml:space="preserve">appropriate </w:t>
      </w:r>
      <w:r>
        <w:t>decision-makers</w:t>
      </w:r>
      <w:r w:rsidR="00511300">
        <w:t xml:space="preserve">, and the path forward </w:t>
      </w:r>
      <w:r w:rsidR="004E1C26">
        <w:t>may be far less illuminated</w:t>
      </w:r>
      <w:r>
        <w:t xml:space="preserve">. </w:t>
      </w:r>
      <w:r w:rsidR="00806062">
        <w:t>Parties</w:t>
      </w:r>
      <w:r w:rsidR="00C047FD">
        <w:t xml:space="preserve"> </w:t>
      </w:r>
      <w:r w:rsidR="00511300">
        <w:t>seeking</w:t>
      </w:r>
      <w:r w:rsidR="00C047FD">
        <w:t xml:space="preserve"> guidance in</w:t>
      </w:r>
      <w:r w:rsidR="00511300">
        <w:t xml:space="preserve"> resolving </w:t>
      </w:r>
      <w:r w:rsidR="00EB001B">
        <w:t>these penumbral</w:t>
      </w:r>
      <w:r w:rsidR="00511300">
        <w:t xml:space="preserve"> </w:t>
      </w:r>
      <w:r w:rsidR="00EB001B">
        <w:t xml:space="preserve">cases </w:t>
      </w:r>
      <w:r w:rsidR="00511300">
        <w:lastRenderedPageBreak/>
        <w:t xml:space="preserve">may </w:t>
      </w:r>
      <w:r w:rsidR="00742B74">
        <w:t>ask specifically</w:t>
      </w:r>
      <w:r w:rsidR="00511300">
        <w:t xml:space="preserve"> </w:t>
      </w:r>
      <w:r w:rsidR="00742B74">
        <w:t xml:space="preserve">for </w:t>
      </w:r>
      <w:r w:rsidR="00511300">
        <w:t xml:space="preserve">the ethicist to offer her </w:t>
      </w:r>
      <w:r w:rsidR="00A85FA9">
        <w:t xml:space="preserve">view </w:t>
      </w:r>
      <w:r w:rsidR="00511300">
        <w:t xml:space="preserve">on </w:t>
      </w:r>
      <w:r w:rsidR="00630528">
        <w:t xml:space="preserve">deeply </w:t>
      </w:r>
      <w:r w:rsidR="00511300">
        <w:t xml:space="preserve">contested </w:t>
      </w:r>
      <w:r w:rsidR="00630528">
        <w:t>matters</w:t>
      </w:r>
      <w:r w:rsidR="0037412D">
        <w:t xml:space="preserve"> such as whether </w:t>
      </w:r>
      <w:r w:rsidR="00707F9C">
        <w:t xml:space="preserve">a “futile” resuscitation can be defended on moral grounds, or whether </w:t>
      </w:r>
      <w:r w:rsidR="00806062">
        <w:t>a</w:t>
      </w:r>
      <w:r w:rsidR="000C1A88">
        <w:t xml:space="preserve"> patient’s </w:t>
      </w:r>
      <w:r w:rsidR="00CB3B20">
        <w:t>c</w:t>
      </w:r>
      <w:r w:rsidR="00C972BF">
        <w:t>ritical care physicians should</w:t>
      </w:r>
      <w:r w:rsidR="00707F9C">
        <w:t xml:space="preserve"> </w:t>
      </w:r>
      <w:r w:rsidR="00C972BF">
        <w:t xml:space="preserve">be able to </w:t>
      </w:r>
      <w:r w:rsidR="00707F9C">
        <w:t xml:space="preserve">refuse to honour requests for CPR that they </w:t>
      </w:r>
      <w:r w:rsidR="00F0538C">
        <w:t xml:space="preserve">deem </w:t>
      </w:r>
      <w:r w:rsidR="00EE6563">
        <w:t>non-beneficial</w:t>
      </w:r>
      <w:r w:rsidR="00F0538C">
        <w:t xml:space="preserve"> or harmful</w:t>
      </w:r>
      <w:r w:rsidR="00EE6563">
        <w:t xml:space="preserve">. Alternatively, a patient’s family members may wish to </w:t>
      </w:r>
      <w:r w:rsidR="00C972BF">
        <w:t xml:space="preserve">know if it can be defensible to </w:t>
      </w:r>
      <w:r w:rsidR="00EE6563">
        <w:t xml:space="preserve">decline or discontinue treatment options that </w:t>
      </w:r>
      <w:r w:rsidR="0079298B">
        <w:t xml:space="preserve">members of </w:t>
      </w:r>
      <w:r w:rsidR="00EE6563">
        <w:t>the clinica</w:t>
      </w:r>
      <w:r w:rsidR="0079298B">
        <w:t xml:space="preserve">l team regard </w:t>
      </w:r>
      <w:r w:rsidR="00EE6563">
        <w:t xml:space="preserve">as routine or medically appropriate. Such cases can take the ethicist into </w:t>
      </w:r>
      <w:r w:rsidR="0082295E">
        <w:t xml:space="preserve">more </w:t>
      </w:r>
      <w:r w:rsidR="00EE6563">
        <w:t>cha</w:t>
      </w:r>
      <w:r w:rsidR="0079298B">
        <w:t>llenging and contested territory;</w:t>
      </w:r>
      <w:r w:rsidR="00EE6563">
        <w:t xml:space="preserve"> zones of engagement where her clinical and bioethical co</w:t>
      </w:r>
      <w:r w:rsidR="00F0538C">
        <w:t>lleagues may hold a range of</w:t>
      </w:r>
      <w:r w:rsidR="00143459">
        <w:t xml:space="preserve"> perspectives</w:t>
      </w:r>
      <w:r w:rsidR="0079298B">
        <w:t xml:space="preserve"> about how best to proceed</w:t>
      </w:r>
      <w:r w:rsidR="00EE6563">
        <w:t>.</w:t>
      </w:r>
      <w:r w:rsidR="00720E17">
        <w:t xml:space="preserve"> </w:t>
      </w:r>
      <w:r w:rsidR="00514741">
        <w:t xml:space="preserve">These are the kinds of cases that the critics of clinical ethics consultation </w:t>
      </w:r>
      <w:r w:rsidR="00E22F64">
        <w:t xml:space="preserve">may </w:t>
      </w:r>
      <w:r w:rsidR="00514741">
        <w:t>find most disturbing because they allow no</w:t>
      </w:r>
      <w:r w:rsidR="00EB001B">
        <w:t xml:space="preserve"> prospect of resolution which can be described as</w:t>
      </w:r>
      <w:r w:rsidR="00514741">
        <w:t xml:space="preserve"> entirely value-neutral, and </w:t>
      </w:r>
      <w:r w:rsidR="0031239E">
        <w:t>there is a potential for the ethicist’s world-view to</w:t>
      </w:r>
      <w:r w:rsidR="00E22F64">
        <w:t xml:space="preserve"> have a disproportionate influence on decision-making</w:t>
      </w:r>
      <w:r w:rsidR="00514741">
        <w:t>.</w:t>
      </w:r>
      <w:r w:rsidR="00E22F64">
        <w:t xml:space="preserve"> Next, </w:t>
      </w:r>
      <w:r w:rsidR="009A6792">
        <w:t>I will turn to a topic which is generating</w:t>
      </w:r>
      <w:r w:rsidR="00E22F64">
        <w:t xml:space="preserve"> prec</w:t>
      </w:r>
      <w:r w:rsidR="00EB001B">
        <w:t xml:space="preserve">isely these sorts of worries </w:t>
      </w:r>
      <w:r w:rsidR="00E22F64">
        <w:t xml:space="preserve">both </w:t>
      </w:r>
      <w:r w:rsidR="00EB001B">
        <w:t xml:space="preserve">in </w:t>
      </w:r>
      <w:r w:rsidR="00E22F64">
        <w:t xml:space="preserve">the popular imagination and </w:t>
      </w:r>
      <w:r w:rsidR="00EB001B">
        <w:t xml:space="preserve">in </w:t>
      </w:r>
      <w:r w:rsidR="00E22F64">
        <w:t xml:space="preserve">the </w:t>
      </w:r>
      <w:r w:rsidR="009A6792">
        <w:t xml:space="preserve">emerging </w:t>
      </w:r>
      <w:r w:rsidR="00E22F64">
        <w:t xml:space="preserve">professional literature. </w:t>
      </w:r>
    </w:p>
    <w:p w14:paraId="37677BCE" w14:textId="77777777" w:rsidR="00720E17" w:rsidRDefault="00720E17" w:rsidP="00E81BB7">
      <w:pPr>
        <w:spacing w:line="480" w:lineRule="auto"/>
        <w:ind w:firstLine="720"/>
      </w:pPr>
    </w:p>
    <w:p w14:paraId="1805667B" w14:textId="77777777" w:rsidR="00A51508" w:rsidRPr="00720E17" w:rsidRDefault="00A57013" w:rsidP="00720E17">
      <w:pPr>
        <w:spacing w:line="480" w:lineRule="auto"/>
        <w:rPr>
          <w:i/>
        </w:rPr>
      </w:pPr>
      <w:r>
        <w:rPr>
          <w:i/>
        </w:rPr>
        <w:t>MAID</w:t>
      </w:r>
      <w:r w:rsidR="00720E17" w:rsidRPr="00720E17">
        <w:rPr>
          <w:i/>
        </w:rPr>
        <w:t xml:space="preserve"> in Canada: Making Sense of our Legal and Ethical Obligations</w:t>
      </w:r>
      <w:r w:rsidR="00EE6563" w:rsidRPr="00720E17">
        <w:rPr>
          <w:i/>
        </w:rPr>
        <w:t xml:space="preserve">  </w:t>
      </w:r>
    </w:p>
    <w:p w14:paraId="22392B97" w14:textId="77777777" w:rsidR="00EC38FB" w:rsidRPr="00720E17" w:rsidRDefault="00E04F04" w:rsidP="00720E17">
      <w:pPr>
        <w:spacing w:line="480" w:lineRule="auto"/>
        <w:ind w:firstLine="720"/>
      </w:pPr>
      <w:r>
        <w:t xml:space="preserve">Following a landmark Supreme Court decision known as </w:t>
      </w:r>
      <w:r w:rsidRPr="00DC7AAC">
        <w:rPr>
          <w:i/>
        </w:rPr>
        <w:t>Carter vs Canada</w:t>
      </w:r>
      <w:r>
        <w:t xml:space="preserve"> </w:t>
      </w:r>
      <w:r w:rsidR="00A85FA9">
        <w:t>many Cana</w:t>
      </w:r>
      <w:r w:rsidR="000C785F">
        <w:t xml:space="preserve">dian PHEs have found themselves </w:t>
      </w:r>
      <w:r>
        <w:t>reflecting on, and</w:t>
      </w:r>
      <w:r w:rsidR="00A94BD6">
        <w:t xml:space="preserve"> </w:t>
      </w:r>
      <w:r w:rsidR="00A85FA9">
        <w:t>responding to</w:t>
      </w:r>
      <w:r>
        <w:t>,</w:t>
      </w:r>
      <w:r w:rsidR="00C972BF">
        <w:t xml:space="preserve"> hard questions related to medical assistance in d</w:t>
      </w:r>
      <w:r w:rsidR="00A85FA9">
        <w:t>ying</w:t>
      </w:r>
      <w:r w:rsidR="000C785F">
        <w:t xml:space="preserve"> (</w:t>
      </w:r>
      <w:r w:rsidR="00C972BF">
        <w:t>MAI</w:t>
      </w:r>
      <w:r w:rsidR="00A57013">
        <w:t>D</w:t>
      </w:r>
      <w:r w:rsidR="00F83A8F">
        <w:t>)</w:t>
      </w:r>
      <w:r w:rsidR="000C1A88">
        <w:t>.</w:t>
      </w:r>
      <w:r w:rsidR="00CB3B20">
        <w:rPr>
          <w:rStyle w:val="FootnoteReference"/>
        </w:rPr>
        <w:footnoteReference w:id="159"/>
      </w:r>
      <w:r w:rsidR="00A85FA9">
        <w:t xml:space="preserve"> </w:t>
      </w:r>
      <w:r w:rsidR="00A85FA9">
        <w:lastRenderedPageBreak/>
        <w:t>The fact that the county’</w:t>
      </w:r>
      <w:r w:rsidR="004767AA">
        <w:t xml:space="preserve">s highest court has recognised a limited right to </w:t>
      </w:r>
      <w:r w:rsidR="002C3297">
        <w:t xml:space="preserve">medical </w:t>
      </w:r>
      <w:r w:rsidR="004767AA">
        <w:t xml:space="preserve">aid in dying, and </w:t>
      </w:r>
      <w:r w:rsidR="00A85FA9">
        <w:t xml:space="preserve">the </w:t>
      </w:r>
      <w:r w:rsidR="004767AA">
        <w:t xml:space="preserve">subsequent passage of </w:t>
      </w:r>
      <w:r w:rsidR="00A85FA9">
        <w:t>a statute</w:t>
      </w:r>
      <w:r w:rsidR="004767AA">
        <w:t xml:space="preserve"> setting out cri</w:t>
      </w:r>
      <w:r w:rsidR="00EF2AAB">
        <w:t>teria for eligibility</w:t>
      </w:r>
      <w:r w:rsidR="004767AA">
        <w:t xml:space="preserve">, has not meant that </w:t>
      </w:r>
      <w:r w:rsidR="004E1C26">
        <w:t xml:space="preserve">all </w:t>
      </w:r>
      <w:r w:rsidR="004767AA">
        <w:t>related ethi</w:t>
      </w:r>
      <w:r w:rsidR="001F3746">
        <w:t>cal questions have been settled</w:t>
      </w:r>
      <w:r w:rsidR="004767AA">
        <w:t xml:space="preserve"> for </w:t>
      </w:r>
      <w:r w:rsidR="00400104">
        <w:t xml:space="preserve">patients, </w:t>
      </w:r>
      <w:r w:rsidR="004767AA">
        <w:t>health care institutions</w:t>
      </w:r>
      <w:r w:rsidR="00400104">
        <w:t>,</w:t>
      </w:r>
      <w:r w:rsidR="00AE29E1">
        <w:t xml:space="preserve"> or</w:t>
      </w:r>
      <w:r w:rsidR="004767AA">
        <w:t xml:space="preserve"> </w:t>
      </w:r>
      <w:r w:rsidR="002C3297">
        <w:t xml:space="preserve">for </w:t>
      </w:r>
      <w:r w:rsidR="004767AA">
        <w:t>those who f</w:t>
      </w:r>
      <w:r w:rsidR="0082295E">
        <w:t>ind their employment within those institutions</w:t>
      </w:r>
      <w:r w:rsidR="004767AA">
        <w:t xml:space="preserve">. On the contrary, </w:t>
      </w:r>
      <w:r w:rsidR="000C1A88">
        <w:t>in the post-</w:t>
      </w:r>
      <w:r w:rsidR="000C1A88" w:rsidRPr="00EC38FB">
        <w:rPr>
          <w:i/>
        </w:rPr>
        <w:t>Carter</w:t>
      </w:r>
      <w:r w:rsidR="000C1A88">
        <w:t xml:space="preserve"> era, </w:t>
      </w:r>
      <w:r w:rsidR="00967286">
        <w:t>a great many PHEs</w:t>
      </w:r>
      <w:r w:rsidR="00F0538C">
        <w:t xml:space="preserve"> </w:t>
      </w:r>
      <w:r w:rsidR="004767AA">
        <w:t xml:space="preserve">have seen a significant increase </w:t>
      </w:r>
      <w:r w:rsidR="00EF2AAB">
        <w:t xml:space="preserve">in </w:t>
      </w:r>
      <w:r w:rsidR="00400104">
        <w:t>requests for consultation support</w:t>
      </w:r>
      <w:r w:rsidR="004767AA">
        <w:t xml:space="preserve"> </w:t>
      </w:r>
      <w:r w:rsidR="0031239E">
        <w:t xml:space="preserve">and policy advice </w:t>
      </w:r>
      <w:r w:rsidR="004767AA">
        <w:t xml:space="preserve">as </w:t>
      </w:r>
      <w:r w:rsidR="00EF2AAB">
        <w:t xml:space="preserve">a variety of hard </w:t>
      </w:r>
      <w:r w:rsidR="00DF0158">
        <w:t xml:space="preserve">questions </w:t>
      </w:r>
      <w:r w:rsidR="00F0538C">
        <w:t xml:space="preserve">have </w:t>
      </w:r>
      <w:r w:rsidR="00DF0158">
        <w:t>arise</w:t>
      </w:r>
      <w:r w:rsidR="00F0538C">
        <w:t>n</w:t>
      </w:r>
      <w:r w:rsidR="00DF0158">
        <w:t xml:space="preserve"> </w:t>
      </w:r>
      <w:r w:rsidR="00F83A8F">
        <w:t>concerning</w:t>
      </w:r>
      <w:r w:rsidR="00EF2AAB">
        <w:t>, for example,</w:t>
      </w:r>
      <w:r w:rsidR="00F83A8F">
        <w:t xml:space="preserve"> the </w:t>
      </w:r>
      <w:r w:rsidR="00C972BF">
        <w:t>MAID</w:t>
      </w:r>
      <w:r w:rsidR="00F83A8F">
        <w:t xml:space="preserve">-related </w:t>
      </w:r>
      <w:r w:rsidR="00400104">
        <w:t xml:space="preserve">duties of </w:t>
      </w:r>
      <w:r w:rsidR="006606FA">
        <w:t xml:space="preserve">health care </w:t>
      </w:r>
      <w:r w:rsidR="00400104">
        <w:t>providers</w:t>
      </w:r>
      <w:r w:rsidR="00EF2AAB">
        <w:t xml:space="preserve">; </w:t>
      </w:r>
      <w:r w:rsidR="00400104">
        <w:t xml:space="preserve">the </w:t>
      </w:r>
      <w:r w:rsidR="00DF0158">
        <w:t>nature and limits of conscientious objection</w:t>
      </w:r>
      <w:r w:rsidR="001F3746">
        <w:t xml:space="preserve"> and conscientious commitment</w:t>
      </w:r>
      <w:r w:rsidR="00EF2AAB">
        <w:t xml:space="preserve">; and the </w:t>
      </w:r>
      <w:r w:rsidR="00F83A8F">
        <w:t xml:space="preserve">balance to be struck between a respect for </w:t>
      </w:r>
      <w:r w:rsidR="00AE29E1">
        <w:t>patient self-determination and the</w:t>
      </w:r>
      <w:r w:rsidR="009C4979">
        <w:t xml:space="preserve"> duty</w:t>
      </w:r>
      <w:r w:rsidR="00F83A8F">
        <w:t xml:space="preserve"> to protect th</w:t>
      </w:r>
      <w:r w:rsidR="005066DB">
        <w:t>os</w:t>
      </w:r>
      <w:r w:rsidR="00EF2AAB">
        <w:t xml:space="preserve">e </w:t>
      </w:r>
      <w:r w:rsidR="005066DB">
        <w:t xml:space="preserve">who are </w:t>
      </w:r>
      <w:r w:rsidR="00EF2AAB">
        <w:t>vulnerably-situated</w:t>
      </w:r>
      <w:r w:rsidR="00F83A8F">
        <w:t>.</w:t>
      </w:r>
      <w:r w:rsidR="00C83D48">
        <w:rPr>
          <w:rStyle w:val="FootnoteReference"/>
        </w:rPr>
        <w:footnoteReference w:id="160"/>
      </w:r>
      <w:r w:rsidR="008773AB">
        <w:t xml:space="preserve"> Attempts</w:t>
      </w:r>
      <w:r w:rsidR="004E0AED">
        <w:t xml:space="preserve"> to respond to these requests</w:t>
      </w:r>
      <w:r w:rsidR="008773AB">
        <w:t xml:space="preserve"> will </w:t>
      </w:r>
      <w:r w:rsidR="00D97579">
        <w:t xml:space="preserve">be </w:t>
      </w:r>
      <w:r w:rsidR="008773AB">
        <w:t xml:space="preserve">most </w:t>
      </w:r>
      <w:r w:rsidR="00D97579">
        <w:t>successful</w:t>
      </w:r>
      <w:r w:rsidR="002C18E7">
        <w:t xml:space="preserve"> if there </w:t>
      </w:r>
      <w:r w:rsidR="00BB4549">
        <w:t xml:space="preserve">is </w:t>
      </w:r>
      <w:r w:rsidR="002C18E7">
        <w:t>clarity</w:t>
      </w:r>
      <w:r w:rsidR="008773AB">
        <w:t xml:space="preserve"> about the kinds of questions that t</w:t>
      </w:r>
      <w:r w:rsidR="00B83461">
        <w:t xml:space="preserve">hey are </w:t>
      </w:r>
      <w:r w:rsidR="00373110">
        <w:t xml:space="preserve">(legal, ethical, </w:t>
      </w:r>
      <w:r w:rsidR="00EC38FB">
        <w:t xml:space="preserve">or </w:t>
      </w:r>
      <w:r w:rsidR="00EB001B">
        <w:t xml:space="preserve">purely </w:t>
      </w:r>
      <w:r w:rsidR="00373110">
        <w:t>procedural</w:t>
      </w:r>
      <w:r w:rsidR="00EC38FB">
        <w:t>, for example</w:t>
      </w:r>
      <w:r w:rsidR="00373110">
        <w:t xml:space="preserve">) </w:t>
      </w:r>
      <w:r w:rsidR="00B83461">
        <w:t xml:space="preserve">and, as we will </w:t>
      </w:r>
      <w:r w:rsidR="008773AB">
        <w:t>see</w:t>
      </w:r>
      <w:r w:rsidR="00B83461">
        <w:t xml:space="preserve"> next</w:t>
      </w:r>
      <w:r w:rsidR="008773AB">
        <w:t xml:space="preserve">, </w:t>
      </w:r>
      <w:r w:rsidR="00B83461">
        <w:t xml:space="preserve">if there is </w:t>
      </w:r>
      <w:r w:rsidR="008773AB">
        <w:t xml:space="preserve">greater transparency about what ethicists are doing </w:t>
      </w:r>
      <w:r w:rsidR="009A6792">
        <w:t>when they are engaging</w:t>
      </w:r>
      <w:r w:rsidR="008773AB">
        <w:t xml:space="preserve"> the</w:t>
      </w:r>
      <w:r w:rsidR="00B83461">
        <w:t>se</w:t>
      </w:r>
      <w:r w:rsidR="00EC38FB">
        <w:t xml:space="preserve"> new, and </w:t>
      </w:r>
      <w:r w:rsidR="009A6792">
        <w:t>frequently</w:t>
      </w:r>
      <w:r w:rsidR="00EC38FB">
        <w:t xml:space="preserve"> divisive, </w:t>
      </w:r>
      <w:r w:rsidR="00A07CCE">
        <w:t>concerns</w:t>
      </w:r>
      <w:r w:rsidR="008773AB">
        <w:t>.</w:t>
      </w:r>
      <w:r w:rsidR="00C259E2">
        <w:rPr>
          <w:rStyle w:val="FootnoteReference"/>
        </w:rPr>
        <w:footnoteReference w:id="161"/>
      </w:r>
      <w:r w:rsidR="008773AB">
        <w:t xml:space="preserve"> </w:t>
      </w:r>
    </w:p>
    <w:p w14:paraId="064A0E76" w14:textId="77777777" w:rsidR="00CB6907" w:rsidRDefault="00EC38FB" w:rsidP="00EC38FB">
      <w:pPr>
        <w:spacing w:line="480" w:lineRule="auto"/>
      </w:pPr>
      <w:r>
        <w:lastRenderedPageBreak/>
        <w:tab/>
        <w:t>In the three years</w:t>
      </w:r>
      <w:r w:rsidR="00AE29E1">
        <w:t xml:space="preserve"> that have passed</w:t>
      </w:r>
      <w:r>
        <w:t xml:space="preserve"> since the </w:t>
      </w:r>
      <w:r w:rsidRPr="00EC38FB">
        <w:rPr>
          <w:i/>
        </w:rPr>
        <w:t>Carter</w:t>
      </w:r>
      <w:r>
        <w:t xml:space="preserve"> decision, </w:t>
      </w:r>
      <w:r w:rsidR="00203245">
        <w:t>there have been a number of developments that have added clarity, and some complexity, to efforts to understand the implications</w:t>
      </w:r>
      <w:r w:rsidR="00AE29E1">
        <w:t xml:space="preserve"> of that</w:t>
      </w:r>
      <w:r w:rsidR="00203245">
        <w:t xml:space="preserve"> ruling for patients and health care providers. </w:t>
      </w:r>
      <w:r>
        <w:t xml:space="preserve"> </w:t>
      </w:r>
      <w:r w:rsidR="00130D48">
        <w:t>Most noteworthy was</w:t>
      </w:r>
      <w:r w:rsidR="00203245">
        <w:t xml:space="preserve"> the passage of Bill C-14</w:t>
      </w:r>
      <w:r w:rsidR="00130D48">
        <w:t xml:space="preserve"> </w:t>
      </w:r>
      <w:r w:rsidR="00FC124E">
        <w:t xml:space="preserve">in the Canadian Parliament </w:t>
      </w:r>
      <w:r w:rsidR="00130D48">
        <w:t>on June 17, 2016</w:t>
      </w:r>
      <w:r w:rsidR="00FC124E">
        <w:t xml:space="preserve">. This </w:t>
      </w:r>
      <w:r w:rsidR="00130D48">
        <w:t xml:space="preserve">resulted in a statute that amended the </w:t>
      </w:r>
      <w:r w:rsidR="00130D48" w:rsidRPr="00AE29E1">
        <w:rPr>
          <w:i/>
        </w:rPr>
        <w:t>Criminal Code</w:t>
      </w:r>
      <w:r w:rsidR="00FC124E">
        <w:t xml:space="preserve">, established the conditions that must be met for a person to be found eligible for </w:t>
      </w:r>
      <w:r w:rsidR="002C3297">
        <w:t xml:space="preserve">medical </w:t>
      </w:r>
      <w:r w:rsidR="00FC124E">
        <w:t>assistance in dying,</w:t>
      </w:r>
      <w:r w:rsidR="00AE29E1">
        <w:t xml:space="preserve"> and outlined</w:t>
      </w:r>
      <w:r w:rsidR="00FC124E">
        <w:t xml:space="preserve"> the </w:t>
      </w:r>
      <w:r w:rsidR="00A07CCE">
        <w:t>administrative procedures</w:t>
      </w:r>
      <w:r w:rsidR="00FC124E">
        <w:t xml:space="preserve"> that must be followed </w:t>
      </w:r>
      <w:r w:rsidR="00AE29E1">
        <w:t xml:space="preserve">by </w:t>
      </w:r>
      <w:r w:rsidR="00E04F04">
        <w:t xml:space="preserve">health care </w:t>
      </w:r>
      <w:r w:rsidR="00AE29E1">
        <w:t>practitioners</w:t>
      </w:r>
      <w:r w:rsidR="00546C4C">
        <w:t xml:space="preserve"> </w:t>
      </w:r>
      <w:r w:rsidR="00E04F04">
        <w:t xml:space="preserve">who are authorized </w:t>
      </w:r>
      <w:r w:rsidR="00FC124E">
        <w:t xml:space="preserve">to </w:t>
      </w:r>
      <w:r w:rsidR="002C3297">
        <w:t xml:space="preserve">provide </w:t>
      </w:r>
      <w:r w:rsidR="00C972BF">
        <w:t>MAID</w:t>
      </w:r>
      <w:r w:rsidR="002C3297">
        <w:t xml:space="preserve"> interventions and related supports</w:t>
      </w:r>
      <w:r w:rsidR="00FC124E">
        <w:t>.</w:t>
      </w:r>
      <w:r w:rsidR="00546C4C">
        <w:rPr>
          <w:rStyle w:val="FootnoteReference"/>
        </w:rPr>
        <w:footnoteReference w:id="162"/>
      </w:r>
      <w:r w:rsidR="00FC124E">
        <w:t xml:space="preserve"> Some aspects of the legislation are relatively straightforward</w:t>
      </w:r>
      <w:r w:rsidR="008F01A3">
        <w:t>,</w:t>
      </w:r>
      <w:r w:rsidR="00FC124E">
        <w:t xml:space="preserve"> and require little interpretive effort</w:t>
      </w:r>
      <w:r w:rsidR="008F01A3">
        <w:t>,</w:t>
      </w:r>
      <w:r w:rsidR="00FC124E">
        <w:t xml:space="preserve"> such as the </w:t>
      </w:r>
      <w:r w:rsidR="008F01A3">
        <w:t xml:space="preserve">legal </w:t>
      </w:r>
      <w:r w:rsidR="00FC124E">
        <w:t xml:space="preserve">safeguards which stipulate </w:t>
      </w:r>
      <w:r w:rsidR="00330DFE">
        <w:t>that the requestor be at least 18 years of age;</w:t>
      </w:r>
      <w:r w:rsidR="00FC124E">
        <w:t xml:space="preserve"> </w:t>
      </w:r>
      <w:r w:rsidR="00330DFE">
        <w:t xml:space="preserve">that </w:t>
      </w:r>
      <w:r w:rsidR="00FC124E">
        <w:t xml:space="preserve">the </w:t>
      </w:r>
      <w:r w:rsidR="001C5BB7">
        <w:t xml:space="preserve">request be </w:t>
      </w:r>
      <w:r w:rsidR="002C3297">
        <w:t xml:space="preserve">made </w:t>
      </w:r>
      <w:r w:rsidR="001C5BB7">
        <w:t>in writing and witnessed by two independent parties</w:t>
      </w:r>
      <w:r w:rsidR="00FC124E">
        <w:t xml:space="preserve">; that the </w:t>
      </w:r>
      <w:r w:rsidR="001C5BB7">
        <w:t xml:space="preserve">eligibility </w:t>
      </w:r>
      <w:r w:rsidR="008955D5">
        <w:t xml:space="preserve">assessors be </w:t>
      </w:r>
      <w:r w:rsidR="00CC2545">
        <w:t>nurse practitioners or p</w:t>
      </w:r>
      <w:r w:rsidR="00294A6B">
        <w:t xml:space="preserve">hysicians who are </w:t>
      </w:r>
      <w:r w:rsidR="008955D5">
        <w:t>independent</w:t>
      </w:r>
      <w:r w:rsidR="002C3297">
        <w:t xml:space="preserve"> of one another</w:t>
      </w:r>
      <w:r w:rsidR="008955D5">
        <w:t xml:space="preserve">; that a </w:t>
      </w:r>
      <w:r w:rsidR="00715D80">
        <w:t xml:space="preserve">minimum </w:t>
      </w:r>
      <w:r w:rsidR="008955D5">
        <w:t xml:space="preserve">reflection period of ten clear days elapse between the request and the provision of the intervention; and that the requestor be capable of giving consent immediately before </w:t>
      </w:r>
      <w:r w:rsidR="00C972BF">
        <w:t>MAID</w:t>
      </w:r>
      <w:r w:rsidR="008955D5">
        <w:t xml:space="preserve"> is provided. </w:t>
      </w:r>
      <w:r w:rsidR="008F01A3">
        <w:t>Other aspects</w:t>
      </w:r>
      <w:r w:rsidR="00330DFE">
        <w:t xml:space="preserve"> of the legislation</w:t>
      </w:r>
      <w:r w:rsidR="008F01A3">
        <w:t xml:space="preserve">, including some of the criteria that must be met for a patient to be considered eligible, have been far more </w:t>
      </w:r>
      <w:r w:rsidR="001C5BB7">
        <w:t xml:space="preserve">difficult to unpack and have generated </w:t>
      </w:r>
      <w:r w:rsidR="001C5BB7">
        <w:lastRenderedPageBreak/>
        <w:t xml:space="preserve">controversy even within the ranks of </w:t>
      </w:r>
      <w:r w:rsidR="00C972BF">
        <w:t>MAID</w:t>
      </w:r>
      <w:r w:rsidR="001C5BB7">
        <w:t xml:space="preserve"> </w:t>
      </w:r>
      <w:r w:rsidR="00330DFE">
        <w:t xml:space="preserve">assessors and </w:t>
      </w:r>
      <w:r w:rsidR="001C5BB7">
        <w:t>providers</w:t>
      </w:r>
      <w:r w:rsidR="008F01A3">
        <w:t>.</w:t>
      </w:r>
      <w:r w:rsidR="00AA3A52">
        <w:rPr>
          <w:rStyle w:val="FootnoteReference"/>
        </w:rPr>
        <w:footnoteReference w:id="163"/>
      </w:r>
      <w:r w:rsidR="008F01A3">
        <w:t xml:space="preserve"> </w:t>
      </w:r>
      <w:r w:rsidR="00330DFE">
        <w:t>Chief</w:t>
      </w:r>
      <w:r w:rsidR="00CB6907">
        <w:t xml:space="preserve"> among these is the requirement</w:t>
      </w:r>
      <w:r w:rsidR="00330DFE">
        <w:t xml:space="preserve"> that the</w:t>
      </w:r>
      <w:r w:rsidR="00EE73BB">
        <w:t xml:space="preserve"> </w:t>
      </w:r>
      <w:r w:rsidR="00330DFE">
        <w:t xml:space="preserve">patient have a </w:t>
      </w:r>
      <w:r w:rsidR="00CB6907">
        <w:t>“</w:t>
      </w:r>
      <w:r w:rsidR="00330DFE">
        <w:t>grievous and irrem</w:t>
      </w:r>
      <w:r w:rsidR="00CB6907">
        <w:t>ed</w:t>
      </w:r>
      <w:r w:rsidR="00330DFE">
        <w:t>i</w:t>
      </w:r>
      <w:r w:rsidR="00CB6907">
        <w:t xml:space="preserve">able condition” which </w:t>
      </w:r>
      <w:r w:rsidR="002C3297">
        <w:t>is defined</w:t>
      </w:r>
      <w:r w:rsidR="008B5253">
        <w:t xml:space="preserve"> as follows in Section 241.2</w:t>
      </w:r>
      <w:r w:rsidR="002C26A9">
        <w:t xml:space="preserve"> </w:t>
      </w:r>
      <w:r w:rsidR="00CB6907">
        <w:t>(2) of the Act:</w:t>
      </w:r>
    </w:p>
    <w:p w14:paraId="621966BC" w14:textId="77777777" w:rsidR="00CB6907" w:rsidRPr="0065582C" w:rsidRDefault="00CB6907" w:rsidP="0065582C">
      <w:pPr>
        <w:ind w:left="720"/>
      </w:pPr>
      <w:r w:rsidRPr="0065582C">
        <w:t>A person has a grievous and irremediable medical condition only if they meet all of the following criteria:</w:t>
      </w:r>
    </w:p>
    <w:p w14:paraId="03871809" w14:textId="77777777" w:rsidR="00CB6907" w:rsidRPr="0065582C" w:rsidRDefault="00CB6907" w:rsidP="00CB6907"/>
    <w:p w14:paraId="70B1CDA9" w14:textId="77777777" w:rsidR="00CB6907" w:rsidRPr="0065582C" w:rsidRDefault="00CB6907" w:rsidP="0065582C">
      <w:pPr>
        <w:ind w:firstLine="720"/>
      </w:pPr>
      <w:r w:rsidRPr="0065582C">
        <w:t>(a) they have a serious and incurable illness, disease or disability;</w:t>
      </w:r>
    </w:p>
    <w:p w14:paraId="702BB5AB" w14:textId="77777777" w:rsidR="00CB6907" w:rsidRPr="0065582C" w:rsidRDefault="00CB6907" w:rsidP="00CB6907"/>
    <w:p w14:paraId="57E542E7" w14:textId="77777777" w:rsidR="00CB6907" w:rsidRPr="0065582C" w:rsidRDefault="00CB6907" w:rsidP="0065582C">
      <w:pPr>
        <w:ind w:firstLine="720"/>
      </w:pPr>
      <w:r w:rsidRPr="0065582C">
        <w:t>(b) they are in an advanced state of irreversible decline in capability;</w:t>
      </w:r>
    </w:p>
    <w:p w14:paraId="11447369" w14:textId="77777777" w:rsidR="00CB6907" w:rsidRPr="0065582C" w:rsidRDefault="00CB6907" w:rsidP="00CB6907"/>
    <w:p w14:paraId="0A0C2E4F" w14:textId="77777777" w:rsidR="00CB6907" w:rsidRPr="0065582C" w:rsidRDefault="00CB6907" w:rsidP="0065582C">
      <w:pPr>
        <w:ind w:left="720"/>
      </w:pPr>
      <w:r w:rsidRPr="0065582C">
        <w:t>(c) that illness, disease or disability or that state of decline causes them enduring physical or psychological suffering that is intolerable to them and that cannot be relieved under conditions that they consider acceptable; and</w:t>
      </w:r>
    </w:p>
    <w:p w14:paraId="105931CB" w14:textId="77777777" w:rsidR="00CB6907" w:rsidRPr="0065582C" w:rsidRDefault="00CB6907" w:rsidP="00CB6907"/>
    <w:p w14:paraId="48D7E8DA" w14:textId="77777777" w:rsidR="00213848" w:rsidRDefault="00CB6907" w:rsidP="0065582C">
      <w:pPr>
        <w:ind w:left="720"/>
      </w:pPr>
      <w:r w:rsidRPr="0065582C">
        <w:t>(d) their natural death has become reasonably foreseeable, taking into account all of their medical circumstances, without a prognosis necessarily having been made as to the specific length of time that they have remaining.</w:t>
      </w:r>
      <w:r w:rsidRPr="0065582C">
        <w:rPr>
          <w:rStyle w:val="FootnoteReference"/>
        </w:rPr>
        <w:footnoteReference w:id="164"/>
      </w:r>
    </w:p>
    <w:p w14:paraId="1E0CBE33" w14:textId="77777777" w:rsidR="00213848" w:rsidRDefault="008F01A3" w:rsidP="00213848">
      <w:pPr>
        <w:ind w:left="720"/>
      </w:pPr>
      <w:r w:rsidRPr="0065582C">
        <w:t xml:space="preserve"> </w:t>
      </w:r>
      <w:r w:rsidR="00FC124E" w:rsidRPr="0065582C">
        <w:t xml:space="preserve">   </w:t>
      </w:r>
      <w:r w:rsidR="00130D48" w:rsidRPr="0065582C">
        <w:t xml:space="preserve"> </w:t>
      </w:r>
    </w:p>
    <w:p w14:paraId="69E97D8C" w14:textId="635CA10D" w:rsidR="00437C68" w:rsidRDefault="00213848" w:rsidP="00E14AEF">
      <w:pPr>
        <w:spacing w:line="480" w:lineRule="auto"/>
        <w:ind w:firstLine="720"/>
      </w:pPr>
      <w:r>
        <w:t>Although the phrase “grievous and irremediable” is n</w:t>
      </w:r>
      <w:r w:rsidR="00294A6B">
        <w:t xml:space="preserve">ow a legal term of art, and </w:t>
      </w:r>
      <w:r>
        <w:t xml:space="preserve">efforts to </w:t>
      </w:r>
      <w:r w:rsidR="00024896">
        <w:t>parse</w:t>
      </w:r>
      <w:r w:rsidR="00294A6B">
        <w:t xml:space="preserve"> its meaning have been</w:t>
      </w:r>
      <w:r w:rsidR="005014D0">
        <w:t xml:space="preserve"> helpful in some</w:t>
      </w:r>
      <w:r>
        <w:t xml:space="preserve"> respects</w:t>
      </w:r>
      <w:r w:rsidR="00155926">
        <w:t>,</w:t>
      </w:r>
      <w:r>
        <w:t xml:space="preserve"> </w:t>
      </w:r>
      <w:r w:rsidR="00EE73BB">
        <w:t>many aspect</w:t>
      </w:r>
      <w:r w:rsidR="000C100B">
        <w:t>s</w:t>
      </w:r>
      <w:r w:rsidR="00EE73BB">
        <w:t xml:space="preserve"> of the statute continue to generate </w:t>
      </w:r>
      <w:r w:rsidR="00B262DF">
        <w:t>legal as well as ethical</w:t>
      </w:r>
      <w:r w:rsidR="00712E59">
        <w:t xml:space="preserve"> uncertainty. </w:t>
      </w:r>
      <w:r w:rsidR="00155926">
        <w:t>S</w:t>
      </w:r>
      <w:r w:rsidR="008B5253">
        <w:t>ection 241.2(2)</w:t>
      </w:r>
      <w:r w:rsidR="00BB4549">
        <w:t xml:space="preserve"> </w:t>
      </w:r>
      <w:r w:rsidR="00155926" w:rsidRPr="00155926">
        <w:t>(c)</w:t>
      </w:r>
      <w:r w:rsidR="00155926">
        <w:t>, for example,</w:t>
      </w:r>
      <w:r w:rsidR="00155926" w:rsidRPr="00155926">
        <w:t xml:space="preserve"> makes the test of suffering a subjective one</w:t>
      </w:r>
      <w:r w:rsidR="00B262DF">
        <w:t>,</w:t>
      </w:r>
      <w:r w:rsidR="00155926" w:rsidRPr="00155926">
        <w:t xml:space="preserve"> </w:t>
      </w:r>
      <w:r w:rsidR="00024896">
        <w:lastRenderedPageBreak/>
        <w:t xml:space="preserve">one </w:t>
      </w:r>
      <w:r w:rsidR="00155926" w:rsidRPr="00155926">
        <w:t>of which the pa</w:t>
      </w:r>
      <w:r w:rsidR="00155926">
        <w:t>tient is the ultimate arbiter; however, a</w:t>
      </w:r>
      <w:r w:rsidR="00294A6B">
        <w:t xml:space="preserve"> </w:t>
      </w:r>
      <w:r w:rsidR="008360A8">
        <w:t xml:space="preserve">health care </w:t>
      </w:r>
      <w:r w:rsidR="00294A6B">
        <w:t>practitioner</w:t>
      </w:r>
      <w:r w:rsidR="00712E59">
        <w:t>, eve</w:t>
      </w:r>
      <w:r w:rsidR="00430DF0">
        <w:t xml:space="preserve">n one who is </w:t>
      </w:r>
      <w:r w:rsidR="00927A9C">
        <w:t xml:space="preserve">a </w:t>
      </w:r>
      <w:r w:rsidR="00430DF0">
        <w:t>r</w:t>
      </w:r>
      <w:r w:rsidR="00927A9C">
        <w:t>easonably experienced</w:t>
      </w:r>
      <w:r w:rsidR="00430DF0">
        <w:t xml:space="preserve"> </w:t>
      </w:r>
      <w:r w:rsidR="00C972BF">
        <w:t>MAID</w:t>
      </w:r>
      <w:r w:rsidR="00712E59">
        <w:t xml:space="preserve"> assessor or provider,</w:t>
      </w:r>
      <w:r w:rsidR="000C100B">
        <w:t xml:space="preserve"> </w:t>
      </w:r>
      <w:r w:rsidR="004F7316">
        <w:t xml:space="preserve">may find herself unsettled by a </w:t>
      </w:r>
      <w:r w:rsidR="00927A9C">
        <w:t>particular</w:t>
      </w:r>
      <w:r w:rsidR="008E33F7">
        <w:t xml:space="preserve"> </w:t>
      </w:r>
      <w:r w:rsidR="004F7316">
        <w:t xml:space="preserve">patient’s report of intolerable suffering and </w:t>
      </w:r>
      <w:r w:rsidR="00E3219A">
        <w:t>may conclude that amelioration would be possible</w:t>
      </w:r>
      <w:r w:rsidR="004F7316">
        <w:t xml:space="preserve"> </w:t>
      </w:r>
      <w:r w:rsidR="00E3219A">
        <w:t xml:space="preserve">if </w:t>
      </w:r>
      <w:r w:rsidR="00945BFB">
        <w:t xml:space="preserve">only </w:t>
      </w:r>
      <w:r w:rsidR="00E3219A">
        <w:t xml:space="preserve">his social or financial circumstances were more favourable. </w:t>
      </w:r>
      <w:r w:rsidR="00327322">
        <w:t>She may</w:t>
      </w:r>
      <w:r w:rsidR="0082295E">
        <w:t>, for example,</w:t>
      </w:r>
      <w:r w:rsidR="00327322">
        <w:t xml:space="preserve"> find it difficult to reconcile </w:t>
      </w:r>
      <w:r w:rsidR="002D71B7">
        <w:t xml:space="preserve">herself to </w:t>
      </w:r>
      <w:r w:rsidR="00327322">
        <w:t>the fact that a</w:t>
      </w:r>
      <w:r w:rsidR="00327322" w:rsidRPr="00327322">
        <w:t xml:space="preserve"> relatively isolated</w:t>
      </w:r>
      <w:r w:rsidR="00327322">
        <w:t xml:space="preserve"> long term care resident</w:t>
      </w:r>
      <w:r w:rsidR="00327322" w:rsidRPr="00327322">
        <w:t xml:space="preserve"> in an advanced stage of amyotrop</w:t>
      </w:r>
      <w:r w:rsidR="00327322">
        <w:t>hic lateral sclerosis (ALS) will</w:t>
      </w:r>
      <w:r w:rsidR="00327322" w:rsidRPr="00327322">
        <w:t xml:space="preserve"> </w:t>
      </w:r>
      <w:r w:rsidR="00327322">
        <w:t xml:space="preserve">almost certainly </w:t>
      </w:r>
      <w:r w:rsidR="00327322" w:rsidRPr="00327322">
        <w:t>experience far greater suffe</w:t>
      </w:r>
      <w:r w:rsidR="00327322">
        <w:t>ring than a celebrated</w:t>
      </w:r>
      <w:r w:rsidR="00327322" w:rsidRPr="00327322">
        <w:t xml:space="preserve"> cosmologist </w:t>
      </w:r>
      <w:r w:rsidR="00327322">
        <w:t>who shares his medical status</w:t>
      </w:r>
      <w:r w:rsidR="002D71B7">
        <w:t>,</w:t>
      </w:r>
      <w:r w:rsidR="00327322">
        <w:t xml:space="preserve"> but continues to be</w:t>
      </w:r>
      <w:r w:rsidR="00327322" w:rsidRPr="00327322">
        <w:t xml:space="preserve"> animated </w:t>
      </w:r>
      <w:r w:rsidR="00327322">
        <w:t xml:space="preserve">by </w:t>
      </w:r>
      <w:r w:rsidR="00833DF9">
        <w:t>conceptual conundrums</w:t>
      </w:r>
      <w:r w:rsidR="00327322">
        <w:t xml:space="preserve"> and </w:t>
      </w:r>
      <w:r w:rsidR="00AA3A52">
        <w:t xml:space="preserve">to be </w:t>
      </w:r>
      <w:r w:rsidR="002D71B7">
        <w:t>buoyed</w:t>
      </w:r>
      <w:r w:rsidR="00AA3A52">
        <w:t xml:space="preserve"> by </w:t>
      </w:r>
      <w:r w:rsidR="00327322" w:rsidRPr="00327322">
        <w:t>abundant human and technological</w:t>
      </w:r>
      <w:r w:rsidR="00AA3A52">
        <w:t xml:space="preserve"> resources</w:t>
      </w:r>
      <w:r w:rsidR="00327322" w:rsidRPr="00327322">
        <w:t>.</w:t>
      </w:r>
      <w:r w:rsidR="00731647">
        <w:t xml:space="preserve"> </w:t>
      </w:r>
      <w:r w:rsidR="00E14AEF">
        <w:t>The un</w:t>
      </w:r>
      <w:r w:rsidR="005B2BB5">
        <w:t>comfortable and unavoidable reality</w:t>
      </w:r>
      <w:r w:rsidR="00E14AEF">
        <w:t xml:space="preserve"> is that while health care providers understand that the practice of medicine consists in far more than ordering</w:t>
      </w:r>
      <w:r w:rsidR="005B2BB5">
        <w:t>,</w:t>
      </w:r>
      <w:r w:rsidR="00E14AEF">
        <w:t xml:space="preserve"> and responding to</w:t>
      </w:r>
      <w:r w:rsidR="005B2BB5">
        <w:t>,</w:t>
      </w:r>
      <w:r w:rsidR="00E14AEF">
        <w:t xml:space="preserve"> the results of nerve conduction tests or measure</w:t>
      </w:r>
      <w:r w:rsidR="00CC2545">
        <w:t>s of lung capacity, a significant number</w:t>
      </w:r>
      <w:r w:rsidR="00E14AEF">
        <w:t xml:space="preserve"> of them had not dwelt – prior to the</w:t>
      </w:r>
      <w:r w:rsidR="00E14AEF" w:rsidRPr="00C86EBB">
        <w:rPr>
          <w:i/>
        </w:rPr>
        <w:t xml:space="preserve"> Carter</w:t>
      </w:r>
      <w:r w:rsidR="00E14AEF">
        <w:t xml:space="preserve"> decision - </w:t>
      </w:r>
      <w:r w:rsidR="005B2BB5">
        <w:t>on how such results might translate into questions</w:t>
      </w:r>
      <w:r w:rsidR="00E14AEF">
        <w:t xml:space="preserve"> </w:t>
      </w:r>
      <w:r w:rsidR="005B2BB5">
        <w:t>regarding</w:t>
      </w:r>
      <w:r w:rsidR="00E14AEF">
        <w:t xml:space="preserve"> the quality of their patients’ lives</w:t>
      </w:r>
      <w:r w:rsidR="00EB001B">
        <w:t xml:space="preserve"> (or the nature and extent of their suffering)</w:t>
      </w:r>
      <w:r w:rsidR="00E14AEF">
        <w:t>. Although some patients’ requests for aid in dying may be understandable (given their current health status as well as their settled values, wishes</w:t>
      </w:r>
      <w:r w:rsidR="005B2BB5">
        <w:t>, and beliefs), their most responsible providers</w:t>
      </w:r>
      <w:r w:rsidR="00E14AEF">
        <w:t xml:space="preserve"> must now confront the normative dimensions of their work with a greater urgency than before.</w:t>
      </w:r>
    </w:p>
    <w:p w14:paraId="3D824797" w14:textId="37BDAC22" w:rsidR="008B5253" w:rsidRDefault="00E14AEF" w:rsidP="006E62A3">
      <w:pPr>
        <w:spacing w:line="480" w:lineRule="auto"/>
        <w:ind w:firstLine="720"/>
      </w:pPr>
      <w:r>
        <w:t>In a similar vein</w:t>
      </w:r>
      <w:r w:rsidR="00294A6B">
        <w:t>, although t</w:t>
      </w:r>
      <w:r w:rsidR="008E33F7">
        <w:t xml:space="preserve">he </w:t>
      </w:r>
      <w:r w:rsidR="00AA3A52">
        <w:t xml:space="preserve">section </w:t>
      </w:r>
      <w:r w:rsidR="008B5253">
        <w:t>241.2</w:t>
      </w:r>
      <w:r w:rsidR="00AA3A52">
        <w:t>(2)</w:t>
      </w:r>
      <w:r w:rsidR="0025799A">
        <w:t>(d) requirement that the patient’s natural death be “reasonably foreseeable”</w:t>
      </w:r>
      <w:r w:rsidR="00437C68">
        <w:t xml:space="preserve"> may</w:t>
      </w:r>
      <w:r w:rsidR="0025799A">
        <w:t xml:space="preserve"> help to rule out suicidal </w:t>
      </w:r>
      <w:r w:rsidR="0025799A">
        <w:lastRenderedPageBreak/>
        <w:t xml:space="preserve">ideation as a basis for eligibility, </w:t>
      </w:r>
      <w:r w:rsidR="002D71B7">
        <w:t xml:space="preserve">it too has </w:t>
      </w:r>
      <w:r w:rsidR="00E97D0C">
        <w:t>fostered</w:t>
      </w:r>
      <w:r w:rsidR="00B262DF">
        <w:t xml:space="preserve"> ambiguity and </w:t>
      </w:r>
      <w:r w:rsidR="00E97D0C">
        <w:t>generated</w:t>
      </w:r>
      <w:r w:rsidR="00B262DF">
        <w:t xml:space="preserve"> a measure of anxiety</w:t>
      </w:r>
      <w:r w:rsidR="002D71B7">
        <w:t xml:space="preserve"> </w:t>
      </w:r>
      <w:r w:rsidR="00B262DF">
        <w:t>with</w:t>
      </w:r>
      <w:r w:rsidR="002D71B7">
        <w:t xml:space="preserve">in the medical community. </w:t>
      </w:r>
      <w:r>
        <w:t>While some physicians</w:t>
      </w:r>
      <w:r w:rsidR="005B2BB5">
        <w:t xml:space="preserve"> or nurse practitioners</w:t>
      </w:r>
      <w:r>
        <w:t xml:space="preserve"> may be relatively</w:t>
      </w:r>
      <w:r w:rsidR="00155926">
        <w:t xml:space="preserve"> comfortable providing </w:t>
      </w:r>
      <w:r w:rsidR="00C972BF">
        <w:t>MAID</w:t>
      </w:r>
      <w:r w:rsidR="00155926">
        <w:t xml:space="preserve"> </w:t>
      </w:r>
      <w:r w:rsidR="008B5253">
        <w:t>to a requester</w:t>
      </w:r>
      <w:r w:rsidR="004070C4">
        <w:t xml:space="preserve"> with a fairly certain</w:t>
      </w:r>
      <w:r w:rsidR="00155926">
        <w:t xml:space="preserve"> and short prognosis, such as a</w:t>
      </w:r>
      <w:r w:rsidR="004070C4">
        <w:t xml:space="preserve"> </w:t>
      </w:r>
      <w:r w:rsidR="00155926">
        <w:t xml:space="preserve">patient </w:t>
      </w:r>
      <w:r w:rsidR="004070C4">
        <w:t xml:space="preserve">with metastatic cancer who is </w:t>
      </w:r>
      <w:r w:rsidR="00155926">
        <w:t xml:space="preserve">expected to survive only six months to a year, </w:t>
      </w:r>
      <w:r w:rsidR="00294A6B">
        <w:t xml:space="preserve">these are not the only patients </w:t>
      </w:r>
      <w:r w:rsidR="00505932">
        <w:t xml:space="preserve">who have the right to have those </w:t>
      </w:r>
      <w:r w:rsidR="00294A6B">
        <w:t>requests</w:t>
      </w:r>
      <w:r w:rsidR="00505932">
        <w:t xml:space="preserve"> fulfilled</w:t>
      </w:r>
      <w:r w:rsidR="00294A6B">
        <w:t>.</w:t>
      </w:r>
      <w:r w:rsidR="00C2005C">
        <w:rPr>
          <w:rStyle w:val="FootnoteReference"/>
        </w:rPr>
        <w:footnoteReference w:id="165"/>
      </w:r>
      <w:r w:rsidR="00294A6B">
        <w:t xml:space="preserve"> I</w:t>
      </w:r>
      <w:r w:rsidR="00A91FF9">
        <w:t>n</w:t>
      </w:r>
      <w:r w:rsidR="00C2005C">
        <w:t>deed, in</w:t>
      </w:r>
      <w:r w:rsidR="00A91FF9">
        <w:t xml:space="preserve"> </w:t>
      </w:r>
      <w:r w:rsidR="00A91FF9" w:rsidRPr="00A91FF9">
        <w:t>June of 2017</w:t>
      </w:r>
      <w:r w:rsidR="00024896">
        <w:t>, the</w:t>
      </w:r>
      <w:r w:rsidR="00A91FF9" w:rsidRPr="00A91FF9">
        <w:t xml:space="preserve"> </w:t>
      </w:r>
      <w:r w:rsidR="00155926">
        <w:t>Ontario Superior Court</w:t>
      </w:r>
      <w:r w:rsidR="00437C68">
        <w:t xml:space="preserve"> </w:t>
      </w:r>
      <w:r w:rsidR="008B5253">
        <w:t>of Justice clarified</w:t>
      </w:r>
      <w:r w:rsidR="00155926">
        <w:t xml:space="preserve"> that</w:t>
      </w:r>
      <w:r w:rsidR="00437C68">
        <w:t xml:space="preserve"> </w:t>
      </w:r>
      <w:r w:rsidR="006E62A3">
        <w:t xml:space="preserve">the legislation </w:t>
      </w:r>
      <w:r w:rsidR="00294A6B">
        <w:t>does not</w:t>
      </w:r>
      <w:r w:rsidR="00024896">
        <w:t>, and cannot,</w:t>
      </w:r>
      <w:r w:rsidR="00294A6B">
        <w:t xml:space="preserve"> offer the</w:t>
      </w:r>
      <w:r w:rsidR="006E62A3">
        <w:t xml:space="preserve"> sort of </w:t>
      </w:r>
      <w:r w:rsidR="006E62A3" w:rsidRPr="006E62A3">
        <w:t>specificity</w:t>
      </w:r>
      <w:r w:rsidR="00294A6B">
        <w:t xml:space="preserve"> </w:t>
      </w:r>
      <w:r w:rsidR="00C2005C">
        <w:t xml:space="preserve">that would make interpretation of the reasonable foreseeability criterion </w:t>
      </w:r>
      <w:r w:rsidR="008360A8">
        <w:t xml:space="preserve">entirely </w:t>
      </w:r>
      <w:r w:rsidR="00C2005C">
        <w:t>straightforward</w:t>
      </w:r>
      <w:r w:rsidR="008B5253">
        <w:t xml:space="preserve">. In </w:t>
      </w:r>
      <w:r w:rsidR="00A91FF9">
        <w:t xml:space="preserve">denying </w:t>
      </w:r>
      <w:r w:rsidR="00B724F4">
        <w:t xml:space="preserve">a patient’s </w:t>
      </w:r>
      <w:r w:rsidR="00A91FF9">
        <w:t xml:space="preserve">(A.B.’s) </w:t>
      </w:r>
      <w:r w:rsidR="00B724F4">
        <w:t xml:space="preserve">request that the court issue a declaration finding her eligible for </w:t>
      </w:r>
      <w:r w:rsidR="00C972BF">
        <w:t>MAID</w:t>
      </w:r>
      <w:r w:rsidR="00A91FF9">
        <w:t>,</w:t>
      </w:r>
      <w:r w:rsidR="00B724F4">
        <w:t xml:space="preserve"> </w:t>
      </w:r>
      <w:r w:rsidR="008B5253">
        <w:t>Justice Perell</w:t>
      </w:r>
      <w:r w:rsidR="00B724F4">
        <w:t xml:space="preserve"> offered the following statutory interpretation</w:t>
      </w:r>
      <w:r w:rsidR="008B5253">
        <w:t>:</w:t>
      </w:r>
    </w:p>
    <w:p w14:paraId="4A013CA1" w14:textId="77777777" w:rsidR="00A91FF9" w:rsidRDefault="008B5253" w:rsidP="00D763BD">
      <w:pPr>
        <w:ind w:left="720"/>
      </w:pPr>
      <w:r>
        <w:t xml:space="preserve">… </w:t>
      </w:r>
      <w:r w:rsidRPr="008B5253">
        <w:t>natural death need not be imminent and that what is a reasonably foreseeable death is a person-specific medical question to be made without necessarily making, but not necessarily precluding, a prognosis of the remaining lifespan… [I]n formulating an opinion, the physician need not opine about the specific length of time that the person requesting medical assistance in dying has remaining in his or her lifetime</w:t>
      </w:r>
      <w:r w:rsidR="00E97D0C">
        <w:t>…These are matters at the core if not the whole corpus of medical knowledge and better known to doctors than to judges. The language reveals that the natural death need not be connected to a particular disease or condition and rather is connected to all of a particular person’s medical circumstances.</w:t>
      </w:r>
      <w:r>
        <w:rPr>
          <w:rStyle w:val="FootnoteReference"/>
        </w:rPr>
        <w:footnoteReference w:id="166"/>
      </w:r>
      <w:r>
        <w:t xml:space="preserve"> </w:t>
      </w:r>
    </w:p>
    <w:p w14:paraId="3BCEA2DD" w14:textId="77777777" w:rsidR="007E1AA9" w:rsidRDefault="00D763BD" w:rsidP="00B724F4">
      <w:pPr>
        <w:spacing w:line="480" w:lineRule="auto"/>
      </w:pPr>
      <w:r>
        <w:lastRenderedPageBreak/>
        <w:tab/>
      </w:r>
      <w:r w:rsidR="00024896">
        <w:t xml:space="preserve">In short, while the justice acknowledged the messiness that </w:t>
      </w:r>
      <w:r w:rsidR="00BA63BB">
        <w:t>can be an unavoidable</w:t>
      </w:r>
      <w:r w:rsidR="007E1AA9">
        <w:t xml:space="preserve"> aspect</w:t>
      </w:r>
      <w:r w:rsidR="00024896">
        <w:t xml:space="preserve"> of medical </w:t>
      </w:r>
      <w:r w:rsidR="00274DD4">
        <w:t>assessment, he was unequivocal in his judgment</w:t>
      </w:r>
      <w:r w:rsidR="007E1AA9">
        <w:t xml:space="preserve"> that </w:t>
      </w:r>
      <w:r w:rsidR="00C57D67">
        <w:t xml:space="preserve">resolving this untidiness </w:t>
      </w:r>
      <w:r w:rsidR="007E1AA9">
        <w:t>was not the province of the law.</w:t>
      </w:r>
      <w:r w:rsidR="00024896">
        <w:t xml:space="preserve"> </w:t>
      </w:r>
      <w:r w:rsidR="00273C71">
        <w:t xml:space="preserve">In </w:t>
      </w:r>
      <w:r w:rsidR="004B74E4">
        <w:t>support</w:t>
      </w:r>
      <w:r w:rsidR="00273C71">
        <w:t xml:space="preserve"> of his </w:t>
      </w:r>
      <w:r w:rsidR="00274DD4">
        <w:t>view</w:t>
      </w:r>
      <w:r w:rsidR="004B74E4">
        <w:t>,</w:t>
      </w:r>
      <w:r w:rsidR="00273C71">
        <w:t xml:space="preserve"> Justice Perell </w:t>
      </w:r>
      <w:r w:rsidR="00274DD4">
        <w:t>cited</w:t>
      </w:r>
      <w:r w:rsidR="00273C71">
        <w:t xml:space="preserve"> the </w:t>
      </w:r>
      <w:r w:rsidR="00CF7682">
        <w:t xml:space="preserve">words </w:t>
      </w:r>
      <w:r w:rsidR="00273C71">
        <w:t>of J</w:t>
      </w:r>
      <w:r w:rsidR="00DC6ED4">
        <w:t>ody Wilson-</w:t>
      </w:r>
      <w:r w:rsidR="00273C71">
        <w:t>Raybould, the</w:t>
      </w:r>
      <w:r w:rsidR="00C57D67">
        <w:t>n</w:t>
      </w:r>
      <w:r w:rsidR="00273C71">
        <w:t xml:space="preserve"> </w:t>
      </w:r>
      <w:r w:rsidR="00945BFB">
        <w:t>Canada’s</w:t>
      </w:r>
      <w:r w:rsidR="00C57D67">
        <w:t xml:space="preserve"> </w:t>
      </w:r>
      <w:r w:rsidR="00273C71">
        <w:t>Minister of Justice and Attorney General, who stated at the time of Bill C-14’s introduction that its “flexible” language was “deliberately chosen to ensure that people who are on a trajectory toward death in a wide range of circumstances can choose a peaceful death instead of having to endure a long or painful one</w:t>
      </w:r>
      <w:r w:rsidR="004B74E4">
        <w:t>.</w:t>
      </w:r>
      <w:r w:rsidR="00CF7682">
        <w:t xml:space="preserve">” Wilson-Raybould continued with the observation </w:t>
      </w:r>
      <w:r w:rsidR="002E15C4">
        <w:t>that, “[i]</w:t>
      </w:r>
      <w:r w:rsidR="00273C71">
        <w:t xml:space="preserve">t </w:t>
      </w:r>
      <w:r w:rsidR="004B74E4">
        <w:t xml:space="preserve">makes sense to limit medical assistance in dying to situations where death is reasonably foreseeable, where our physicians, nurse practitioners, and others, can draw on existing </w:t>
      </w:r>
      <w:r w:rsidR="004B74E4" w:rsidRPr="00480813">
        <w:rPr>
          <w:i/>
        </w:rPr>
        <w:t xml:space="preserve">ethical </w:t>
      </w:r>
      <w:r w:rsidR="004B74E4">
        <w:t xml:space="preserve">and practical knowledge, training and expertise in addressing </w:t>
      </w:r>
      <w:r w:rsidR="00480813">
        <w:t>these challenging circumstances</w:t>
      </w:r>
      <w:r w:rsidR="004B74E4">
        <w:t>”</w:t>
      </w:r>
      <w:r w:rsidR="00324C20">
        <w:t xml:space="preserve"> </w:t>
      </w:r>
      <w:r w:rsidR="00480813">
        <w:t>[emphasis mine].</w:t>
      </w:r>
      <w:r w:rsidR="004B74E4">
        <w:rPr>
          <w:rStyle w:val="FootnoteReference"/>
        </w:rPr>
        <w:footnoteReference w:id="167"/>
      </w:r>
    </w:p>
    <w:p w14:paraId="014ABF8C" w14:textId="63637A10" w:rsidR="00A57013" w:rsidRDefault="00D763BD" w:rsidP="007E1AA9">
      <w:pPr>
        <w:spacing w:line="480" w:lineRule="auto"/>
        <w:ind w:firstLine="720"/>
      </w:pPr>
      <w:r>
        <w:t>Hea</w:t>
      </w:r>
      <w:r w:rsidR="00945BFB">
        <w:t>lth care professionals</w:t>
      </w:r>
      <w:r>
        <w:t xml:space="preserve"> </w:t>
      </w:r>
      <w:r w:rsidR="00945BFB">
        <w:t xml:space="preserve">generally </w:t>
      </w:r>
      <w:r>
        <w:t xml:space="preserve">accept </w:t>
      </w:r>
      <w:r w:rsidR="00E82C7F">
        <w:t xml:space="preserve">the reality </w:t>
      </w:r>
      <w:r>
        <w:t xml:space="preserve">that </w:t>
      </w:r>
      <w:r w:rsidR="002D654F">
        <w:t xml:space="preserve">their </w:t>
      </w:r>
      <w:r>
        <w:t xml:space="preserve">patients experience suffering in a variety of ways and </w:t>
      </w:r>
      <w:r w:rsidR="002A5DE3">
        <w:t xml:space="preserve">they </w:t>
      </w:r>
      <w:r>
        <w:t xml:space="preserve">are familiar </w:t>
      </w:r>
      <w:r w:rsidR="005C60F2">
        <w:t xml:space="preserve">with </w:t>
      </w:r>
      <w:r w:rsidRPr="00D763BD">
        <w:t>progn</w:t>
      </w:r>
      <w:r>
        <w:t>ostic uncertainty, especially when dealing with illness, disease, or</w:t>
      </w:r>
      <w:r w:rsidR="00DC6ED4">
        <w:t xml:space="preserve"> disability that is chronic and tough</w:t>
      </w:r>
      <w:r>
        <w:t xml:space="preserve"> to manage. </w:t>
      </w:r>
      <w:r w:rsidR="00C972BF">
        <w:t>MAID</w:t>
      </w:r>
      <w:r w:rsidR="002D654F">
        <w:t xml:space="preserve"> cases</w:t>
      </w:r>
      <w:r>
        <w:t>, however, can s</w:t>
      </w:r>
      <w:r w:rsidR="00DC6ED4">
        <w:t xml:space="preserve">eem especially fraught </w:t>
      </w:r>
      <w:r w:rsidR="002D654F">
        <w:t xml:space="preserve">because </w:t>
      </w:r>
      <w:r>
        <w:t>t</w:t>
      </w:r>
      <w:r w:rsidR="002D654F">
        <w:t>hey represent</w:t>
      </w:r>
      <w:r>
        <w:t xml:space="preserve"> the end of a relationship between </w:t>
      </w:r>
      <w:r w:rsidR="001C6D32">
        <w:t xml:space="preserve">patient and provider (a trial of therapy is </w:t>
      </w:r>
      <w:r w:rsidR="00BA63BB">
        <w:t>an alternative to assistance in dying</w:t>
      </w:r>
      <w:r w:rsidR="00706A79">
        <w:t>,</w:t>
      </w:r>
      <w:r w:rsidR="00BA63BB">
        <w:t xml:space="preserve"> </w:t>
      </w:r>
      <w:r w:rsidR="007B4499">
        <w:t xml:space="preserve">not what </w:t>
      </w:r>
      <w:r w:rsidR="00C972BF">
        <w:t>MAID</w:t>
      </w:r>
      <w:r w:rsidR="007B4499">
        <w:t xml:space="preserve"> itself offers</w:t>
      </w:r>
      <w:r w:rsidR="001C6D32">
        <w:t>)</w:t>
      </w:r>
      <w:r w:rsidR="00B34C0E">
        <w:t>,</w:t>
      </w:r>
      <w:r w:rsidR="002D654F">
        <w:t xml:space="preserve"> and because </w:t>
      </w:r>
      <w:r w:rsidR="001C6D32">
        <w:t>t</w:t>
      </w:r>
      <w:r w:rsidR="002D654F">
        <w:t>hey</w:t>
      </w:r>
      <w:r w:rsidR="001C6D32">
        <w:t xml:space="preserve"> fo</w:t>
      </w:r>
      <w:r w:rsidR="002D654F">
        <w:t>rce</w:t>
      </w:r>
      <w:r w:rsidR="00CF7682">
        <w:t xml:space="preserve"> reflection on the </w:t>
      </w:r>
      <w:r w:rsidR="00480813">
        <w:t>purpose</w:t>
      </w:r>
      <w:r w:rsidR="007F603F">
        <w:t>, or purposes,</w:t>
      </w:r>
      <w:r w:rsidR="001C6D32">
        <w:t xml:space="preserve"> of the </w:t>
      </w:r>
      <w:r w:rsidR="001C6D32">
        <w:lastRenderedPageBreak/>
        <w:t>practice of medicine</w:t>
      </w:r>
      <w:r w:rsidR="00CF7682">
        <w:t xml:space="preserve"> itself</w:t>
      </w:r>
      <w:r w:rsidR="001C6D32">
        <w:t>.</w:t>
      </w:r>
      <w:r w:rsidR="00DE71A4">
        <w:rPr>
          <w:rStyle w:val="FootnoteReference"/>
        </w:rPr>
        <w:footnoteReference w:id="168"/>
      </w:r>
      <w:r w:rsidR="001C6D32">
        <w:t xml:space="preserve"> This may explain</w:t>
      </w:r>
      <w:r w:rsidR="002A5DE3">
        <w:t>, at least in part,</w:t>
      </w:r>
      <w:r w:rsidR="007F603F">
        <w:t xml:space="preserve"> why palliative care physicians</w:t>
      </w:r>
      <w:r w:rsidR="002D654F">
        <w:t>, the</w:t>
      </w:r>
      <w:r w:rsidR="001C6D32">
        <w:t xml:space="preserve"> group that some members of the public believed would be the </w:t>
      </w:r>
      <w:r w:rsidR="00196001">
        <w:t>best equipped to respond to requests to hasten death, ha</w:t>
      </w:r>
      <w:r w:rsidR="00945BFB">
        <w:t>s been one of the most reluctant</w:t>
      </w:r>
      <w:r w:rsidR="00196001">
        <w:t xml:space="preserve"> to embrace this new role.</w:t>
      </w:r>
      <w:r w:rsidR="00C60B5F">
        <w:rPr>
          <w:rStyle w:val="FootnoteReference"/>
        </w:rPr>
        <w:footnoteReference w:id="169"/>
      </w:r>
      <w:r w:rsidR="001C6D32">
        <w:t xml:space="preserve"> </w:t>
      </w:r>
      <w:r w:rsidR="00F71194">
        <w:t>P</w:t>
      </w:r>
      <w:r w:rsidR="00B34C0E">
        <w:t xml:space="preserve">alliative care </w:t>
      </w:r>
      <w:r w:rsidR="007F603F">
        <w:t>specialists have worked</w:t>
      </w:r>
      <w:r w:rsidR="00F71194">
        <w:t xml:space="preserve"> hard to promote the view that their focus is on pain and symptom relief</w:t>
      </w:r>
      <w:r w:rsidR="006A7C52">
        <w:t>,</w:t>
      </w:r>
      <w:r w:rsidR="00F71194">
        <w:t xml:space="preserve"> and the suggestion that </w:t>
      </w:r>
      <w:r w:rsidR="002E15C4">
        <w:t xml:space="preserve">some </w:t>
      </w:r>
      <w:r w:rsidR="00F71194">
        <w:t>suffering cannot adequately be addressed by means oth</w:t>
      </w:r>
      <w:r w:rsidR="006A7C52">
        <w:t xml:space="preserve">er than the provision of death </w:t>
      </w:r>
      <w:r w:rsidR="00F71194">
        <w:t xml:space="preserve">can be difficult to accept. Some palliative care providers </w:t>
      </w:r>
      <w:r w:rsidR="008C2CBF">
        <w:t xml:space="preserve">have </w:t>
      </w:r>
      <w:r w:rsidR="00F71194">
        <w:t>made their process</w:t>
      </w:r>
      <w:r w:rsidR="005C60F2">
        <w:t>es</w:t>
      </w:r>
      <w:r w:rsidR="00F71194">
        <w:t xml:space="preserve"> of discernment public</w:t>
      </w:r>
      <w:r w:rsidR="002D654F">
        <w:t>,</w:t>
      </w:r>
      <w:r w:rsidR="00F71194">
        <w:t xml:space="preserve"> and a significant shift in thinking has occurred in th</w:t>
      </w:r>
      <w:r w:rsidR="007F603F">
        <w:t xml:space="preserve">e past few years, but </w:t>
      </w:r>
      <w:r w:rsidR="00B83D6C">
        <w:t xml:space="preserve">it must be noted </w:t>
      </w:r>
      <w:r w:rsidR="007F603F">
        <w:t xml:space="preserve">that </w:t>
      </w:r>
      <w:r w:rsidR="00B83D6C">
        <w:t xml:space="preserve">this </w:t>
      </w:r>
      <w:r w:rsidR="007F603F">
        <w:t>movement</w:t>
      </w:r>
      <w:r w:rsidR="00F71194">
        <w:t xml:space="preserve"> has not solely</w:t>
      </w:r>
      <w:r w:rsidR="00551AFD">
        <w:t>, or primarily,</w:t>
      </w:r>
      <w:r w:rsidR="00F71194">
        <w:t xml:space="preserve"> been the result of increase</w:t>
      </w:r>
      <w:r w:rsidR="008C2CBF">
        <w:t>d</w:t>
      </w:r>
      <w:r w:rsidR="00F71194">
        <w:t xml:space="preserve"> clarity about the legal consequences, or lack </w:t>
      </w:r>
      <w:r w:rsidR="008C2CBF">
        <w:t>thereof, which might issue from a misconstrual of statutory law.</w:t>
      </w:r>
      <w:r w:rsidR="009D5BE3">
        <w:rPr>
          <w:rStyle w:val="FootnoteReference"/>
        </w:rPr>
        <w:footnoteReference w:id="170"/>
      </w:r>
      <w:r w:rsidR="008C2CBF">
        <w:t xml:space="preserve"> The Canadian Medical Protective Association</w:t>
      </w:r>
      <w:r w:rsidR="00A42C0B">
        <w:t xml:space="preserve"> (CMPA)</w:t>
      </w:r>
      <w:r w:rsidR="002424BE">
        <w:t xml:space="preserve">, </w:t>
      </w:r>
      <w:r w:rsidR="00DF7FF8">
        <w:t xml:space="preserve">which </w:t>
      </w:r>
      <w:r w:rsidR="00DF7FF8">
        <w:lastRenderedPageBreak/>
        <w:t>makes medico-legal services available to all physicians licenced in Canada</w:t>
      </w:r>
      <w:r w:rsidR="002424BE">
        <w:t>,</w:t>
      </w:r>
      <w:r w:rsidR="00DF7FF8">
        <w:t xml:space="preserve"> </w:t>
      </w:r>
      <w:r w:rsidR="00E82C7F">
        <w:t>does</w:t>
      </w:r>
      <w:r w:rsidR="008C2CBF">
        <w:t xml:space="preserve"> offer advice about</w:t>
      </w:r>
      <w:r w:rsidR="002E15C4">
        <w:t xml:space="preserve"> </w:t>
      </w:r>
      <w:r w:rsidR="00DF7FF8">
        <w:t>practitioners</w:t>
      </w:r>
      <w:r w:rsidR="002E15C4">
        <w:t>’</w:t>
      </w:r>
      <w:r w:rsidR="008C2CBF">
        <w:t xml:space="preserve"> </w:t>
      </w:r>
      <w:r w:rsidR="00A42C0B">
        <w:t xml:space="preserve">legal </w:t>
      </w:r>
      <w:r w:rsidR="008932C0">
        <w:t>exposure with respect to</w:t>
      </w:r>
      <w:r w:rsidR="002E15C4">
        <w:t xml:space="preserve"> </w:t>
      </w:r>
      <w:r w:rsidR="008C2CBF">
        <w:t xml:space="preserve">particular </w:t>
      </w:r>
      <w:r w:rsidR="002E15C4">
        <w:t>circumstances</w:t>
      </w:r>
      <w:r w:rsidR="008C2CBF">
        <w:t>, and that advice can be a comfort</w:t>
      </w:r>
      <w:r w:rsidR="00A42C0B">
        <w:t xml:space="preserve"> in borderline cases, but</w:t>
      </w:r>
      <w:r w:rsidR="00AA4DDC">
        <w:t>,</w:t>
      </w:r>
      <w:r w:rsidR="00042A00">
        <w:t xml:space="preserve"> as many PHEs</w:t>
      </w:r>
      <w:r w:rsidR="00A42C0B">
        <w:t xml:space="preserve"> will attest</w:t>
      </w:r>
      <w:r w:rsidR="00AA4DDC">
        <w:t>,</w:t>
      </w:r>
      <w:r w:rsidR="00A42C0B">
        <w:t xml:space="preserve"> </w:t>
      </w:r>
      <w:r w:rsidR="00C972BF">
        <w:t>MAID</w:t>
      </w:r>
      <w:r w:rsidR="008C2CBF">
        <w:t xml:space="preserve"> providers</w:t>
      </w:r>
      <w:r w:rsidR="00A42C0B">
        <w:t xml:space="preserve"> </w:t>
      </w:r>
      <w:r w:rsidR="00E82C7F">
        <w:t>frequently desire</w:t>
      </w:r>
      <w:r w:rsidR="00A42C0B">
        <w:t xml:space="preserve"> </w:t>
      </w:r>
      <w:r w:rsidR="008C2CBF">
        <w:t>counsel of a different kind.</w:t>
      </w:r>
      <w:r w:rsidR="00AA4DDC">
        <w:t xml:space="preserve"> Dr Sandy Buchman, a palliative care physician and the current president of the Canadian Medical Association, has been remarkably forthright about </w:t>
      </w:r>
      <w:r w:rsidR="00A57013">
        <w:t xml:space="preserve">his struggle to </w:t>
      </w:r>
      <w:r w:rsidR="002A5DE3">
        <w:t>re-examine</w:t>
      </w:r>
      <w:r w:rsidR="00AA4DDC">
        <w:t xml:space="preserve"> his professional duties </w:t>
      </w:r>
      <w:r w:rsidR="00A57013">
        <w:t>in light of the legalization of medical assistance in dying</w:t>
      </w:r>
      <w:r w:rsidR="00BF21F9">
        <w:t xml:space="preserve">. His remarks on the progression </w:t>
      </w:r>
      <w:r w:rsidR="008A6840">
        <w:t>of his thoughts on the topic are worth reproducing a</w:t>
      </w:r>
      <w:r w:rsidR="002E15C4">
        <w:t>t</w:t>
      </w:r>
      <w:r w:rsidR="008A6840">
        <w:t xml:space="preserve"> length</w:t>
      </w:r>
      <w:r w:rsidR="00A57013">
        <w:t>:</w:t>
      </w:r>
    </w:p>
    <w:p w14:paraId="2BA3075F" w14:textId="77777777" w:rsidR="00E82C7F" w:rsidRDefault="00E82C7F" w:rsidP="00E82C7F">
      <w:pPr>
        <w:ind w:left="720"/>
      </w:pPr>
      <w:r>
        <w:t xml:space="preserve">MAID’s complexities pose ethical challenges for the profession and for individual physicians. I began deep personal reflection. What are the goals and values of medicine? Can hastening death be an ethical and legitimate goal? What is the nature of suffering? What is the role of the physician in relieving suffering? What does it mean to respect patient autonomy? </w:t>
      </w:r>
    </w:p>
    <w:p w14:paraId="285E931E" w14:textId="77777777" w:rsidR="00E82C7F" w:rsidRDefault="00E82C7F" w:rsidP="00E82C7F">
      <w:pPr>
        <w:ind w:left="720"/>
      </w:pPr>
      <w:r>
        <w:t xml:space="preserve">  </w:t>
      </w:r>
    </w:p>
    <w:p w14:paraId="4F3EAF71" w14:textId="77777777" w:rsidR="008A6840" w:rsidRDefault="00E82C7F" w:rsidP="00E82C7F">
      <w:pPr>
        <w:ind w:left="720"/>
      </w:pPr>
      <w:r>
        <w:t xml:space="preserve">I continue to reflect on these questions. I make the choice to provide assisted death to my patients because I believe that it is </w:t>
      </w:r>
      <w:r w:rsidR="008A6840">
        <w:t xml:space="preserve">a </w:t>
      </w:r>
      <w:r>
        <w:t xml:space="preserve">compassionate response that </w:t>
      </w:r>
      <w:r w:rsidR="008A6840">
        <w:t xml:space="preserve">fully </w:t>
      </w:r>
      <w:r>
        <w:t>respects patient autonomy.</w:t>
      </w:r>
    </w:p>
    <w:p w14:paraId="32DD5376" w14:textId="77777777" w:rsidR="008A6840" w:rsidRDefault="008A6840" w:rsidP="00E82C7F">
      <w:pPr>
        <w:ind w:left="720"/>
      </w:pPr>
    </w:p>
    <w:p w14:paraId="6FD7AA16" w14:textId="77777777" w:rsidR="008A6840" w:rsidRDefault="008A6840" w:rsidP="008A6840">
      <w:pPr>
        <w:ind w:left="720"/>
      </w:pPr>
      <w:r>
        <w:t>It was not an easy decision. I had been a family physician for more than 35 years, and a palliative care physician for the past 11 years, before MAID became legal. My education and beliefs had led me to seek to extend life whenever possible and appropriate, and certainly not to hasten a patient’s death.</w:t>
      </w:r>
    </w:p>
    <w:p w14:paraId="3FA4EE20" w14:textId="77777777" w:rsidR="008A6840" w:rsidRDefault="008A6840" w:rsidP="008A6840">
      <w:pPr>
        <w:ind w:left="720"/>
      </w:pPr>
    </w:p>
    <w:p w14:paraId="35501D43" w14:textId="77777777" w:rsidR="00042A00" w:rsidRDefault="008A6840" w:rsidP="008A6840">
      <w:pPr>
        <w:ind w:left="720"/>
      </w:pPr>
      <w:r>
        <w:t>This was anathema to me. It took me the better part of two years to sort through my deepest emotions, my values, and the tenets of my faith to decide that I would help my patients die. Ultimately, helping eligible patients who wanted choice over the manner and timing of their deaths is consistent with what I have always done: relieve suffering.</w:t>
      </w:r>
      <w:r w:rsidR="000F2181">
        <w:rPr>
          <w:rStyle w:val="FootnoteReference"/>
        </w:rPr>
        <w:footnoteReference w:id="171"/>
      </w:r>
      <w:r w:rsidR="00D87696">
        <w:t xml:space="preserve"> </w:t>
      </w:r>
    </w:p>
    <w:p w14:paraId="5D7F72CC" w14:textId="77777777" w:rsidR="00042A00" w:rsidRDefault="00D87696" w:rsidP="00042A00">
      <w:r>
        <w:t xml:space="preserve">   </w:t>
      </w:r>
      <w:r w:rsidR="00A57013">
        <w:t xml:space="preserve">  </w:t>
      </w:r>
    </w:p>
    <w:p w14:paraId="7D63E5AE" w14:textId="77777777" w:rsidR="00E56051" w:rsidRDefault="00C47560" w:rsidP="00042A00">
      <w:pPr>
        <w:spacing w:line="480" w:lineRule="auto"/>
        <w:ind w:firstLine="720"/>
      </w:pPr>
      <w:r>
        <w:lastRenderedPageBreak/>
        <w:t>Although</w:t>
      </w:r>
      <w:r w:rsidR="00042A00">
        <w:t xml:space="preserve"> Buchman’s openness may be unusual, his preoccupations are not</w:t>
      </w:r>
      <w:r w:rsidR="002A5DE3">
        <w:t>, and while many</w:t>
      </w:r>
      <w:r w:rsidR="005549D7">
        <w:t xml:space="preserve"> members of the Canadian public may approve of his perspective, a significant percentage of physicians </w:t>
      </w:r>
      <w:r w:rsidR="00BF21F9">
        <w:t xml:space="preserve">are </w:t>
      </w:r>
      <w:r w:rsidR="008B4572">
        <w:t>oppose</w:t>
      </w:r>
      <w:r w:rsidR="00BF21F9">
        <w:t>d to</w:t>
      </w:r>
      <w:r w:rsidR="008B4572">
        <w:t xml:space="preserve"> his poi</w:t>
      </w:r>
      <w:r w:rsidR="00551AFD">
        <w:t>nt of view. Indeed, the reaction</w:t>
      </w:r>
      <w:r w:rsidR="000D1D80">
        <w:t xml:space="preserve">s to his commentary, </w:t>
      </w:r>
      <w:r w:rsidR="008B4572">
        <w:t xml:space="preserve">which appeared in a recent issue of the </w:t>
      </w:r>
      <w:r w:rsidR="008B4572" w:rsidRPr="00316512">
        <w:rPr>
          <w:i/>
        </w:rPr>
        <w:t>British Medical Journal</w:t>
      </w:r>
      <w:r w:rsidR="000D1D80">
        <w:t>,</w:t>
      </w:r>
      <w:r w:rsidR="008B4572">
        <w:t xml:space="preserve"> were swift and polarised</w:t>
      </w:r>
      <w:r w:rsidR="005549D7">
        <w:t>.</w:t>
      </w:r>
      <w:r w:rsidR="008B4572">
        <w:t xml:space="preserve"> </w:t>
      </w:r>
      <w:r w:rsidR="00052932">
        <w:t>A letter authored</w:t>
      </w:r>
      <w:r w:rsidR="00E56051">
        <w:t xml:space="preserve"> by seven of his Canadian colleagues </w:t>
      </w:r>
      <w:r w:rsidR="00551AFD">
        <w:t>enumerates concerns that will sound</w:t>
      </w:r>
      <w:r w:rsidR="00E56051">
        <w:t xml:space="preserve"> familiar to those who have been following the </w:t>
      </w:r>
      <w:r w:rsidR="00C972BF">
        <w:t>MAID</w:t>
      </w:r>
      <w:r w:rsidR="00E56051">
        <w:t xml:space="preserve"> debate:</w:t>
      </w:r>
    </w:p>
    <w:p w14:paraId="7C6F41CA" w14:textId="77777777" w:rsidR="00316512" w:rsidRDefault="00E56051" w:rsidP="00E56051">
      <w:pPr>
        <w:ind w:left="720"/>
      </w:pPr>
      <w:r w:rsidRPr="00E56051">
        <w:t>Dr. Buchman romanticizes euthanasia. He calls it “the most patient-centered service I could offer,” leading to “the most peaceful death I had ever witnessed.” Peer reviewed, published evidence demonstrates that most requests for euthanasia are motivated by a desire for control, or a fear of dying, not by uncontrolled symptoms such</w:t>
      </w:r>
      <w:r>
        <w:t xml:space="preserve"> as pain or shortness of breath….</w:t>
      </w:r>
      <w:r w:rsidRPr="00E56051">
        <w:t>These existential issues include fear of loss of control, questioning the meaning, purpose and value of life, fear of what comes after death, demoralization, and fear of being a burden to others</w:t>
      </w:r>
      <w:r>
        <w:t>…. [H]</w:t>
      </w:r>
      <w:r w:rsidRPr="00E56051">
        <w:t>astening the death of a patient removes any further therapeutic opportunities. Simply bowing to “patient autonomy” and ending a life without working hard to alleviate the deeper total pain is hardly “patient centered” in the most robust sense of that term.</w:t>
      </w:r>
    </w:p>
    <w:p w14:paraId="533BCCB5" w14:textId="77777777" w:rsidR="00316512" w:rsidRDefault="00316512" w:rsidP="00E56051">
      <w:pPr>
        <w:ind w:left="720"/>
      </w:pPr>
    </w:p>
    <w:p w14:paraId="38290C01" w14:textId="77777777" w:rsidR="00E56051" w:rsidRDefault="00316512" w:rsidP="00E56051">
      <w:pPr>
        <w:ind w:left="720"/>
      </w:pPr>
      <w:r>
        <w:t>….[I]</w:t>
      </w:r>
      <w:r w:rsidRPr="00316512">
        <w:t>gnored in Buchman’s account are those whose lives are made even more vulnerable by the very existence of euthanasia, including those with disabilities, mental illness, dementia, children, seniors, and those who lack resources including financial, social supports, or access to palliative care.</w:t>
      </w:r>
      <w:r w:rsidR="00E56051">
        <w:rPr>
          <w:rStyle w:val="FootnoteReference"/>
        </w:rPr>
        <w:footnoteReference w:id="172"/>
      </w:r>
      <w:r w:rsidR="00E56051">
        <w:t xml:space="preserve"> </w:t>
      </w:r>
    </w:p>
    <w:p w14:paraId="19BE4A72" w14:textId="77777777" w:rsidR="00042A00" w:rsidRDefault="00E56051" w:rsidP="00E56051">
      <w:pPr>
        <w:ind w:left="720"/>
      </w:pPr>
      <w:r>
        <w:t xml:space="preserve"> </w:t>
      </w:r>
      <w:r w:rsidR="005549D7">
        <w:t xml:space="preserve">  </w:t>
      </w:r>
    </w:p>
    <w:p w14:paraId="343AC737" w14:textId="7C514CE3" w:rsidR="00E757FA" w:rsidRDefault="00BE36B0" w:rsidP="00BE36B0">
      <w:pPr>
        <w:spacing w:line="480" w:lineRule="auto"/>
        <w:ind w:firstLine="720"/>
      </w:pPr>
      <w:r>
        <w:t>I</w:t>
      </w:r>
      <w:r w:rsidR="00316512">
        <w:t xml:space="preserve">t is clear that reflection on the moral standing of </w:t>
      </w:r>
      <w:r w:rsidR="00C972BF">
        <w:t>MAID</w:t>
      </w:r>
      <w:r w:rsidR="00316512">
        <w:t xml:space="preserve"> is required of all physicians who live in juris</w:t>
      </w:r>
      <w:r w:rsidR="000D1D80">
        <w:t xml:space="preserve">dictions where it currently is, </w:t>
      </w:r>
      <w:r w:rsidR="00316512">
        <w:t>or</w:t>
      </w:r>
      <w:r w:rsidR="00D0401F">
        <w:t xml:space="preserve"> </w:t>
      </w:r>
      <w:r>
        <w:t xml:space="preserve">soon </w:t>
      </w:r>
      <w:r w:rsidR="00D0401F">
        <w:t xml:space="preserve">is </w:t>
      </w:r>
      <w:r w:rsidR="000D1D80">
        <w:t>likely to be,</w:t>
      </w:r>
      <w:r w:rsidR="00BF21F9">
        <w:t xml:space="preserve"> </w:t>
      </w:r>
      <w:r w:rsidR="008F2474">
        <w:t xml:space="preserve">a </w:t>
      </w:r>
      <w:r w:rsidR="00BF21F9">
        <w:t>legal</w:t>
      </w:r>
      <w:r w:rsidR="008F2474">
        <w:t xml:space="preserve"> option</w:t>
      </w:r>
      <w:r>
        <w:t xml:space="preserve">. </w:t>
      </w:r>
      <w:r w:rsidR="00707E60">
        <w:t>Moreover, e</w:t>
      </w:r>
      <w:r w:rsidR="00042A00">
        <w:t>ven h</w:t>
      </w:r>
      <w:r w:rsidR="007F603F">
        <w:t>ealthcare practitioners</w:t>
      </w:r>
      <w:r w:rsidR="00042A00">
        <w:t xml:space="preserve"> who </w:t>
      </w:r>
      <w:r w:rsidR="007F603F">
        <w:t>work</w:t>
      </w:r>
      <w:r w:rsidR="00480813">
        <w:t xml:space="preserve"> in hospitals, </w:t>
      </w:r>
      <w:r w:rsidR="00042A00">
        <w:lastRenderedPageBreak/>
        <w:t>hospices</w:t>
      </w:r>
      <w:r w:rsidR="00480813">
        <w:t>, and palliative care facilities</w:t>
      </w:r>
      <w:r w:rsidR="00042A00">
        <w:t xml:space="preserve"> that</w:t>
      </w:r>
      <w:r w:rsidR="007F603F">
        <w:t xml:space="preserve"> do not offer</w:t>
      </w:r>
      <w:r w:rsidR="003263EA">
        <w:t xml:space="preserve"> </w:t>
      </w:r>
      <w:r w:rsidR="008F2474">
        <w:t>access to the intervention</w:t>
      </w:r>
      <w:r>
        <w:t xml:space="preserve"> can</w:t>
      </w:r>
      <w:r w:rsidR="007F603F">
        <w:t xml:space="preserve"> find themselves confronted by the</w:t>
      </w:r>
      <w:r w:rsidR="003263EA">
        <w:t xml:space="preserve"> </w:t>
      </w:r>
      <w:r w:rsidR="00BF21F9">
        <w:t xml:space="preserve">ethical </w:t>
      </w:r>
      <w:r w:rsidR="003263EA">
        <w:t xml:space="preserve">questions </w:t>
      </w:r>
      <w:r w:rsidR="002A5DE3">
        <w:t xml:space="preserve">that </w:t>
      </w:r>
      <w:r w:rsidR="007F603F">
        <w:t xml:space="preserve">occupy the members of their </w:t>
      </w:r>
      <w:r w:rsidR="00316512">
        <w:t>wider</w:t>
      </w:r>
      <w:r w:rsidR="008932C0">
        <w:t xml:space="preserve"> </w:t>
      </w:r>
      <w:r w:rsidR="007F603F">
        <w:t>communities.</w:t>
      </w:r>
      <w:r w:rsidR="008932C0">
        <w:t xml:space="preserve"> </w:t>
      </w:r>
      <w:r w:rsidR="008F2474">
        <w:t>Their</w:t>
      </w:r>
      <w:r w:rsidR="008F2474" w:rsidRPr="008F2474">
        <w:t xml:space="preserve"> patients </w:t>
      </w:r>
      <w:r w:rsidR="008F2474">
        <w:t>may seek</w:t>
      </w:r>
      <w:r w:rsidR="008F2474" w:rsidRPr="008F2474">
        <w:t xml:space="preserve"> ref</w:t>
      </w:r>
      <w:r w:rsidR="00D0401F">
        <w:t>errals to</w:t>
      </w:r>
      <w:r>
        <w:t xml:space="preserve"> </w:t>
      </w:r>
      <w:r w:rsidR="008F2474">
        <w:t>willing providers</w:t>
      </w:r>
      <w:r>
        <w:t>,</w:t>
      </w:r>
      <w:r w:rsidR="008F2474">
        <w:t xml:space="preserve"> and their</w:t>
      </w:r>
      <w:r w:rsidR="005D1531">
        <w:t xml:space="preserve"> professional colleges, and employers, </w:t>
      </w:r>
      <w:r w:rsidR="00707E60">
        <w:t xml:space="preserve">will </w:t>
      </w:r>
      <w:r w:rsidR="00FF047F">
        <w:t>have</w:t>
      </w:r>
      <w:r w:rsidR="005D1531">
        <w:t xml:space="preserve"> expectations about the responses that they are </w:t>
      </w:r>
      <w:r w:rsidR="009A512D">
        <w:t>permitted</w:t>
      </w:r>
      <w:r w:rsidR="005D1531">
        <w:t xml:space="preserve"> </w:t>
      </w:r>
      <w:r w:rsidR="002A5DE3">
        <w:t xml:space="preserve">or obliged </w:t>
      </w:r>
      <w:r>
        <w:t>to give.</w:t>
      </w:r>
      <w:r w:rsidR="008F2474">
        <w:t xml:space="preserve"> </w:t>
      </w:r>
      <w:r>
        <w:t>However, e</w:t>
      </w:r>
      <w:r w:rsidR="005D1531">
        <w:t>ven in this sometimes charged environment, t</w:t>
      </w:r>
      <w:r w:rsidR="008932C0">
        <w:t>he role of the healthcare</w:t>
      </w:r>
      <w:r w:rsidR="002A5DE3">
        <w:t xml:space="preserve"> ethicist does not, and should</w:t>
      </w:r>
      <w:r w:rsidR="006A7C52">
        <w:t xml:space="preserve"> not</w:t>
      </w:r>
      <w:r w:rsidR="002A5DE3">
        <w:t>,</w:t>
      </w:r>
      <w:r w:rsidR="006A7C52">
        <w:t xml:space="preserve"> differ from </w:t>
      </w:r>
      <w:r w:rsidR="00ED6C08">
        <w:t>what</w:t>
      </w:r>
      <w:r w:rsidR="008932C0">
        <w:t xml:space="preserve"> it typically </w:t>
      </w:r>
      <w:r w:rsidR="00316512">
        <w:t>i</w:t>
      </w:r>
      <w:r w:rsidR="008932C0">
        <w:t>s</w:t>
      </w:r>
      <w:r w:rsidR="0031434C">
        <w:t>:</w:t>
      </w:r>
      <w:r w:rsidR="00AC0215">
        <w:t xml:space="preserve"> she may</w:t>
      </w:r>
      <w:r w:rsidR="008932C0">
        <w:t xml:space="preserve"> offer education </w:t>
      </w:r>
      <w:r w:rsidR="0031434C">
        <w:t>that can prepare</w:t>
      </w:r>
      <w:r w:rsidR="008932C0">
        <w:t xml:space="preserve"> sta</w:t>
      </w:r>
      <w:r w:rsidR="0031434C">
        <w:t xml:space="preserve">ff, physicians, and patients for respectful </w:t>
      </w:r>
      <w:r w:rsidR="008932C0">
        <w:t>engage</w:t>
      </w:r>
      <w:r w:rsidR="0031434C">
        <w:t xml:space="preserve">ment </w:t>
      </w:r>
      <w:r w:rsidR="008932C0">
        <w:t xml:space="preserve">in the face of conflicting </w:t>
      </w:r>
      <w:r w:rsidR="00D0401F">
        <w:t>or uncertain v</w:t>
      </w:r>
      <w:r w:rsidR="0031434C">
        <w:t>alues; she may</w:t>
      </w:r>
      <w:r w:rsidR="008932C0">
        <w:t xml:space="preserve"> help </w:t>
      </w:r>
      <w:r w:rsidR="0031434C">
        <w:t>to answer</w:t>
      </w:r>
      <w:r w:rsidR="009B4876">
        <w:t>,</w:t>
      </w:r>
      <w:r w:rsidR="0031434C">
        <w:t xml:space="preserve"> or to </w:t>
      </w:r>
      <w:r w:rsidR="008932C0">
        <w:t>clarify</w:t>
      </w:r>
      <w:r w:rsidR="009B4876">
        <w:t>,</w:t>
      </w:r>
      <w:r w:rsidR="008932C0">
        <w:t xml:space="preserve"> the nature of the questions they may be po</w:t>
      </w:r>
      <w:r w:rsidR="0031434C">
        <w:t>sing;</w:t>
      </w:r>
      <w:r w:rsidR="008932C0">
        <w:t xml:space="preserve"> she may offer mediation</w:t>
      </w:r>
      <w:r w:rsidR="0031434C">
        <w:t>,</w:t>
      </w:r>
      <w:r w:rsidR="008932C0">
        <w:t xml:space="preserve"> or debriefing sessions</w:t>
      </w:r>
      <w:r w:rsidR="0031434C">
        <w:t>,</w:t>
      </w:r>
      <w:r w:rsidR="008932C0">
        <w:t xml:space="preserve"> that can</w:t>
      </w:r>
      <w:r w:rsidR="0031434C">
        <w:t xml:space="preserve"> help to identify and manag</w:t>
      </w:r>
      <w:r w:rsidR="007B51EA">
        <w:t>e some of the distress that hard</w:t>
      </w:r>
      <w:r w:rsidR="0031434C">
        <w:t xml:space="preserve"> cases</w:t>
      </w:r>
      <w:r w:rsidR="0031434C" w:rsidRPr="0031434C">
        <w:t xml:space="preserve"> </w:t>
      </w:r>
      <w:r w:rsidR="0031434C">
        <w:t xml:space="preserve">elicit; and, most controversially, </w:t>
      </w:r>
      <w:r w:rsidR="006A7C52">
        <w:t>when her advice is sought</w:t>
      </w:r>
      <w:r w:rsidR="00560A69">
        <w:t>,</w:t>
      </w:r>
      <w:r w:rsidR="006A7C52">
        <w:t xml:space="preserve"> </w:t>
      </w:r>
      <w:r w:rsidR="0031434C">
        <w:t>she</w:t>
      </w:r>
      <w:r w:rsidR="00B931C8">
        <w:t xml:space="preserve"> may offer </w:t>
      </w:r>
      <w:r w:rsidR="00844E06">
        <w:t>her</w:t>
      </w:r>
      <w:r w:rsidR="004A1D30">
        <w:t xml:space="preserve"> </w:t>
      </w:r>
      <w:r w:rsidR="006A7C52">
        <w:t>interpretation of the right way (or ways</w:t>
      </w:r>
      <w:r w:rsidR="00560A69">
        <w:t xml:space="preserve">) to deal with the </w:t>
      </w:r>
      <w:r w:rsidR="0040101E">
        <w:t xml:space="preserve">difficult </w:t>
      </w:r>
      <w:r w:rsidR="00AE1040">
        <w:t xml:space="preserve">normative </w:t>
      </w:r>
      <w:r w:rsidR="006A7C52">
        <w:t xml:space="preserve">questions </w:t>
      </w:r>
      <w:r w:rsidR="00AE1040">
        <w:t>that must be confronted by</w:t>
      </w:r>
      <w:r w:rsidR="004C71D8">
        <w:t xml:space="preserve"> patients, health care providers, and institutions </w:t>
      </w:r>
      <w:r w:rsidR="00B73E30">
        <w:t xml:space="preserve">in </w:t>
      </w:r>
      <w:r w:rsidR="004C71D8">
        <w:t xml:space="preserve">light of this new medical, legal, and social development. </w:t>
      </w:r>
    </w:p>
    <w:p w14:paraId="4DF94D9D" w14:textId="77777777" w:rsidR="00904B0E" w:rsidRDefault="0040101E" w:rsidP="00904B0E">
      <w:pPr>
        <w:spacing w:line="480" w:lineRule="auto"/>
        <w:ind w:firstLine="720"/>
      </w:pPr>
      <w:r>
        <w:t xml:space="preserve">The </w:t>
      </w:r>
      <w:r w:rsidR="00277856">
        <w:t xml:space="preserve">final clause of the </w:t>
      </w:r>
      <w:r>
        <w:t xml:space="preserve">preceding statement </w:t>
      </w:r>
      <w:r w:rsidR="00AE1040">
        <w:t>may seem</w:t>
      </w:r>
      <w:r>
        <w:t xml:space="preserve"> to be in tension with my earlier claim that PHE’s </w:t>
      </w:r>
      <w:r w:rsidR="00904B0E">
        <w:t xml:space="preserve">disavow </w:t>
      </w:r>
      <w:r w:rsidR="00277856">
        <w:t xml:space="preserve">any ambition </w:t>
      </w:r>
      <w:r w:rsidR="00904B0E">
        <w:t>to be</w:t>
      </w:r>
      <w:r w:rsidR="00277856">
        <w:t xml:space="preserve"> seen</w:t>
      </w:r>
      <w:r w:rsidR="00904B0E">
        <w:t xml:space="preserve"> </w:t>
      </w:r>
      <w:r w:rsidR="00277856">
        <w:t xml:space="preserve">as </w:t>
      </w:r>
      <w:r w:rsidR="00904B0E">
        <w:t xml:space="preserve">the consciences of their </w:t>
      </w:r>
      <w:r w:rsidR="00D0401F">
        <w:t xml:space="preserve">colleagues or </w:t>
      </w:r>
      <w:r w:rsidR="007B51EA">
        <w:t>of the</w:t>
      </w:r>
      <w:r w:rsidR="009A512D">
        <w:t xml:space="preserve"> </w:t>
      </w:r>
      <w:r w:rsidR="00904B0E">
        <w:t>corporations</w:t>
      </w:r>
      <w:r w:rsidR="007B51EA">
        <w:t xml:space="preserve"> that employ them</w:t>
      </w:r>
      <w:r w:rsidR="00904B0E">
        <w:t xml:space="preserve">. After all, presuming to offer right, or at least better, answers to hard questions may sound perilously close </w:t>
      </w:r>
      <w:r w:rsidR="00C1202E">
        <w:t xml:space="preserve">to the kind of ethical imperialism that </w:t>
      </w:r>
      <w:r w:rsidR="004B776A">
        <w:t xml:space="preserve">the </w:t>
      </w:r>
      <w:r w:rsidR="00C1202E">
        <w:t xml:space="preserve">critics of the field have decried.  Further detail is in order, therefore, </w:t>
      </w:r>
      <w:r w:rsidR="003778D2">
        <w:t xml:space="preserve">before we can distinguish </w:t>
      </w:r>
      <w:r w:rsidR="00316A09">
        <w:t>appropriate guidance</w:t>
      </w:r>
      <w:r w:rsidR="003778D2">
        <w:t xml:space="preserve"> </w:t>
      </w:r>
      <w:r w:rsidR="00316A09">
        <w:t xml:space="preserve">from </w:t>
      </w:r>
      <w:r w:rsidR="00D606AC">
        <w:t xml:space="preserve">unacceptable </w:t>
      </w:r>
      <w:r w:rsidR="00316A09">
        <w:t>interference</w:t>
      </w:r>
      <w:r w:rsidR="00D606AC">
        <w:t xml:space="preserve"> with respect to the matter of </w:t>
      </w:r>
      <w:r w:rsidR="00C972BF">
        <w:t>MAID</w:t>
      </w:r>
      <w:r w:rsidR="00316A09">
        <w:t>.</w:t>
      </w:r>
      <w:r w:rsidR="00D606AC">
        <w:t xml:space="preserve">  </w:t>
      </w:r>
    </w:p>
    <w:p w14:paraId="7023688F" w14:textId="77777777" w:rsidR="00E93505" w:rsidRDefault="00D606AC" w:rsidP="00E93505">
      <w:pPr>
        <w:spacing w:line="480" w:lineRule="auto"/>
      </w:pPr>
      <w:r>
        <w:lastRenderedPageBreak/>
        <w:tab/>
      </w:r>
      <w:r w:rsidR="009A512D">
        <w:t>As was noted early</w:t>
      </w:r>
      <w:r w:rsidR="00B23937">
        <w:t xml:space="preserve"> on,</w:t>
      </w:r>
      <w:r w:rsidR="004A1D30">
        <w:t xml:space="preserve"> Canadian ethicists typi</w:t>
      </w:r>
      <w:r w:rsidR="00B23937">
        <w:t xml:space="preserve">cally </w:t>
      </w:r>
      <w:r w:rsidR="00694D52">
        <w:t xml:space="preserve">are </w:t>
      </w:r>
      <w:r w:rsidR="00B23937">
        <w:t xml:space="preserve">active in multiple and often inter-related </w:t>
      </w:r>
      <w:r w:rsidR="00E9583B">
        <w:t xml:space="preserve">healthcare </w:t>
      </w:r>
      <w:r w:rsidR="00B23937">
        <w:t xml:space="preserve">activities. </w:t>
      </w:r>
      <w:r w:rsidR="00027826">
        <w:t xml:space="preserve">For many this </w:t>
      </w:r>
      <w:r w:rsidR="00694D52">
        <w:t xml:space="preserve">has </w:t>
      </w:r>
      <w:r w:rsidR="00027826">
        <w:t xml:space="preserve">meant that the </w:t>
      </w:r>
      <w:r w:rsidR="00027826" w:rsidRPr="00027826">
        <w:rPr>
          <w:i/>
        </w:rPr>
        <w:t>Carter</w:t>
      </w:r>
      <w:r w:rsidR="00694D52">
        <w:t xml:space="preserve"> case </w:t>
      </w:r>
      <w:r w:rsidR="009A512D">
        <w:t xml:space="preserve">has </w:t>
      </w:r>
      <w:r w:rsidR="00694D52">
        <w:t>served as</w:t>
      </w:r>
      <w:r w:rsidR="00027826">
        <w:t xml:space="preserve"> a call to action, and whatever their views on the arguments unfolding in the courts or in the </w:t>
      </w:r>
      <w:r w:rsidR="00240914">
        <w:t xml:space="preserve">newspapers, they </w:t>
      </w:r>
      <w:r w:rsidR="009A512D">
        <w:t xml:space="preserve">have </w:t>
      </w:r>
      <w:r w:rsidR="00240914">
        <w:t>felt</w:t>
      </w:r>
      <w:r w:rsidR="00147D4F">
        <w:t xml:space="preserve"> duty-bound </w:t>
      </w:r>
      <w:r w:rsidR="00240914">
        <w:t>to enhance their understandings of the</w:t>
      </w:r>
      <w:r w:rsidR="00027826">
        <w:t xml:space="preserve"> </w:t>
      </w:r>
      <w:r w:rsidR="00E9583B">
        <w:t>philosophical as well as the practical implications that the C</w:t>
      </w:r>
      <w:r w:rsidR="00240914">
        <w:t>ourt’s judgement mig</w:t>
      </w:r>
      <w:r w:rsidR="00147D4F">
        <w:t>h</w:t>
      </w:r>
      <w:r w:rsidR="00240914">
        <w:t>t</w:t>
      </w:r>
      <w:r w:rsidR="00147D4F">
        <w:t xml:space="preserve"> have for their </w:t>
      </w:r>
      <w:r w:rsidR="00616495">
        <w:t xml:space="preserve">communities and </w:t>
      </w:r>
      <w:r w:rsidR="00147D4F">
        <w:t>institutions. Some e</w:t>
      </w:r>
      <w:r w:rsidR="00616495">
        <w:t xml:space="preserve">thicists </w:t>
      </w:r>
      <w:r w:rsidR="00D0401F">
        <w:t xml:space="preserve">have </w:t>
      </w:r>
      <w:r w:rsidR="00616495">
        <w:t>offered expert testimony</w:t>
      </w:r>
      <w:r w:rsidR="00E93505">
        <w:t xml:space="preserve"> to legal or governmental </w:t>
      </w:r>
      <w:r w:rsidR="00D21AE7">
        <w:t>bodies</w:t>
      </w:r>
      <w:r w:rsidR="00D32F5B">
        <w:t>,</w:t>
      </w:r>
      <w:r w:rsidR="00616495">
        <w:t xml:space="preserve"> many </w:t>
      </w:r>
      <w:r w:rsidR="00694D52">
        <w:t xml:space="preserve">have </w:t>
      </w:r>
      <w:r w:rsidR="007B51EA">
        <w:t xml:space="preserve">participated in </w:t>
      </w:r>
      <w:r w:rsidR="00616495">
        <w:t>p</w:t>
      </w:r>
      <w:r w:rsidR="00D32F5B">
        <w:t>ublic debates and deliberations,</w:t>
      </w:r>
      <w:r w:rsidR="00616495">
        <w:t xml:space="preserve"> and a </w:t>
      </w:r>
      <w:r w:rsidR="00D21AE7">
        <w:t xml:space="preserve">great </w:t>
      </w:r>
      <w:r w:rsidR="007B51EA">
        <w:t>number have helped to write</w:t>
      </w:r>
      <w:r w:rsidR="00694D52">
        <w:t xml:space="preserve"> the policies</w:t>
      </w:r>
      <w:r w:rsidR="00616495">
        <w:t xml:space="preserve"> </w:t>
      </w:r>
      <w:r w:rsidR="00694D52">
        <w:t xml:space="preserve">or frameworks </w:t>
      </w:r>
      <w:r w:rsidR="00616495">
        <w:t xml:space="preserve">that </w:t>
      </w:r>
      <w:r w:rsidR="00694D52">
        <w:t xml:space="preserve">define </w:t>
      </w:r>
      <w:r w:rsidR="0029501F">
        <w:t>their institution’s</w:t>
      </w:r>
      <w:r w:rsidR="00745CB9">
        <w:t xml:space="preserve"> </w:t>
      </w:r>
      <w:r w:rsidR="00C972BF">
        <w:t>MAID</w:t>
      </w:r>
      <w:r w:rsidR="0029501F">
        <w:t xml:space="preserve">-related </w:t>
      </w:r>
      <w:r w:rsidR="00745CB9">
        <w:t>expectations of (participating and non-participating) physicians, employees, learners, and volunteers.</w:t>
      </w:r>
      <w:r w:rsidR="00113710">
        <w:rPr>
          <w:rStyle w:val="FootnoteReference"/>
        </w:rPr>
        <w:footnoteReference w:id="173"/>
      </w:r>
      <w:r w:rsidR="00616495">
        <w:t xml:space="preserve"> </w:t>
      </w:r>
      <w:r w:rsidR="00262205" w:rsidRPr="00262205">
        <w:t>It is noteworthy that a number o</w:t>
      </w:r>
      <w:r w:rsidR="00E93505">
        <w:t xml:space="preserve">f hospital-based ethicists </w:t>
      </w:r>
      <w:r w:rsidR="00694D52">
        <w:t xml:space="preserve">also </w:t>
      </w:r>
      <w:r w:rsidR="00E93505">
        <w:t>have</w:t>
      </w:r>
      <w:r w:rsidR="00262205">
        <w:t xml:space="preserve"> </w:t>
      </w:r>
      <w:r w:rsidR="00262205" w:rsidRPr="00262205">
        <w:t>assumed the responsibilities of running t</w:t>
      </w:r>
      <w:r w:rsidR="001F3F2E">
        <w:t xml:space="preserve">heir </w:t>
      </w:r>
      <w:r w:rsidR="00D21AE7">
        <w:t xml:space="preserve">home </w:t>
      </w:r>
      <w:r w:rsidR="009259A5">
        <w:t xml:space="preserve">institution’s </w:t>
      </w:r>
      <w:r w:rsidR="00C972BF">
        <w:t>MAID</w:t>
      </w:r>
      <w:r w:rsidR="009259A5">
        <w:t xml:space="preserve"> programs</w:t>
      </w:r>
      <w:r w:rsidR="001F3F2E">
        <w:t xml:space="preserve">. This may be </w:t>
      </w:r>
      <w:r w:rsidR="00262205" w:rsidRPr="00262205">
        <w:t xml:space="preserve">owing to a willingness to fill a much needed gap in service (hospitals have not yet received additional </w:t>
      </w:r>
      <w:r w:rsidR="001F3F2E">
        <w:t xml:space="preserve">Ministry </w:t>
      </w:r>
      <w:r w:rsidR="00D21AE7">
        <w:t xml:space="preserve">of Health </w:t>
      </w:r>
      <w:r w:rsidR="00262205" w:rsidRPr="00262205">
        <w:t xml:space="preserve">funding to support this </w:t>
      </w:r>
      <w:r w:rsidR="001F3F2E">
        <w:t xml:space="preserve">emotionally demanding and time-intensive </w:t>
      </w:r>
      <w:r w:rsidR="00262205" w:rsidRPr="00262205">
        <w:t xml:space="preserve">work), or it may be motivated by a sense that </w:t>
      </w:r>
      <w:r w:rsidR="00C972BF">
        <w:t>MAID</w:t>
      </w:r>
      <w:r w:rsidR="00262205" w:rsidRPr="00262205">
        <w:t xml:space="preserve"> is more intimately connected with ethical concerns than other operational initiatives.</w:t>
      </w:r>
      <w:r w:rsidR="00D32F5B">
        <w:rPr>
          <w:rStyle w:val="FootnoteReference"/>
        </w:rPr>
        <w:footnoteReference w:id="174"/>
      </w:r>
      <w:r w:rsidR="00262205" w:rsidRPr="00262205">
        <w:t xml:space="preserve">  </w:t>
      </w:r>
    </w:p>
    <w:p w14:paraId="196F1EB4" w14:textId="77777777" w:rsidR="00E93505" w:rsidRDefault="00E93505" w:rsidP="00E93505">
      <w:pPr>
        <w:spacing w:line="480" w:lineRule="auto"/>
      </w:pPr>
    </w:p>
    <w:p w14:paraId="56F99078" w14:textId="77777777" w:rsidR="00027826" w:rsidRPr="00E93505" w:rsidRDefault="00E93505" w:rsidP="00E93505">
      <w:pPr>
        <w:spacing w:line="480" w:lineRule="auto"/>
        <w:rPr>
          <w:i/>
        </w:rPr>
      </w:pPr>
      <w:r w:rsidRPr="00E93505">
        <w:rPr>
          <w:i/>
        </w:rPr>
        <w:t>Inside trader</w:t>
      </w:r>
      <w:r w:rsidR="00E52FEA">
        <w:rPr>
          <w:i/>
        </w:rPr>
        <w:t xml:space="preserve">s or </w:t>
      </w:r>
      <w:r w:rsidR="00671C7D">
        <w:rPr>
          <w:i/>
        </w:rPr>
        <w:t>h</w:t>
      </w:r>
      <w:r w:rsidR="00E52FEA">
        <w:rPr>
          <w:i/>
        </w:rPr>
        <w:t xml:space="preserve">onest </w:t>
      </w:r>
      <w:r w:rsidR="00671C7D">
        <w:rPr>
          <w:i/>
        </w:rPr>
        <w:t>b</w:t>
      </w:r>
      <w:r w:rsidR="00E52FEA">
        <w:rPr>
          <w:i/>
        </w:rPr>
        <w:t>rokers? E</w:t>
      </w:r>
      <w:r w:rsidR="00C9263A">
        <w:rPr>
          <w:i/>
        </w:rPr>
        <w:t>xamining</w:t>
      </w:r>
      <w:r w:rsidR="00E52FEA">
        <w:rPr>
          <w:i/>
        </w:rPr>
        <w:t xml:space="preserve"> the terms of the PH</w:t>
      </w:r>
      <w:r w:rsidR="0001150B">
        <w:rPr>
          <w:i/>
        </w:rPr>
        <w:t>E</w:t>
      </w:r>
      <w:r w:rsidR="00E52FEA">
        <w:rPr>
          <w:i/>
        </w:rPr>
        <w:t xml:space="preserve">’s </w:t>
      </w:r>
      <w:r w:rsidR="00782D3A">
        <w:rPr>
          <w:i/>
        </w:rPr>
        <w:t>r</w:t>
      </w:r>
      <w:r w:rsidRPr="00E93505">
        <w:rPr>
          <w:i/>
        </w:rPr>
        <w:t>elationship</w:t>
      </w:r>
      <w:r w:rsidR="00782D3A">
        <w:rPr>
          <w:i/>
        </w:rPr>
        <w:t>(s)</w:t>
      </w:r>
      <w:r w:rsidRPr="00E93505">
        <w:rPr>
          <w:i/>
        </w:rPr>
        <w:t xml:space="preserve">                  </w:t>
      </w:r>
      <w:r w:rsidR="00616495" w:rsidRPr="00E93505">
        <w:rPr>
          <w:i/>
        </w:rPr>
        <w:t xml:space="preserve">   </w:t>
      </w:r>
      <w:r w:rsidR="00147D4F" w:rsidRPr="00E93505">
        <w:rPr>
          <w:i/>
        </w:rPr>
        <w:t xml:space="preserve"> </w:t>
      </w:r>
      <w:r w:rsidR="00240914" w:rsidRPr="00E93505">
        <w:rPr>
          <w:i/>
        </w:rPr>
        <w:t xml:space="preserve">   </w:t>
      </w:r>
    </w:p>
    <w:p w14:paraId="3F282476" w14:textId="77777777" w:rsidR="00F10DDB" w:rsidRDefault="00D21AE7" w:rsidP="00904B0E">
      <w:pPr>
        <w:spacing w:line="480" w:lineRule="auto"/>
        <w:ind w:firstLine="720"/>
      </w:pPr>
      <w:r>
        <w:t xml:space="preserve">Clinical ethics consultation, as it relates to </w:t>
      </w:r>
      <w:r w:rsidR="00C972BF">
        <w:t>MAID</w:t>
      </w:r>
      <w:r w:rsidR="00395454">
        <w:t>, can engage</w:t>
      </w:r>
      <w:r>
        <w:t xml:space="preserve"> some of the most sensitive personal </w:t>
      </w:r>
      <w:r w:rsidR="001B436F">
        <w:t>and</w:t>
      </w:r>
      <w:r w:rsidR="001E3A82">
        <w:t xml:space="preserve"> professional concerns that a PHE is likely to encounter. Because</w:t>
      </w:r>
      <w:r w:rsidR="007B51EA">
        <w:t xml:space="preserve"> a healthcare provider’s </w:t>
      </w:r>
      <w:r w:rsidR="002A3ED2">
        <w:t>participation</w:t>
      </w:r>
      <w:r w:rsidR="00782D3A">
        <w:t xml:space="preserve"> </w:t>
      </w:r>
      <w:r w:rsidR="00C9263A">
        <w:t xml:space="preserve">in </w:t>
      </w:r>
      <w:r w:rsidR="00C972BF">
        <w:t>MAID</w:t>
      </w:r>
      <w:r w:rsidR="00C9263A">
        <w:t xml:space="preserve"> </w:t>
      </w:r>
      <w:r w:rsidR="001E3A82">
        <w:t>is always voluntary, a</w:t>
      </w:r>
      <w:r w:rsidR="00830281">
        <w:t xml:space="preserve"> </w:t>
      </w:r>
      <w:r w:rsidR="00C972BF">
        <w:t>MAID</w:t>
      </w:r>
      <w:r w:rsidR="00830281">
        <w:t xml:space="preserve"> </w:t>
      </w:r>
      <w:r w:rsidR="00395454">
        <w:t xml:space="preserve">assessor or </w:t>
      </w:r>
      <w:r w:rsidR="007B51EA">
        <w:t>interventionist</w:t>
      </w:r>
      <w:r w:rsidR="00BC1BA9">
        <w:t xml:space="preserve"> </w:t>
      </w:r>
      <w:r w:rsidR="00830281">
        <w:t xml:space="preserve">likely </w:t>
      </w:r>
      <w:r w:rsidR="00BC1BA9">
        <w:t xml:space="preserve">will </w:t>
      </w:r>
      <w:r w:rsidR="001E3A82">
        <w:t>have</w:t>
      </w:r>
      <w:r w:rsidR="00830281">
        <w:t xml:space="preserve"> reflected</w:t>
      </w:r>
      <w:r w:rsidR="00FF6062">
        <w:t xml:space="preserve"> on her </w:t>
      </w:r>
      <w:r w:rsidR="009A512D">
        <w:t xml:space="preserve">own </w:t>
      </w:r>
      <w:r w:rsidR="00FF6062">
        <w:t>position with respect to such topics as patient self-determination, or the value of alleviating suffering</w:t>
      </w:r>
      <w:r w:rsidR="00830281">
        <w:t>, long</w:t>
      </w:r>
      <w:r w:rsidR="00FF6062">
        <w:t xml:space="preserve"> before she has agreed to </w:t>
      </w:r>
      <w:r w:rsidR="00EA36CF">
        <w:t>accept</w:t>
      </w:r>
      <w:r w:rsidR="00FF6062">
        <w:t xml:space="preserve"> her initial case.</w:t>
      </w:r>
      <w:r w:rsidR="002013EC">
        <w:rPr>
          <w:rStyle w:val="FootnoteReference"/>
        </w:rPr>
        <w:footnoteReference w:id="175"/>
      </w:r>
      <w:r w:rsidR="00FF6062">
        <w:t xml:space="preserve"> It is a truism, however, that all of us are</w:t>
      </w:r>
      <w:r w:rsidR="001E3A82">
        <w:t xml:space="preserve"> </w:t>
      </w:r>
      <w:r w:rsidR="00FF6062">
        <w:t>unique in our particularity</w:t>
      </w:r>
      <w:r w:rsidR="0029501F">
        <w:t>,</w:t>
      </w:r>
      <w:r w:rsidR="00FF6062">
        <w:t xml:space="preserve"> and the </w:t>
      </w:r>
      <w:r w:rsidR="00F10DDB">
        <w:t xml:space="preserve">healthcare </w:t>
      </w:r>
      <w:r w:rsidR="0042327A">
        <w:t xml:space="preserve">ethics consultant may be engaged </w:t>
      </w:r>
      <w:r w:rsidR="00BC1BA9">
        <w:t xml:space="preserve">by a provider </w:t>
      </w:r>
      <w:r w:rsidR="0042327A">
        <w:t>to help probe the reason</w:t>
      </w:r>
      <w:r w:rsidR="00F135D6">
        <w:t xml:space="preserve"> (or reason</w:t>
      </w:r>
      <w:r w:rsidR="0042327A">
        <w:t>s</w:t>
      </w:r>
      <w:r w:rsidR="00F135D6">
        <w:t>) why</w:t>
      </w:r>
      <w:r w:rsidR="009A512D">
        <w:t xml:space="preserve"> </w:t>
      </w:r>
      <w:r w:rsidR="0042327A">
        <w:t>specific case</w:t>
      </w:r>
      <w:r w:rsidR="009A512D">
        <w:t xml:space="preserve">s are </w:t>
      </w:r>
      <w:r w:rsidR="0042327A">
        <w:t>experienced as unus</w:t>
      </w:r>
      <w:r w:rsidR="00E61B97">
        <w:t xml:space="preserve">ually challenging. </w:t>
      </w:r>
      <w:r w:rsidR="00F10DDB">
        <w:t xml:space="preserve">The hard cases typology that I introduced earlier may </w:t>
      </w:r>
      <w:r w:rsidR="00930DFD">
        <w:t>be helpful</w:t>
      </w:r>
      <w:r w:rsidR="008F2180">
        <w:t xml:space="preserve"> in </w:t>
      </w:r>
      <w:r w:rsidR="007B51EA">
        <w:t>distinguishing</w:t>
      </w:r>
      <w:r w:rsidR="00F10DDB">
        <w:t xml:space="preserve"> the</w:t>
      </w:r>
      <w:r w:rsidR="00930DFD">
        <w:t xml:space="preserve"> various </w:t>
      </w:r>
      <w:r w:rsidR="001D5FC0">
        <w:t>roles that ethicists may play</w:t>
      </w:r>
      <w:r w:rsidR="00930DFD">
        <w:t xml:space="preserve"> in </w:t>
      </w:r>
      <w:r w:rsidR="001D5FC0">
        <w:t xml:space="preserve">response to </w:t>
      </w:r>
      <w:r w:rsidR="005C4BBF">
        <w:t xml:space="preserve">the assorted </w:t>
      </w:r>
      <w:r w:rsidR="00C972BF">
        <w:t>MAID</w:t>
      </w:r>
      <w:r w:rsidR="005C4BBF">
        <w:t>-related</w:t>
      </w:r>
      <w:r w:rsidR="008F2180">
        <w:t xml:space="preserve"> </w:t>
      </w:r>
      <w:r w:rsidR="005C4BBF">
        <w:t xml:space="preserve">cases that may </w:t>
      </w:r>
      <w:r w:rsidR="001154BB">
        <w:t>have need of</w:t>
      </w:r>
      <w:r w:rsidR="005C4BBF">
        <w:t xml:space="preserve"> her attention</w:t>
      </w:r>
      <w:r w:rsidR="00930DFD">
        <w:t>.</w:t>
      </w:r>
      <w:r w:rsidR="00F10DDB">
        <w:t xml:space="preserve">  </w:t>
      </w:r>
    </w:p>
    <w:p w14:paraId="020B86AE" w14:textId="77777777" w:rsidR="00E61B97" w:rsidRDefault="00930DFD" w:rsidP="00904B0E">
      <w:pPr>
        <w:spacing w:line="480" w:lineRule="auto"/>
        <w:ind w:firstLine="720"/>
      </w:pPr>
      <w:r>
        <w:t>First, i</w:t>
      </w:r>
      <w:r w:rsidR="00F10DDB">
        <w:t>f the case</w:t>
      </w:r>
      <w:r w:rsidR="00E61B97">
        <w:t xml:space="preserve"> is an </w:t>
      </w:r>
      <w:r w:rsidR="00E61B97" w:rsidRPr="00930DFD">
        <w:rPr>
          <w:i/>
        </w:rPr>
        <w:t>evocative</w:t>
      </w:r>
      <w:r w:rsidR="00E61B97">
        <w:t xml:space="preserve"> one</w:t>
      </w:r>
      <w:r w:rsidR="00F10DDB">
        <w:t>,</w:t>
      </w:r>
      <w:r w:rsidR="00CA6AC8">
        <w:t xml:space="preserve"> </w:t>
      </w:r>
      <w:r w:rsidR="00E61B97">
        <w:t>the</w:t>
      </w:r>
      <w:r w:rsidR="001B12B1">
        <w:t xml:space="preserve"> patient’s story may be especially</w:t>
      </w:r>
      <w:r w:rsidR="00B03E96">
        <w:t xml:space="preserve"> poignant</w:t>
      </w:r>
      <w:r w:rsidR="001B12B1">
        <w:t xml:space="preserve"> and</w:t>
      </w:r>
      <w:r w:rsidR="00B03E96">
        <w:t>,</w:t>
      </w:r>
      <w:r w:rsidR="001D5FC0">
        <w:t xml:space="preserve"> with sensitive</w:t>
      </w:r>
      <w:r w:rsidR="001B12B1">
        <w:t xml:space="preserve"> questioning</w:t>
      </w:r>
      <w:r w:rsidR="00B03E96">
        <w:t>,</w:t>
      </w:r>
      <w:r w:rsidR="001154BB">
        <w:t xml:space="preserve"> a MAID</w:t>
      </w:r>
      <w:r w:rsidR="008718E2">
        <w:t xml:space="preserve"> assessor</w:t>
      </w:r>
      <w:r w:rsidR="001B12B1">
        <w:t xml:space="preserve"> may discover</w:t>
      </w:r>
      <w:r w:rsidR="00CA6AC8">
        <w:t xml:space="preserve"> </w:t>
      </w:r>
      <w:r w:rsidR="001B12B1">
        <w:t xml:space="preserve">that </w:t>
      </w:r>
      <w:r w:rsidR="001B12B1">
        <w:lastRenderedPageBreak/>
        <w:t xml:space="preserve">perplexity dissolves </w:t>
      </w:r>
      <w:r w:rsidR="00E61B97">
        <w:t xml:space="preserve">when </w:t>
      </w:r>
      <w:r w:rsidR="003E6800">
        <w:t>sorrow</w:t>
      </w:r>
      <w:r w:rsidR="007B51EA">
        <w:t>,</w:t>
      </w:r>
      <w:r w:rsidR="003E6800">
        <w:t xml:space="preserve"> </w:t>
      </w:r>
      <w:r w:rsidR="00062F8A">
        <w:t>rather than ethical complexity</w:t>
      </w:r>
      <w:r w:rsidR="007B51EA">
        <w:t>,</w:t>
      </w:r>
      <w:r w:rsidR="00062F8A">
        <w:t xml:space="preserve"> </w:t>
      </w:r>
      <w:r w:rsidR="003E6800">
        <w:t>is</w:t>
      </w:r>
      <w:r w:rsidR="007B51EA">
        <w:t xml:space="preserve"> identified as its source</w:t>
      </w:r>
      <w:r w:rsidR="00E61B97">
        <w:t xml:space="preserve">. The progression of </w:t>
      </w:r>
      <w:r w:rsidR="00FF3B41">
        <w:t xml:space="preserve">metastatic </w:t>
      </w:r>
      <w:r w:rsidR="00E61B97">
        <w:t>disease</w:t>
      </w:r>
      <w:r w:rsidR="00FF3B41">
        <w:t xml:space="preserve"> may </w:t>
      </w:r>
      <w:r w:rsidR="003E6800">
        <w:t xml:space="preserve">have </w:t>
      </w:r>
      <w:r w:rsidR="00FF3B41">
        <w:t>turn</w:t>
      </w:r>
      <w:r w:rsidR="003E6800">
        <w:t>ed</w:t>
      </w:r>
      <w:r w:rsidR="00782D3A">
        <w:t xml:space="preserve"> </w:t>
      </w:r>
      <w:r w:rsidR="008F2180">
        <w:t>hope for</w:t>
      </w:r>
      <w:r w:rsidR="00782D3A">
        <w:t xml:space="preserve"> </w:t>
      </w:r>
      <w:r w:rsidR="00FF3B41">
        <w:t>r</w:t>
      </w:r>
      <w:r w:rsidR="008F2180">
        <w:t>emi</w:t>
      </w:r>
      <w:r w:rsidR="00BC1BA9">
        <w:t>ssion into a desire</w:t>
      </w:r>
      <w:r w:rsidR="008F2180">
        <w:t xml:space="preserve"> for a peaceful death</w:t>
      </w:r>
      <w:r w:rsidR="009B34AC">
        <w:t>,</w:t>
      </w:r>
      <w:r w:rsidR="00FF3B41">
        <w:t xml:space="preserve"> </w:t>
      </w:r>
      <w:r w:rsidR="00C9263A">
        <w:t>and an exploration of the emotions</w:t>
      </w:r>
      <w:r w:rsidR="00FF3B41">
        <w:t xml:space="preserve"> </w:t>
      </w:r>
      <w:r w:rsidR="00C9263A">
        <w:t>tha</w:t>
      </w:r>
      <w:r w:rsidR="008F2180">
        <w:t xml:space="preserve">t attend </w:t>
      </w:r>
      <w:r w:rsidR="001154BB">
        <w:t xml:space="preserve">a </w:t>
      </w:r>
      <w:r w:rsidR="008F2180">
        <w:t>shift with respect to the goals of care</w:t>
      </w:r>
      <w:r w:rsidR="00F43498">
        <w:t xml:space="preserve"> may transform</w:t>
      </w:r>
      <w:r w:rsidR="00C9263A">
        <w:t xml:space="preserve"> a hard case into a straightforward</w:t>
      </w:r>
      <w:r w:rsidR="00062F8A">
        <w:t>, if melancholic,</w:t>
      </w:r>
      <w:r w:rsidR="00C9263A">
        <w:t xml:space="preserve"> one.</w:t>
      </w:r>
      <w:r w:rsidR="00E61B97">
        <w:t xml:space="preserve">  </w:t>
      </w:r>
    </w:p>
    <w:p w14:paraId="0F3A8373" w14:textId="049572AE" w:rsidR="00AA4C3E" w:rsidRDefault="00062F8A" w:rsidP="009B34AC">
      <w:pPr>
        <w:spacing w:line="480" w:lineRule="auto"/>
        <w:ind w:firstLine="720"/>
      </w:pPr>
      <w:r>
        <w:t>Second</w:t>
      </w:r>
      <w:r w:rsidR="00CA6AC8">
        <w:t>, a</w:t>
      </w:r>
      <w:r w:rsidR="00830281" w:rsidRPr="00062F8A">
        <w:rPr>
          <w:i/>
        </w:rPr>
        <w:t xml:space="preserve"> morally distressing </w:t>
      </w:r>
      <w:r>
        <w:t xml:space="preserve">case may become </w:t>
      </w:r>
      <w:r w:rsidR="00CA6AC8">
        <w:t xml:space="preserve">more </w:t>
      </w:r>
      <w:r w:rsidR="00830281">
        <w:t>manageable</w:t>
      </w:r>
      <w:r w:rsidR="001154BB">
        <w:t xml:space="preserve"> </w:t>
      </w:r>
      <w:r w:rsidR="00782D3A">
        <w:t>once a</w:t>
      </w:r>
      <w:r w:rsidR="00830281">
        <w:t xml:space="preserve"> </w:t>
      </w:r>
      <w:r w:rsidR="009B34AC">
        <w:t>MAID provider</w:t>
      </w:r>
      <w:r w:rsidR="00830281">
        <w:t xml:space="preserve"> </w:t>
      </w:r>
      <w:r w:rsidR="00153300">
        <w:t xml:space="preserve">has </w:t>
      </w:r>
      <w:r w:rsidR="009B34AC">
        <w:t xml:space="preserve">an opportunity to </w:t>
      </w:r>
      <w:r w:rsidR="00AA4C3E">
        <w:t xml:space="preserve">explore </w:t>
      </w:r>
      <w:r w:rsidR="00C972BF">
        <w:t xml:space="preserve">precisely </w:t>
      </w:r>
      <w:r w:rsidR="00AA4C3E">
        <w:t xml:space="preserve">what makes her case hard. </w:t>
      </w:r>
      <w:r w:rsidR="00CC72BD">
        <w:t>S</w:t>
      </w:r>
      <w:r w:rsidR="004C3ACC">
        <w:t>he may find herself un</w:t>
      </w:r>
      <w:r w:rsidR="00CC72BD">
        <w:t>able</w:t>
      </w:r>
      <w:r w:rsidR="00830281">
        <w:t xml:space="preserve"> </w:t>
      </w:r>
      <w:r w:rsidR="004C3ACC">
        <w:t xml:space="preserve">to fulfil </w:t>
      </w:r>
      <w:r w:rsidR="00EE1B85">
        <w:t xml:space="preserve">a </w:t>
      </w:r>
      <w:r w:rsidR="00360652">
        <w:t xml:space="preserve">patient’s </w:t>
      </w:r>
      <w:r w:rsidR="00EE1B85">
        <w:t xml:space="preserve">request because his </w:t>
      </w:r>
      <w:r w:rsidR="00360652">
        <w:t xml:space="preserve">capacity to consent </w:t>
      </w:r>
      <w:r w:rsidR="00782D3A">
        <w:t>has become</w:t>
      </w:r>
      <w:r w:rsidR="00BC1BA9">
        <w:t xml:space="preserve"> questionable</w:t>
      </w:r>
      <w:r w:rsidR="0029501F">
        <w:t xml:space="preserve"> or </w:t>
      </w:r>
      <w:r w:rsidR="00360652">
        <w:t>has been lost</w:t>
      </w:r>
      <w:r w:rsidR="0029501F">
        <w:t xml:space="preserve"> altogether</w:t>
      </w:r>
      <w:r w:rsidR="00CC72BD">
        <w:t>.</w:t>
      </w:r>
      <w:r w:rsidR="00153300">
        <w:t xml:space="preserve"> </w:t>
      </w:r>
      <w:r w:rsidR="001154BB">
        <w:t>In such a</w:t>
      </w:r>
      <w:r w:rsidR="004C3ACC">
        <w:t xml:space="preserve"> case, t</w:t>
      </w:r>
      <w:r w:rsidR="00153300">
        <w:t xml:space="preserve">he legal prohibition on advance </w:t>
      </w:r>
      <w:r w:rsidR="002318E9">
        <w:t>requests may oblige</w:t>
      </w:r>
      <w:r w:rsidR="00153300">
        <w:t xml:space="preserve"> her to withhold the intervention, but opting</w:t>
      </w:r>
      <w:r w:rsidR="004C3ACC">
        <w:t xml:space="preserve"> for the prudent course may</w:t>
      </w:r>
      <w:r w:rsidR="00153300">
        <w:t xml:space="preserve"> not strike her as </w:t>
      </w:r>
      <w:r w:rsidR="00EE1B85">
        <w:t>t</w:t>
      </w:r>
      <w:r w:rsidR="00CC72BD">
        <w:t xml:space="preserve">he </w:t>
      </w:r>
      <w:r w:rsidR="00B34B26">
        <w:t xml:space="preserve">morally </w:t>
      </w:r>
      <w:r w:rsidR="00CC72BD">
        <w:t>right thing to do</w:t>
      </w:r>
      <w:r w:rsidR="00EE1B85">
        <w:t xml:space="preserve">. </w:t>
      </w:r>
      <w:r>
        <w:t>I</w:t>
      </w:r>
      <w:r w:rsidR="00EE6979">
        <w:t>n such a case the</w:t>
      </w:r>
      <w:r w:rsidR="00782D3A">
        <w:t xml:space="preserve"> </w:t>
      </w:r>
      <w:r w:rsidR="00E14FFD">
        <w:t>PHE</w:t>
      </w:r>
      <w:r w:rsidR="00782D3A">
        <w:t xml:space="preserve"> may</w:t>
      </w:r>
      <w:r>
        <w:t xml:space="preserve"> not </w:t>
      </w:r>
      <w:r w:rsidR="00782D3A">
        <w:t>need</w:t>
      </w:r>
      <w:r w:rsidR="00B34B26">
        <w:t xml:space="preserve"> to point out the arguments that favour </w:t>
      </w:r>
      <w:r w:rsidR="008A3DF9">
        <w:t>action or in</w:t>
      </w:r>
      <w:r w:rsidR="00C15D42">
        <w:t>action.</w:t>
      </w:r>
      <w:r w:rsidR="00930F52">
        <w:t xml:space="preserve"> </w:t>
      </w:r>
      <w:r w:rsidR="00C15D42">
        <w:t xml:space="preserve">Instead, </w:t>
      </w:r>
      <w:r w:rsidR="00782D3A">
        <w:t>she may be engaged to offer a sympathetic ear</w:t>
      </w:r>
      <w:r w:rsidR="008A3DF9">
        <w:t>,</w:t>
      </w:r>
      <w:r w:rsidR="00782D3A">
        <w:t xml:space="preserve"> or </w:t>
      </w:r>
      <w:r w:rsidR="002318E9">
        <w:t xml:space="preserve">to provide </w:t>
      </w:r>
      <w:r w:rsidR="00EE6979">
        <w:t>a reiteration</w:t>
      </w:r>
      <w:r w:rsidR="008A3DF9">
        <w:t xml:space="preserve"> of the </w:t>
      </w:r>
      <w:r w:rsidR="00F22BDE">
        <w:t>features of t</w:t>
      </w:r>
      <w:r w:rsidR="008A3DF9">
        <w:t>he case that render MAID provision</w:t>
      </w:r>
      <w:r w:rsidR="00151413">
        <w:t xml:space="preserve"> a </w:t>
      </w:r>
      <w:r w:rsidR="00F22BDE">
        <w:t xml:space="preserve">professional </w:t>
      </w:r>
      <w:r w:rsidR="00151413">
        <w:t xml:space="preserve">and legal </w:t>
      </w:r>
      <w:r w:rsidR="00F22BDE">
        <w:t xml:space="preserve">hazard.  </w:t>
      </w:r>
      <w:r w:rsidR="00C15D42">
        <w:t xml:space="preserve">  </w:t>
      </w:r>
      <w:r w:rsidR="00EE1B85">
        <w:t xml:space="preserve"> </w:t>
      </w:r>
    </w:p>
    <w:p w14:paraId="52D19C22" w14:textId="432FC679" w:rsidR="00D606AC" w:rsidRDefault="00360652" w:rsidP="009B34AC">
      <w:pPr>
        <w:spacing w:line="480" w:lineRule="auto"/>
        <w:ind w:firstLine="720"/>
      </w:pPr>
      <w:r>
        <w:t xml:space="preserve">A </w:t>
      </w:r>
      <w:r w:rsidRPr="00F22BDE">
        <w:rPr>
          <w:i/>
        </w:rPr>
        <w:t>penumbral case</w:t>
      </w:r>
      <w:r w:rsidR="004C3ACC">
        <w:t>, however</w:t>
      </w:r>
      <w:r w:rsidR="00CA6AC8">
        <w:t>, may r</w:t>
      </w:r>
      <w:r w:rsidR="00B03E96">
        <w:t xml:space="preserve">equire greater </w:t>
      </w:r>
      <w:r w:rsidR="00F22BDE">
        <w:t xml:space="preserve">conceptual </w:t>
      </w:r>
      <w:r w:rsidR="00B03E96">
        <w:t>effort to disentangle</w:t>
      </w:r>
      <w:r w:rsidR="004C3ACC">
        <w:t xml:space="preserve"> th</w:t>
      </w:r>
      <w:r w:rsidR="00B34B26">
        <w:t>an the previous</w:t>
      </w:r>
      <w:r w:rsidR="004C3ACC">
        <w:t xml:space="preserve"> two</w:t>
      </w:r>
      <w:r w:rsidR="00F22BDE">
        <w:t>,</w:t>
      </w:r>
      <w:r w:rsidR="004C3ACC">
        <w:t xml:space="preserve"> precisely </w:t>
      </w:r>
      <w:r w:rsidR="0002783A">
        <w:t xml:space="preserve">because </w:t>
      </w:r>
      <w:r w:rsidR="007F0263">
        <w:t xml:space="preserve">(as with legal penumbral cases) </w:t>
      </w:r>
      <w:r w:rsidR="0002783A">
        <w:t xml:space="preserve">it cannot </w:t>
      </w:r>
      <w:r w:rsidR="003F3243">
        <w:t>easily be resolved</w:t>
      </w:r>
      <w:r w:rsidR="0002783A">
        <w:t xml:space="preserve"> by consulting </w:t>
      </w:r>
      <w:r w:rsidR="00F22BDE">
        <w:t xml:space="preserve">relevant </w:t>
      </w:r>
      <w:r w:rsidR="00EE6979">
        <w:t xml:space="preserve">rules, </w:t>
      </w:r>
      <w:r w:rsidR="0002783A">
        <w:t>precedents</w:t>
      </w:r>
      <w:r w:rsidR="003F3243">
        <w:t>,</w:t>
      </w:r>
      <w:r w:rsidR="0002783A">
        <w:t xml:space="preserve"> or analogous cases. The</w:t>
      </w:r>
      <w:r w:rsidR="0029501F">
        <w:t xml:space="preserve"> case</w:t>
      </w:r>
      <w:r w:rsidR="009F57CF">
        <w:t xml:space="preserve"> of </w:t>
      </w:r>
      <w:r w:rsidR="0029501F">
        <w:t>a frail elderly couple</w:t>
      </w:r>
      <w:r w:rsidR="009F57CF">
        <w:t xml:space="preserve"> seeking to die together</w:t>
      </w:r>
      <w:r w:rsidR="00930F52">
        <w:t>,</w:t>
      </w:r>
      <w:r w:rsidR="009F57CF">
        <w:t xml:space="preserve"> </w:t>
      </w:r>
      <w:r w:rsidR="00930F52">
        <w:t>via MAID, after many decades of happy marriage</w:t>
      </w:r>
      <w:r w:rsidR="00FD54C9">
        <w:t xml:space="preserve"> may strike some as hard</w:t>
      </w:r>
      <w:r w:rsidR="0029501F">
        <w:t>,</w:t>
      </w:r>
      <w:r w:rsidR="009F57CF">
        <w:t xml:space="preserve"> because the </w:t>
      </w:r>
      <w:r w:rsidR="00321ED1">
        <w:t xml:space="preserve">source </w:t>
      </w:r>
      <w:r w:rsidR="00FF74FF">
        <w:t xml:space="preserve">of the healthier spouse’s </w:t>
      </w:r>
      <w:r w:rsidR="00EE6979">
        <w:t>suffering is</w:t>
      </w:r>
      <w:r w:rsidR="009F57CF">
        <w:t xml:space="preserve"> </w:t>
      </w:r>
      <w:r w:rsidR="00EE6979">
        <w:t>not</w:t>
      </w:r>
      <w:r w:rsidR="00FF74FF">
        <w:t xml:space="preserve"> </w:t>
      </w:r>
      <w:r w:rsidR="00BC1BA9">
        <w:t xml:space="preserve">purely </w:t>
      </w:r>
      <w:r w:rsidR="00FF74FF">
        <w:t>physical in nature</w:t>
      </w:r>
      <w:r w:rsidR="002D3CA5">
        <w:t>,</w:t>
      </w:r>
      <w:r w:rsidR="00BC1BA9">
        <w:t xml:space="preserve"> but </w:t>
      </w:r>
      <w:r w:rsidR="00BC1BA9">
        <w:lastRenderedPageBreak/>
        <w:t>is rooted in</w:t>
      </w:r>
      <w:r w:rsidR="00321ED1">
        <w:t xml:space="preserve"> </w:t>
      </w:r>
      <w:r w:rsidR="00E15446">
        <w:t xml:space="preserve">the fear of </w:t>
      </w:r>
      <w:r w:rsidR="009F57CF">
        <w:t xml:space="preserve">a </w:t>
      </w:r>
      <w:r w:rsidR="00E15446">
        <w:t xml:space="preserve">future </w:t>
      </w:r>
      <w:r w:rsidR="00FF74FF">
        <w:t>with</w:t>
      </w:r>
      <w:r w:rsidR="00E15446">
        <w:t>out his beloved</w:t>
      </w:r>
      <w:r w:rsidR="00FF74FF">
        <w:t>.</w:t>
      </w:r>
      <w:r w:rsidR="00FF74FF">
        <w:rPr>
          <w:rStyle w:val="FootnoteReference"/>
        </w:rPr>
        <w:footnoteReference w:id="176"/>
      </w:r>
      <w:r w:rsidR="00FF74FF">
        <w:t xml:space="preserve"> </w:t>
      </w:r>
      <w:r w:rsidR="00404992">
        <w:t>Their</w:t>
      </w:r>
      <w:r w:rsidR="00101D77">
        <w:t xml:space="preserve"> assessor may find herself</w:t>
      </w:r>
      <w:r w:rsidR="002D3CA5">
        <w:t xml:space="preserve"> </w:t>
      </w:r>
      <w:r w:rsidR="002422E2">
        <w:t>torn with respect to the question of eligibility</w:t>
      </w:r>
      <w:r w:rsidR="00F135D6">
        <w:t xml:space="preserve"> </w:t>
      </w:r>
      <w:r w:rsidR="00101D77">
        <w:t>because although</w:t>
      </w:r>
      <w:r w:rsidR="002D3CA5">
        <w:t xml:space="preserve"> </w:t>
      </w:r>
      <w:r w:rsidR="00101D77">
        <w:t xml:space="preserve">she </w:t>
      </w:r>
      <w:r w:rsidR="002D3CA5">
        <w:t>believes thei</w:t>
      </w:r>
      <w:r w:rsidR="002422E2">
        <w:t>r distress</w:t>
      </w:r>
      <w:r w:rsidR="002D3CA5">
        <w:t xml:space="preserve"> to be genuine and compelling</w:t>
      </w:r>
      <w:r w:rsidR="00847160">
        <w:t xml:space="preserve">, </w:t>
      </w:r>
      <w:r w:rsidR="0029501F">
        <w:t xml:space="preserve">she </w:t>
      </w:r>
      <w:r w:rsidR="00F831E1">
        <w:t xml:space="preserve">may </w:t>
      </w:r>
      <w:r w:rsidR="00B03E96">
        <w:t xml:space="preserve">worry </w:t>
      </w:r>
      <w:r w:rsidR="00847160">
        <w:t>that it</w:t>
      </w:r>
      <w:r w:rsidR="002422E2">
        <w:t xml:space="preserve"> does </w:t>
      </w:r>
      <w:r w:rsidR="00FC7072">
        <w:t>not meet the requisite legal and ethical thresholds</w:t>
      </w:r>
      <w:r w:rsidR="00F135D6">
        <w:t xml:space="preserve"> (b</w:t>
      </w:r>
      <w:r w:rsidR="002422E2">
        <w:t>ecause the loss of a loved one is a</w:t>
      </w:r>
      <w:r w:rsidR="00851014">
        <w:t xml:space="preserve"> pain that is a </w:t>
      </w:r>
      <w:r w:rsidR="00F135D6">
        <w:t xml:space="preserve">universal </w:t>
      </w:r>
      <w:r w:rsidR="00851014">
        <w:t xml:space="preserve">and </w:t>
      </w:r>
      <w:r w:rsidR="002422E2">
        <w:t xml:space="preserve">surmountable </w:t>
      </w:r>
      <w:r w:rsidR="00851014">
        <w:t>part of the human condition</w:t>
      </w:r>
      <w:r w:rsidR="002D3CA5">
        <w:t>)</w:t>
      </w:r>
      <w:r w:rsidR="00F135D6">
        <w:t>.</w:t>
      </w:r>
      <w:r w:rsidR="00131E1A">
        <w:t xml:space="preserve"> </w:t>
      </w:r>
      <w:r w:rsidR="009E0EBE">
        <w:t xml:space="preserve">Consultation with a slight and contradictory literature may yield little guidance as well. While some have argued </w:t>
      </w:r>
      <w:r w:rsidR="00352877">
        <w:t>that the</w:t>
      </w:r>
      <w:r w:rsidR="009E0EBE">
        <w:t xml:space="preserve"> relief of existential suffering is therapeutic</w:t>
      </w:r>
      <w:r w:rsidR="00131E1A">
        <w:t>,</w:t>
      </w:r>
      <w:r w:rsidR="009E0EBE">
        <w:t xml:space="preserve"> </w:t>
      </w:r>
      <w:r w:rsidR="00131E1A">
        <w:t>and a good that ca</w:t>
      </w:r>
      <w:r w:rsidR="00FD54C9">
        <w:t>n be</w:t>
      </w:r>
      <w:r w:rsidR="00131E1A">
        <w:t xml:space="preserve"> pursu</w:t>
      </w:r>
      <w:r w:rsidR="00FD54C9">
        <w:t>ed via</w:t>
      </w:r>
      <w:r w:rsidR="00131E1A">
        <w:t xml:space="preserve"> MAID</w:t>
      </w:r>
      <w:r w:rsidR="00352877">
        <w:t>, others are</w:t>
      </w:r>
      <w:r w:rsidR="009E0EBE">
        <w:t xml:space="preserve"> </w:t>
      </w:r>
      <w:r w:rsidR="00352877">
        <w:t xml:space="preserve">concerned </w:t>
      </w:r>
      <w:r w:rsidR="009E0EBE">
        <w:t xml:space="preserve">about interpretations of eligibility </w:t>
      </w:r>
      <w:r w:rsidR="000834C5">
        <w:t>that</w:t>
      </w:r>
      <w:r w:rsidR="000713B9">
        <w:t xml:space="preserve"> </w:t>
      </w:r>
      <w:r w:rsidR="000834C5">
        <w:t xml:space="preserve">treat old age and </w:t>
      </w:r>
      <w:r w:rsidR="009E0EBE">
        <w:t>frail</w:t>
      </w:r>
      <w:r w:rsidR="000834C5">
        <w:t>ty as grievous and irremediable</w:t>
      </w:r>
      <w:r w:rsidR="00D47AC7">
        <w:t xml:space="preserve"> conditions</w:t>
      </w:r>
      <w:r w:rsidR="009E0EBE">
        <w:t>.</w:t>
      </w:r>
      <w:r w:rsidR="001C218D">
        <w:rPr>
          <w:rStyle w:val="FootnoteReference"/>
        </w:rPr>
        <w:footnoteReference w:id="177"/>
      </w:r>
      <w:r w:rsidR="009A0446">
        <w:t xml:space="preserve"> In a case of this kind, the PHE must not succumb to the temptation </w:t>
      </w:r>
      <w:r w:rsidR="00F118B0">
        <w:t>to substitute her moral beliefs for t</w:t>
      </w:r>
      <w:r w:rsidR="00BC1BA9">
        <w:t xml:space="preserve">hose of the assessor. On the other hand, </w:t>
      </w:r>
      <w:r w:rsidR="000713B9">
        <w:t xml:space="preserve">it is </w:t>
      </w:r>
      <w:r w:rsidR="00F118B0">
        <w:t>unlikel</w:t>
      </w:r>
      <w:r w:rsidR="009A0446">
        <w:t xml:space="preserve">y that presenting </w:t>
      </w:r>
      <w:r w:rsidR="00F118B0">
        <w:t xml:space="preserve">a catalogue of current perspectives </w:t>
      </w:r>
      <w:r w:rsidR="009A0446">
        <w:t xml:space="preserve">will offer either </w:t>
      </w:r>
      <w:r w:rsidR="00E41897">
        <w:t>comfort or a strategy for resolving the conflict</w:t>
      </w:r>
      <w:r w:rsidR="00131E1A">
        <w:t>.</w:t>
      </w:r>
      <w:r w:rsidR="001B12B1">
        <w:t xml:space="preserve"> </w:t>
      </w:r>
      <w:r w:rsidR="0042327A">
        <w:t xml:space="preserve"> </w:t>
      </w:r>
    </w:p>
    <w:p w14:paraId="4E5FAE86" w14:textId="77777777" w:rsidR="00FA4118" w:rsidRDefault="00FD54C9" w:rsidP="00413D95">
      <w:pPr>
        <w:spacing w:line="480" w:lineRule="auto"/>
        <w:ind w:firstLine="720"/>
      </w:pPr>
      <w:r>
        <w:lastRenderedPageBreak/>
        <w:t xml:space="preserve">As has already been acknowledged, </w:t>
      </w:r>
      <w:r w:rsidR="00404992">
        <w:t xml:space="preserve">an ethicist’s </w:t>
      </w:r>
      <w:r w:rsidR="0027168F">
        <w:t>approach</w:t>
      </w:r>
      <w:r w:rsidR="00404992">
        <w:t xml:space="preserve"> </w:t>
      </w:r>
      <w:r>
        <w:t xml:space="preserve">to </w:t>
      </w:r>
      <w:r w:rsidR="00151413">
        <w:t>consultation</w:t>
      </w:r>
      <w:r w:rsidR="00837CB5">
        <w:t xml:space="preserve"> </w:t>
      </w:r>
      <w:r w:rsidR="00472AEB">
        <w:t xml:space="preserve">generally </w:t>
      </w:r>
      <w:r w:rsidR="00151413">
        <w:t xml:space="preserve">ought to </w:t>
      </w:r>
      <w:r w:rsidR="00404992">
        <w:t>be non-directive</w:t>
      </w:r>
      <w:r w:rsidR="009F2CF5">
        <w:t>,</w:t>
      </w:r>
      <w:r w:rsidR="00404992">
        <w:t xml:space="preserve"> and</w:t>
      </w:r>
      <w:r w:rsidR="00837CB5">
        <w:t xml:space="preserve"> </w:t>
      </w:r>
      <w:r w:rsidR="00404992">
        <w:t xml:space="preserve">decision-making </w:t>
      </w:r>
      <w:r w:rsidR="00321ED1">
        <w:t xml:space="preserve">authority </w:t>
      </w:r>
      <w:r w:rsidR="009A0446">
        <w:t xml:space="preserve">should </w:t>
      </w:r>
      <w:r w:rsidR="00321ED1">
        <w:t>remain</w:t>
      </w:r>
      <w:r w:rsidR="00404992">
        <w:t xml:space="preserve"> with the </w:t>
      </w:r>
      <w:r w:rsidR="00131E1A">
        <w:t xml:space="preserve">primary </w:t>
      </w:r>
      <w:r w:rsidR="00404992">
        <w:t>stakeholders</w:t>
      </w:r>
      <w:r w:rsidR="009B6900">
        <w:t>:</w:t>
      </w:r>
      <w:r w:rsidR="0090284B">
        <w:t xml:space="preserve"> </w:t>
      </w:r>
      <w:r w:rsidR="00474E46">
        <w:t xml:space="preserve">the patients, the providers, and any others, </w:t>
      </w:r>
      <w:r w:rsidR="0090284B">
        <w:t xml:space="preserve">who will bear the </w:t>
      </w:r>
      <w:r w:rsidR="00131E1A">
        <w:t xml:space="preserve">brunt of the </w:t>
      </w:r>
      <w:r w:rsidR="0090284B">
        <w:t xml:space="preserve">burdens, or responsibilities, </w:t>
      </w:r>
      <w:r w:rsidR="00321ED1">
        <w:t xml:space="preserve">associated </w:t>
      </w:r>
      <w:r w:rsidR="00474E46">
        <w:t xml:space="preserve">with </w:t>
      </w:r>
      <w:r w:rsidR="0090284B">
        <w:t>those decisions</w:t>
      </w:r>
      <w:r w:rsidR="00474E46">
        <w:t>.</w:t>
      </w:r>
      <w:r w:rsidR="00321ED1">
        <w:t xml:space="preserve"> </w:t>
      </w:r>
      <w:r w:rsidR="00D626CD">
        <w:t>T</w:t>
      </w:r>
      <w:r w:rsidR="0027168F">
        <w:t xml:space="preserve">he ASBH </w:t>
      </w:r>
      <w:r w:rsidR="0027168F" w:rsidRPr="00590FBB">
        <w:rPr>
          <w:i/>
        </w:rPr>
        <w:t>Core Competencies</w:t>
      </w:r>
      <w:r w:rsidR="0027168F">
        <w:t xml:space="preserve"> Guide </w:t>
      </w:r>
      <w:r w:rsidR="007E6277">
        <w:t xml:space="preserve">has described the skills, knowledge, and attributes essential to the </w:t>
      </w:r>
      <w:r w:rsidR="00474E46">
        <w:t xml:space="preserve">proper conduct of clinical </w:t>
      </w:r>
      <w:r w:rsidR="0074078B">
        <w:t xml:space="preserve">ethics </w:t>
      </w:r>
      <w:r w:rsidR="00474E46">
        <w:t>consultation</w:t>
      </w:r>
      <w:r w:rsidR="00D626CD">
        <w:t xml:space="preserve"> as it is so conceived</w:t>
      </w:r>
      <w:r w:rsidR="00151413">
        <w:t xml:space="preserve">. A </w:t>
      </w:r>
      <w:r w:rsidR="007E6277">
        <w:t xml:space="preserve">question that has largely been neglected, </w:t>
      </w:r>
      <w:r w:rsidR="00151413">
        <w:t xml:space="preserve">however, </w:t>
      </w:r>
      <w:r w:rsidR="007E6277">
        <w:t xml:space="preserve">on both sides of the </w:t>
      </w:r>
      <w:r w:rsidR="0074078B">
        <w:t xml:space="preserve">Canadian-American </w:t>
      </w:r>
      <w:r w:rsidR="007E6277">
        <w:t>border, i</w:t>
      </w:r>
      <w:r w:rsidR="0074078B">
        <w:t xml:space="preserve">s </w:t>
      </w:r>
      <w:r w:rsidR="007E6277">
        <w:t xml:space="preserve">how practicing healthcare ethicists ought to </w:t>
      </w:r>
      <w:r w:rsidR="009B6900">
        <w:t>respond when those stakeholders</w:t>
      </w:r>
      <w:r w:rsidR="00474E46">
        <w:t xml:space="preserve"> seek </w:t>
      </w:r>
      <w:r w:rsidR="008D3D3E">
        <w:t xml:space="preserve">something other than </w:t>
      </w:r>
      <w:r w:rsidR="00D626CD">
        <w:t xml:space="preserve">mediation, clarification, or </w:t>
      </w:r>
      <w:r w:rsidR="008D3D3E">
        <w:t>education about available op</w:t>
      </w:r>
      <w:r w:rsidR="00474E46">
        <w:t>t</w:t>
      </w:r>
      <w:r w:rsidR="008D3D3E">
        <w:t>i</w:t>
      </w:r>
      <w:r w:rsidR="00474E46">
        <w:t>o</w:t>
      </w:r>
      <w:r w:rsidR="008D3D3E">
        <w:t xml:space="preserve">ns. On </w:t>
      </w:r>
      <w:r w:rsidR="0074078B">
        <w:t xml:space="preserve">occasion, </w:t>
      </w:r>
      <w:r w:rsidR="00DF6A69">
        <w:t>PHE</w:t>
      </w:r>
      <w:r w:rsidR="008D3D3E">
        <w:t xml:space="preserve">s may </w:t>
      </w:r>
      <w:r w:rsidR="000834C5">
        <w:t xml:space="preserve">specifically </w:t>
      </w:r>
      <w:r w:rsidR="008D3D3E">
        <w:t>be asked to evaluate the evidence before them and</w:t>
      </w:r>
      <w:r w:rsidR="00DF6A69">
        <w:t xml:space="preserve"> to deliver an </w:t>
      </w:r>
      <w:r w:rsidR="00352877">
        <w:t>ethical assessment</w:t>
      </w:r>
      <w:r w:rsidR="00590FBB">
        <w:t xml:space="preserve"> of their own.</w:t>
      </w:r>
      <w:r w:rsidR="0074078B">
        <w:t xml:space="preserve"> This is especially true with respect to organisational ethics consultation</w:t>
      </w:r>
      <w:r w:rsidR="00DF6A69">
        <w:t>s</w:t>
      </w:r>
      <w:r w:rsidR="00E41897">
        <w:t>,</w:t>
      </w:r>
      <w:r w:rsidR="0074078B">
        <w:t xml:space="preserve"> but it can occur in clinical cases</w:t>
      </w:r>
      <w:r w:rsidR="00151413">
        <w:t xml:space="preserve"> too, especially when they are of a penumbral kind</w:t>
      </w:r>
      <w:r w:rsidR="0074078B">
        <w:t>. How ethicists respond to such requests is a delicate matter and may shape perceptions of the field’</w:t>
      </w:r>
      <w:r w:rsidR="00DD1272">
        <w:t xml:space="preserve">s </w:t>
      </w:r>
      <w:r w:rsidR="0074078B">
        <w:t>interests</w:t>
      </w:r>
      <w:r w:rsidR="00DD1272">
        <w:t xml:space="preserve"> and influence</w:t>
      </w:r>
      <w:r w:rsidR="0074078B">
        <w:t xml:space="preserve">. </w:t>
      </w:r>
      <w:r w:rsidR="00837CB5">
        <w:t xml:space="preserve">This takes us back to our earlier worries about </w:t>
      </w:r>
      <w:r w:rsidR="00E86C98">
        <w:t>undue influence or conflict of interest</w:t>
      </w:r>
      <w:r w:rsidR="00DE2876">
        <w:t xml:space="preserve"> </w:t>
      </w:r>
      <w:r w:rsidR="00837CB5">
        <w:t xml:space="preserve">– worries that may be </w:t>
      </w:r>
      <w:r w:rsidR="00151413">
        <w:t>assuaged</w:t>
      </w:r>
      <w:r w:rsidR="00837CB5">
        <w:t xml:space="preserve"> if we pause to consider </w:t>
      </w:r>
      <w:r w:rsidR="00DF6A69">
        <w:t xml:space="preserve">what </w:t>
      </w:r>
      <w:r w:rsidR="00FA4118">
        <w:t>we’ll call, with credit due to Francis Kamm, the insi</w:t>
      </w:r>
      <w:r w:rsidR="00413D95">
        <w:t>der-outsider problem for practicing healthcare</w:t>
      </w:r>
      <w:r w:rsidR="00FA4118">
        <w:t xml:space="preserve"> ethicists.</w:t>
      </w:r>
    </w:p>
    <w:p w14:paraId="47B73348" w14:textId="77777777" w:rsidR="00413D95" w:rsidRDefault="00413D95" w:rsidP="00413D95">
      <w:pPr>
        <w:rPr>
          <w:i/>
        </w:rPr>
      </w:pPr>
    </w:p>
    <w:p w14:paraId="5A371A83" w14:textId="15C05294" w:rsidR="00474E46" w:rsidRDefault="00DF6A69" w:rsidP="00A406CA">
      <w:pPr>
        <w:rPr>
          <w:i/>
        </w:rPr>
      </w:pPr>
      <w:r>
        <w:rPr>
          <w:i/>
        </w:rPr>
        <w:t>Taking sides or occupying the</w:t>
      </w:r>
      <w:r w:rsidR="00413D95" w:rsidRPr="00413D95">
        <w:rPr>
          <w:i/>
        </w:rPr>
        <w:t xml:space="preserve"> middle ground? An insider/outsider approach to the practice of ethics consultation</w:t>
      </w:r>
    </w:p>
    <w:p w14:paraId="0F00E6C3" w14:textId="77777777" w:rsidR="00A406CA" w:rsidRPr="00A406CA" w:rsidRDefault="00A406CA" w:rsidP="00A406CA">
      <w:pPr>
        <w:rPr>
          <w:i/>
        </w:rPr>
      </w:pPr>
    </w:p>
    <w:p w14:paraId="30A19225" w14:textId="77777777" w:rsidR="004B5BF0" w:rsidRDefault="00E41897" w:rsidP="00180084">
      <w:pPr>
        <w:spacing w:line="480" w:lineRule="auto"/>
        <w:ind w:firstLine="720"/>
      </w:pPr>
      <w:r>
        <w:lastRenderedPageBreak/>
        <w:t>In a brief</w:t>
      </w:r>
      <w:r w:rsidR="00404CA9">
        <w:t>,</w:t>
      </w:r>
      <w:r>
        <w:t xml:space="preserve"> but densely argued paper</w:t>
      </w:r>
      <w:r w:rsidR="00404CA9">
        <w:t>,</w:t>
      </w:r>
      <w:r>
        <w:t xml:space="preserve"> </w:t>
      </w:r>
      <w:r w:rsidR="004B5BF0">
        <w:t>“</w:t>
      </w:r>
      <w:r w:rsidR="004B5BF0" w:rsidRPr="004B5BF0">
        <w:t>The Philosopher as Insider and Outsider: How to Advise, Compromise, and Criticize</w:t>
      </w:r>
      <w:r w:rsidR="004B5BF0">
        <w:t xml:space="preserve">,” </w:t>
      </w:r>
      <w:r>
        <w:t xml:space="preserve">Kamm </w:t>
      </w:r>
      <w:r w:rsidR="009B36F2">
        <w:t>considered the</w:t>
      </w:r>
      <w:r w:rsidR="00404CA9">
        <w:t xml:space="preserve"> now well-known</w:t>
      </w:r>
      <w:r w:rsidR="009B36F2">
        <w:t xml:space="preserve"> </w:t>
      </w:r>
      <w:r w:rsidR="004B5BF0">
        <w:t>dilemma faced by Dan Brock during the year</w:t>
      </w:r>
      <w:r w:rsidR="009B36F2">
        <w:t xml:space="preserve"> he served </w:t>
      </w:r>
      <w:r w:rsidR="00404CA9">
        <w:t>as staff philosopher for</w:t>
      </w:r>
      <w:r w:rsidR="00151413">
        <w:t xml:space="preserve"> the </w:t>
      </w:r>
      <w:r w:rsidR="009B36F2">
        <w:t xml:space="preserve">President’s Commission on </w:t>
      </w:r>
      <w:r w:rsidR="00404CA9">
        <w:t xml:space="preserve">Ethical Issues in Medicine. Despite the fact that Brock believed that </w:t>
      </w:r>
      <w:r w:rsidR="00976C25">
        <w:t xml:space="preserve">the distinction between killing and letting-die </w:t>
      </w:r>
      <w:r w:rsidR="00D406E9">
        <w:t xml:space="preserve">was </w:t>
      </w:r>
      <w:r w:rsidR="00E81726">
        <w:t xml:space="preserve">ethically </w:t>
      </w:r>
      <w:r w:rsidR="00526189">
        <w:t>immaterial</w:t>
      </w:r>
      <w:r w:rsidR="00D406E9">
        <w:t xml:space="preserve"> in a number of medical contexts</w:t>
      </w:r>
      <w:r w:rsidR="00976C25">
        <w:t>, he</w:t>
      </w:r>
      <w:r w:rsidR="004B5BF0">
        <w:t xml:space="preserve"> </w:t>
      </w:r>
      <w:r w:rsidR="00D406E9">
        <w:t xml:space="preserve">did not share that conviction </w:t>
      </w:r>
      <w:r w:rsidR="00E81726">
        <w:t xml:space="preserve">with the commissioners </w:t>
      </w:r>
      <w:r w:rsidR="00D406E9">
        <w:t>out of a</w:t>
      </w:r>
      <w:r w:rsidR="00E81726">
        <w:t>n overriding</w:t>
      </w:r>
      <w:r w:rsidR="00D406E9">
        <w:t xml:space="preserve"> conce</w:t>
      </w:r>
      <w:r w:rsidR="00741931">
        <w:t xml:space="preserve">rn that </w:t>
      </w:r>
      <w:r w:rsidR="000713B9">
        <w:t>forthrightness would forfeit any prospect of securing</w:t>
      </w:r>
      <w:r w:rsidR="00E81726">
        <w:t xml:space="preserve"> consensus on important policy matters</w:t>
      </w:r>
      <w:r w:rsidR="00D406E9">
        <w:t>.</w:t>
      </w:r>
      <w:r w:rsidR="00353D94">
        <w:t xml:space="preserve"> Brock regretted the need to be “manipulative” but</w:t>
      </w:r>
      <w:r w:rsidR="005C2DFF">
        <w:t>, suggests Kamm, he</w:t>
      </w:r>
      <w:r w:rsidR="00353D94">
        <w:t xml:space="preserve"> </w:t>
      </w:r>
      <w:r w:rsidR="00741931">
        <w:t>held the view</w:t>
      </w:r>
      <w:r w:rsidR="005C2DFF">
        <w:t xml:space="preserve"> </w:t>
      </w:r>
      <w:r w:rsidR="00353D94">
        <w:t xml:space="preserve">that </w:t>
      </w:r>
      <w:r w:rsidR="00180084">
        <w:t xml:space="preserve">unlike academic philosophers, who are bound to “follow the truth wherever it leads regardless of consequences and to leave no assumptions unchallenged…philosophers in the public realm should not do likewise” because their duties are owed </w:t>
      </w:r>
      <w:r w:rsidR="007E4080">
        <w:t>to the public.</w:t>
      </w:r>
      <w:r w:rsidR="005C2DFF">
        <w:rPr>
          <w:rStyle w:val="FootnoteReference"/>
        </w:rPr>
        <w:footnoteReference w:id="178"/>
      </w:r>
      <w:r w:rsidR="007E4080">
        <w:t xml:space="preserve"> Discharging those duties appropriately</w:t>
      </w:r>
      <w:r w:rsidR="005C2DFF">
        <w:t>, Brock maintained</w:t>
      </w:r>
      <w:r w:rsidR="007E4080">
        <w:t>, consists in supporting whichever policy or policie</w:t>
      </w:r>
      <w:r w:rsidR="00460871">
        <w:t xml:space="preserve">s are </w:t>
      </w:r>
      <w:r w:rsidR="00A406CA">
        <w:t xml:space="preserve">most </w:t>
      </w:r>
      <w:r w:rsidR="00460871">
        <w:t>likely to</w:t>
      </w:r>
      <w:r w:rsidR="00A406CA">
        <w:t xml:space="preserve"> advance</w:t>
      </w:r>
      <w:r w:rsidR="00460871">
        <w:t xml:space="preserve"> the public good</w:t>
      </w:r>
      <w:r w:rsidR="00180084">
        <w:t xml:space="preserve">. </w:t>
      </w:r>
      <w:r w:rsidR="00D406E9">
        <w:t xml:space="preserve"> </w:t>
      </w:r>
      <w:r w:rsidR="00976C25">
        <w:t xml:space="preserve"> </w:t>
      </w:r>
    </w:p>
    <w:p w14:paraId="41705DF9" w14:textId="77777777" w:rsidR="006D5EBB" w:rsidRDefault="008E6265" w:rsidP="003A2B5D">
      <w:pPr>
        <w:spacing w:line="480" w:lineRule="auto"/>
        <w:ind w:firstLine="720"/>
      </w:pPr>
      <w:r>
        <w:t>Even i</w:t>
      </w:r>
      <w:r w:rsidR="00460871">
        <w:t>f we presume tha</w:t>
      </w:r>
      <w:r w:rsidR="00E20187">
        <w:t xml:space="preserve">t Brock was </w:t>
      </w:r>
      <w:r w:rsidR="00460871">
        <w:t>pre</w:t>
      </w:r>
      <w:r w:rsidR="00A406CA">
        <w:t xml:space="preserve">scient enough to anticipate </w:t>
      </w:r>
      <w:r w:rsidR="006D5EBB">
        <w:t xml:space="preserve">all of the </w:t>
      </w:r>
      <w:r w:rsidR="00460871">
        <w:t xml:space="preserve">effects of his </w:t>
      </w:r>
      <w:r w:rsidR="00A406CA">
        <w:t xml:space="preserve">omission or </w:t>
      </w:r>
      <w:r w:rsidR="00847B08">
        <w:t xml:space="preserve">manipulation, </w:t>
      </w:r>
      <w:r w:rsidR="00460871">
        <w:t xml:space="preserve">it </w:t>
      </w:r>
      <w:r w:rsidR="00E20187">
        <w:t xml:space="preserve">is not </w:t>
      </w:r>
      <w:r w:rsidR="003A2B5D">
        <w:t xml:space="preserve">at all </w:t>
      </w:r>
      <w:r w:rsidR="00E20187">
        <w:t>obvious that he did what was right by endeavouring to do good.</w:t>
      </w:r>
      <w:r>
        <w:t xml:space="preserve"> </w:t>
      </w:r>
      <w:r w:rsidR="003A2B5D">
        <w:t xml:space="preserve">Kamm </w:t>
      </w:r>
      <w:r>
        <w:t xml:space="preserve">identifies three normative duties (which she admits may not be entirely equivalent to </w:t>
      </w:r>
      <w:r w:rsidR="006D5EBB">
        <w:t xml:space="preserve">contractual duties or </w:t>
      </w:r>
      <w:r w:rsidR="006D5EBB">
        <w:lastRenderedPageBreak/>
        <w:t>employment terms</w:t>
      </w:r>
      <w:r>
        <w:t>)</w:t>
      </w:r>
      <w:r w:rsidR="006D5EBB">
        <w:t xml:space="preserve"> that</w:t>
      </w:r>
      <w:r w:rsidR="00084BF1">
        <w:t xml:space="preserve"> provide insight into </w:t>
      </w:r>
      <w:r w:rsidR="00474EF5">
        <w:t xml:space="preserve">the nature of a </w:t>
      </w:r>
      <w:r w:rsidR="003A2B5D">
        <w:t>philosopher’s role</w:t>
      </w:r>
      <w:r w:rsidR="00474EF5">
        <w:t xml:space="preserve"> on a government</w:t>
      </w:r>
      <w:r w:rsidR="00084BF1">
        <w:t>-sponsored</w:t>
      </w:r>
      <w:r w:rsidR="00474EF5">
        <w:t xml:space="preserve"> commission</w:t>
      </w:r>
      <w:r w:rsidR="003A2B5D">
        <w:t>:</w:t>
      </w:r>
      <w:r w:rsidR="006D5EBB">
        <w:t xml:space="preserve">  </w:t>
      </w:r>
    </w:p>
    <w:p w14:paraId="0ED1ECB5" w14:textId="77777777" w:rsidR="00542436" w:rsidRDefault="006D5EBB" w:rsidP="007979F4">
      <w:pPr>
        <w:ind w:left="720"/>
      </w:pPr>
      <w:r>
        <w:t>I suggest that the</w:t>
      </w:r>
      <w:r w:rsidR="003A2B5D">
        <w:t xml:space="preserve"> </w:t>
      </w:r>
      <w:r>
        <w:t>philosopher's primary duties should include helping point out problems with</w:t>
      </w:r>
      <w:r w:rsidR="003A2B5D">
        <w:t xml:space="preserve"> </w:t>
      </w:r>
      <w:r>
        <w:t xml:space="preserve">and implications of the commissioners </w:t>
      </w:r>
      <w:r w:rsidR="003A2B5D">
        <w:t xml:space="preserve">[sic] </w:t>
      </w:r>
      <w:r>
        <w:t>own views, giving the commission his</w:t>
      </w:r>
      <w:r w:rsidR="003A2B5D">
        <w:t xml:space="preserve"> </w:t>
      </w:r>
      <w:r>
        <w:t>considered judgment on what a bottom line should be and his reasons for it,</w:t>
      </w:r>
      <w:r w:rsidR="003A2B5D">
        <w:t xml:space="preserve"> </w:t>
      </w:r>
      <w:r>
        <w:t>and informing the commissioners of philosophical views held by others when</w:t>
      </w:r>
      <w:r w:rsidR="003A2B5D">
        <w:t xml:space="preserve"> </w:t>
      </w:r>
      <w:r>
        <w:t>these differ from his own. The first and third duties derive from a normative</w:t>
      </w:r>
      <w:r w:rsidR="003A2B5D">
        <w:t xml:space="preserve"> </w:t>
      </w:r>
      <w:r>
        <w:t>theory of why we have a commission, i.e., s</w:t>
      </w:r>
      <w:r w:rsidR="003A2B5D">
        <w:t xml:space="preserve">electing certain individuals to </w:t>
      </w:r>
      <w:r>
        <w:t>become better informed about issues. The</w:t>
      </w:r>
      <w:r w:rsidR="003A2B5D">
        <w:t xml:space="preserve"> philosopher's second duty – to </w:t>
      </w:r>
      <w:r>
        <w:t xml:space="preserve">actually philosophize - is consistent with </w:t>
      </w:r>
      <w:r w:rsidR="003A2B5D">
        <w:t xml:space="preserve">another aspect of the normative </w:t>
      </w:r>
      <w:r>
        <w:t>conception of a commission.</w:t>
      </w:r>
      <w:r w:rsidR="00FD1629">
        <w:t xml:space="preserve"> For the sake of public credibility one may form a commission which includes representatives of various views present in the community, but these individuals should engage in reflection and reason giving, not merely voting and compromising. A philosopher should be able to guide them in certain respects in trying to reach a conclusion by himself reflecting and reason-giving.</w:t>
      </w:r>
      <w:r w:rsidR="003A2B5D">
        <w:rPr>
          <w:rStyle w:val="FootnoteReference"/>
        </w:rPr>
        <w:footnoteReference w:id="179"/>
      </w:r>
      <w:r>
        <w:t xml:space="preserve"> </w:t>
      </w:r>
    </w:p>
    <w:p w14:paraId="267287AA" w14:textId="77777777" w:rsidR="007979F4" w:rsidRDefault="007979F4" w:rsidP="007979F4">
      <w:pPr>
        <w:ind w:left="720"/>
      </w:pPr>
    </w:p>
    <w:p w14:paraId="12CB492C" w14:textId="77777777" w:rsidR="00AC7BD0" w:rsidRDefault="00332712" w:rsidP="00E16401">
      <w:pPr>
        <w:spacing w:line="480" w:lineRule="auto"/>
        <w:ind w:firstLine="720"/>
      </w:pPr>
      <w:r>
        <w:t xml:space="preserve">The first of these, which we might abbreviate as the duty “to point out problems with and implications of [others] views” </w:t>
      </w:r>
      <w:r w:rsidR="00320C43">
        <w:t>seems consistent</w:t>
      </w:r>
      <w:r>
        <w:t xml:space="preserve"> with the role of an applied ethicist who has been invited to </w:t>
      </w:r>
      <w:r w:rsidR="007B2AD3">
        <w:t>lend her perspective to efforts to resolve a challenging case. Attention to the inter-personal dimen</w:t>
      </w:r>
      <w:r w:rsidR="003155B4">
        <w:t>sions of the consultation</w:t>
      </w:r>
      <w:r w:rsidR="007B2AD3">
        <w:t xml:space="preserve"> may be needed, especially if the case is </w:t>
      </w:r>
      <w:r w:rsidR="00AC3288">
        <w:t xml:space="preserve">an </w:t>
      </w:r>
      <w:r w:rsidR="007B2AD3">
        <w:t>emotive or distressing one</w:t>
      </w:r>
      <w:r w:rsidR="00AC3288">
        <w:t xml:space="preserve"> (and </w:t>
      </w:r>
      <w:r w:rsidR="007B2AD3">
        <w:t xml:space="preserve">it may be especially delicate if </w:t>
      </w:r>
      <w:r w:rsidR="008105D8">
        <w:t xml:space="preserve">the </w:t>
      </w:r>
      <w:r w:rsidR="007B2AD3">
        <w:t xml:space="preserve">stakeholders are </w:t>
      </w:r>
      <w:r w:rsidR="00741931">
        <w:t xml:space="preserve">directly and personally </w:t>
      </w:r>
      <w:r w:rsidR="000713B9">
        <w:t>engaged), but if PHE</w:t>
      </w:r>
      <w:r w:rsidR="00FB4F39">
        <w:t xml:space="preserve">s are, </w:t>
      </w:r>
      <w:r w:rsidR="003155B4">
        <w:t xml:space="preserve">as </w:t>
      </w:r>
      <w:r w:rsidR="00FB4F39">
        <w:t xml:space="preserve">the ASBH has asserted, </w:t>
      </w:r>
      <w:r w:rsidR="00DC73E7">
        <w:t xml:space="preserve">tasked </w:t>
      </w:r>
      <w:r w:rsidR="00FB4F39">
        <w:t>with “</w:t>
      </w:r>
      <w:r w:rsidR="00FB4F39" w:rsidRPr="006A73A5">
        <w:t>identifying and analysing the nature of the value uncertainty</w:t>
      </w:r>
      <w:r w:rsidR="00FB4F39">
        <w:t xml:space="preserve">” this would seem </w:t>
      </w:r>
      <w:r w:rsidR="003155B4">
        <w:t>to be</w:t>
      </w:r>
      <w:r w:rsidR="000713B9">
        <w:t xml:space="preserve"> one of her chief</w:t>
      </w:r>
      <w:r w:rsidR="004F63CD">
        <w:t xml:space="preserve"> r</w:t>
      </w:r>
      <w:r w:rsidR="000713B9">
        <w:t>esponsibilities</w:t>
      </w:r>
      <w:r w:rsidR="00FB4F39">
        <w:t>.</w:t>
      </w:r>
      <w:r w:rsidR="00FB4F39">
        <w:rPr>
          <w:rStyle w:val="FootnoteReference"/>
        </w:rPr>
        <w:footnoteReference w:id="180"/>
      </w:r>
      <w:r w:rsidR="002D1207">
        <w:t xml:space="preserve"> </w:t>
      </w:r>
      <w:r w:rsidR="00AC3288">
        <w:t xml:space="preserve">A consultation that failed to identify the reasons for doubt </w:t>
      </w:r>
      <w:r w:rsidR="00320C43">
        <w:t>or disagreement could scarcely prompt a resolution.</w:t>
      </w:r>
      <w:r w:rsidR="00AC3288">
        <w:t xml:space="preserve"> </w:t>
      </w:r>
      <w:r w:rsidR="003155B4">
        <w:t>Moreover, i</w:t>
      </w:r>
      <w:r w:rsidR="007A5F41">
        <w:t xml:space="preserve">f the case is </w:t>
      </w:r>
      <w:r w:rsidR="003155B4">
        <w:lastRenderedPageBreak/>
        <w:t>organisational in nature, and the question that must</w:t>
      </w:r>
      <w:r w:rsidR="007A5F41">
        <w:t xml:space="preserve"> be answered is </w:t>
      </w:r>
      <w:r w:rsidR="003155B4">
        <w:t xml:space="preserve">related to the organization’s policy or </w:t>
      </w:r>
      <w:r w:rsidR="002D1E13">
        <w:t xml:space="preserve">priorities (such as whether </w:t>
      </w:r>
      <w:r w:rsidR="00AC3288">
        <w:t>a</w:t>
      </w:r>
      <w:r w:rsidR="002D1E13">
        <w:t xml:space="preserve"> </w:t>
      </w:r>
      <w:r w:rsidR="00AC3288">
        <w:t xml:space="preserve">hospital-based </w:t>
      </w:r>
      <w:r w:rsidR="002D1E13">
        <w:t xml:space="preserve">MAID program ought to restrict its service provision to patients with terminal </w:t>
      </w:r>
      <w:r w:rsidR="00AC3288">
        <w:t>illness</w:t>
      </w:r>
      <w:r w:rsidR="007A5F41">
        <w:t>es and</w:t>
      </w:r>
      <w:r w:rsidR="00AC3288">
        <w:t xml:space="preserve"> short prognoses)</w:t>
      </w:r>
      <w:r w:rsidR="00E16401">
        <w:t xml:space="preserve">, the PHE </w:t>
      </w:r>
      <w:r w:rsidR="007A5F41">
        <w:t xml:space="preserve">will </w:t>
      </w:r>
      <w:r w:rsidR="00320C43">
        <w:t xml:space="preserve">be charged with the very same task, albeit with </w:t>
      </w:r>
      <w:r w:rsidR="00293DEE">
        <w:t xml:space="preserve">far </w:t>
      </w:r>
      <w:r w:rsidR="00F37DDE">
        <w:t>more stakeholders. As part of this effort she</w:t>
      </w:r>
      <w:r w:rsidR="00320C43">
        <w:t xml:space="preserve"> will </w:t>
      </w:r>
      <w:r w:rsidR="00AC7BD0">
        <w:t>unearth</w:t>
      </w:r>
      <w:r w:rsidR="00F37DDE">
        <w:t>,</w:t>
      </w:r>
      <w:r w:rsidR="00E74746">
        <w:t xml:space="preserve"> and </w:t>
      </w:r>
      <w:r w:rsidR="00AC7BD0">
        <w:t>help to examine</w:t>
      </w:r>
      <w:r w:rsidR="00F37DDE">
        <w:t>,</w:t>
      </w:r>
      <w:r w:rsidR="00E16401">
        <w:t xml:space="preserve"> the</w:t>
      </w:r>
      <w:r w:rsidR="007A5F41">
        <w:t xml:space="preserve"> various </w:t>
      </w:r>
      <w:r w:rsidR="00E74746">
        <w:t>arguments</w:t>
      </w:r>
      <w:r w:rsidR="007A5F41">
        <w:t xml:space="preserve"> and assumptions that </w:t>
      </w:r>
      <w:r w:rsidR="00E74746">
        <w:t xml:space="preserve">support and oppose </w:t>
      </w:r>
      <w:r w:rsidR="00AC7BD0">
        <w:t>the approaches under consideration</w:t>
      </w:r>
      <w:r w:rsidR="007A5F41">
        <w:t>.</w:t>
      </w:r>
    </w:p>
    <w:p w14:paraId="1BC2CA3E" w14:textId="77777777" w:rsidR="0077697B" w:rsidRDefault="00AC7BD0" w:rsidP="00E16401">
      <w:pPr>
        <w:spacing w:line="480" w:lineRule="auto"/>
        <w:ind w:firstLine="720"/>
      </w:pPr>
      <w:r>
        <w:t>The third</w:t>
      </w:r>
      <w:r w:rsidR="00491CE3">
        <w:t xml:space="preserve"> duty of the philosophe</w:t>
      </w:r>
      <w:r w:rsidR="00293DEE">
        <w:t xml:space="preserve">r-insider, according to </w:t>
      </w:r>
      <w:r w:rsidR="00491CE3">
        <w:t xml:space="preserve">Kamm, is to inform requestors </w:t>
      </w:r>
      <w:r w:rsidR="00741931">
        <w:t xml:space="preserve">of </w:t>
      </w:r>
      <w:r w:rsidR="00491CE3">
        <w:t>“</w:t>
      </w:r>
      <w:r w:rsidR="00491CE3" w:rsidRPr="00491CE3">
        <w:t>philosophical views held by others when these differ from his own</w:t>
      </w:r>
      <w:r w:rsidR="00491CE3">
        <w:t>.” This duty serves an educational function to be sure, but its value</w:t>
      </w:r>
      <w:r w:rsidR="00413D0C">
        <w:t>,</w:t>
      </w:r>
      <w:r w:rsidR="00491CE3">
        <w:t xml:space="preserve"> </w:t>
      </w:r>
      <w:r w:rsidR="00430923">
        <w:t xml:space="preserve">like the HCEC’s code obligation to “speak responsibly,” does more than provide context and confidence. </w:t>
      </w:r>
      <w:r w:rsidR="0077697B">
        <w:t>In</w:t>
      </w:r>
      <w:r w:rsidR="00293DEE">
        <w:t xml:space="preserve"> presenting contrary views (preferably in a manner that reflects a commitment to conversational charity) the consultant</w:t>
      </w:r>
      <w:r w:rsidR="0077697B">
        <w:t xml:space="preserve"> commits herself to transparency and provides an opportunity for others to accept or reject her own.</w:t>
      </w:r>
    </w:p>
    <w:p w14:paraId="1AD57B47" w14:textId="77777777" w:rsidR="00164996" w:rsidRDefault="0077697B" w:rsidP="00DF67E9">
      <w:pPr>
        <w:spacing w:line="480" w:lineRule="auto"/>
        <w:ind w:firstLine="720"/>
      </w:pPr>
      <w:r>
        <w:t>The second duty of the philosopher</w:t>
      </w:r>
      <w:r w:rsidR="008F4401">
        <w:t>-insider, which Kamm pithily describes as the duty “</w:t>
      </w:r>
      <w:r w:rsidR="008F4401" w:rsidRPr="008F4401">
        <w:t>to actually philosophize</w:t>
      </w:r>
      <w:r w:rsidR="00413D0C">
        <w:t>,</w:t>
      </w:r>
      <w:r w:rsidR="008F4401">
        <w:t>”</w:t>
      </w:r>
      <w:r w:rsidR="008F4401" w:rsidRPr="008F4401">
        <w:t xml:space="preserve"> </w:t>
      </w:r>
      <w:r w:rsidR="00F37DDE">
        <w:t>may be</w:t>
      </w:r>
      <w:r w:rsidR="00DF67E9">
        <w:t xml:space="preserve"> the most controversial of the three. In </w:t>
      </w:r>
      <w:r w:rsidR="008F4401">
        <w:t>“</w:t>
      </w:r>
      <w:r w:rsidR="008F4401" w:rsidRPr="008F4401">
        <w:t>giving the commission his considered judgment on what a bottom line should be and his reasons for it</w:t>
      </w:r>
      <w:r w:rsidR="008F4401">
        <w:t>”</w:t>
      </w:r>
      <w:r w:rsidR="00DF67E9">
        <w:t xml:space="preserve"> the philosopher has the potential to </w:t>
      </w:r>
      <w:r w:rsidR="001B0027">
        <w:t>affect</w:t>
      </w:r>
      <w:r w:rsidR="00DF67E9">
        <w:t xml:space="preserve"> </w:t>
      </w:r>
      <w:r w:rsidR="00A4697D">
        <w:t xml:space="preserve">others’ </w:t>
      </w:r>
      <w:r w:rsidR="00DF67E9">
        <w:t>thinking and behaviour</w:t>
      </w:r>
      <w:r w:rsidR="001B0027">
        <w:t xml:space="preserve"> in a direct and significant way.</w:t>
      </w:r>
      <w:r w:rsidR="009719A8">
        <w:t xml:space="preserve"> </w:t>
      </w:r>
      <w:r w:rsidR="005333EE">
        <w:t xml:space="preserve">For </w:t>
      </w:r>
      <w:r w:rsidR="001B0027">
        <w:t xml:space="preserve">an ethicist </w:t>
      </w:r>
      <w:r w:rsidR="00645865">
        <w:t xml:space="preserve">practicing </w:t>
      </w:r>
      <w:r w:rsidR="001B0027">
        <w:t xml:space="preserve">in a healthcare setting </w:t>
      </w:r>
      <w:r w:rsidR="004479AB">
        <w:t>this sort of influence may seem inapposite</w:t>
      </w:r>
      <w:r w:rsidR="002D1207">
        <w:t>, a</w:t>
      </w:r>
      <w:r w:rsidR="002D1207" w:rsidRPr="002D1207">
        <w:t xml:space="preserve">lthough </w:t>
      </w:r>
      <w:r w:rsidR="00A4697D">
        <w:t xml:space="preserve">it should be noted that </w:t>
      </w:r>
      <w:r w:rsidR="002D1207">
        <w:t>her stakeholders need not heed her advice</w:t>
      </w:r>
      <w:r w:rsidR="00A4697D">
        <w:t xml:space="preserve"> (</w:t>
      </w:r>
      <w:r w:rsidR="002D1207">
        <w:t>just as Kamm’s</w:t>
      </w:r>
      <w:r w:rsidR="002D1207" w:rsidRPr="002D1207">
        <w:t xml:space="preserve"> </w:t>
      </w:r>
      <w:r w:rsidR="00A4697D">
        <w:lastRenderedPageBreak/>
        <w:t xml:space="preserve">hypothetical </w:t>
      </w:r>
      <w:r w:rsidR="002D1207" w:rsidRPr="002D1207">
        <w:t>commis</w:t>
      </w:r>
      <w:r w:rsidR="00741931">
        <w:t>sioners were</w:t>
      </w:r>
      <w:r w:rsidR="00164996">
        <w:t xml:space="preserve"> free to disregard</w:t>
      </w:r>
      <w:r w:rsidR="002D1207">
        <w:t xml:space="preserve"> their philosopher’s recommendations</w:t>
      </w:r>
      <w:r w:rsidR="00A4697D">
        <w:t>)</w:t>
      </w:r>
      <w:r w:rsidR="004479AB">
        <w:t>.</w:t>
      </w:r>
    </w:p>
    <w:p w14:paraId="0AE7029A" w14:textId="559710E4" w:rsidR="006F5EF6" w:rsidRDefault="00164996" w:rsidP="00DF67E9">
      <w:pPr>
        <w:spacing w:line="480" w:lineRule="auto"/>
        <w:ind w:firstLine="720"/>
      </w:pPr>
      <w:r>
        <w:t>Brock’s case is an instructive one because he conceived of his duty in a way that may appeal to many PHE</w:t>
      </w:r>
      <w:r w:rsidR="00CB580A">
        <w:t>s. He</w:t>
      </w:r>
      <w:r w:rsidR="00EB5FB2">
        <w:t xml:space="preserve"> was willing to supress his own reservations, and to con</w:t>
      </w:r>
      <w:r w:rsidR="00F37DDE">
        <w:t>ceal his philosophical processes</w:t>
      </w:r>
      <w:r w:rsidR="00EB5FB2">
        <w:t xml:space="preserve">, in order to </w:t>
      </w:r>
      <w:r w:rsidR="00BA3B2C">
        <w:t>secure a policy outcome that might otherwise have been scuttled. This exercise in diplomacy however came at a cost higher than the price of a clear conscience.</w:t>
      </w:r>
      <w:r w:rsidR="00645865">
        <w:rPr>
          <w:rStyle w:val="FootnoteReference"/>
        </w:rPr>
        <w:footnoteReference w:id="181"/>
      </w:r>
      <w:r w:rsidR="00BA3B2C">
        <w:t xml:space="preserve"> By failing to speak forthrightly Brock failed to fulfil the duties that Kamm detailed. </w:t>
      </w:r>
      <w:r w:rsidR="004F6DF8">
        <w:t>The commissioners lost the opportunity to hear, learn from, and to judge his arguments for themselves</w:t>
      </w:r>
      <w:r w:rsidR="00CB580A">
        <w:t>; and i</w:t>
      </w:r>
      <w:r w:rsidR="004F6DF8">
        <w:t>n his failure to philosophize he made an assumption about what the “bottom line”</w:t>
      </w:r>
      <w:r w:rsidR="006F5EF6">
        <w:t xml:space="preserve"> should be. To use Kamm’s words, t</w:t>
      </w:r>
      <w:r w:rsidR="004F6DF8">
        <w:t xml:space="preserve">hat bottom line was not </w:t>
      </w:r>
      <w:r w:rsidR="006F5EF6">
        <w:t>determined via “</w:t>
      </w:r>
      <w:r w:rsidR="006F5EF6" w:rsidRPr="006F5EF6">
        <w:t>reflection and reason giving</w:t>
      </w:r>
      <w:r w:rsidR="006F5EF6">
        <w:t>” but by “</w:t>
      </w:r>
      <w:r w:rsidR="006F5EF6" w:rsidRPr="006F5EF6">
        <w:t>merely voting and compromising.</w:t>
      </w:r>
      <w:r w:rsidR="006F5EF6">
        <w:t>”</w:t>
      </w:r>
      <w:r w:rsidR="004A7C61">
        <w:rPr>
          <w:rStyle w:val="FootnoteReference"/>
        </w:rPr>
        <w:footnoteReference w:id="182"/>
      </w:r>
    </w:p>
    <w:p w14:paraId="5B5B7D13" w14:textId="77777777" w:rsidR="00FA4A00" w:rsidRDefault="00DA7D14" w:rsidP="00BD2BFB">
      <w:pPr>
        <w:spacing w:line="480" w:lineRule="auto"/>
        <w:ind w:firstLine="720"/>
      </w:pPr>
      <w:r w:rsidRPr="00DA7D14">
        <w:lastRenderedPageBreak/>
        <w:t>Philosophizing at the bedside, boardroom, o</w:t>
      </w:r>
      <w:r>
        <w:t>r benchside</w:t>
      </w:r>
      <w:r w:rsidR="00C54DD4">
        <w:rPr>
          <w:rStyle w:val="FootnoteReference"/>
        </w:rPr>
        <w:footnoteReference w:id="183"/>
      </w:r>
      <w:r>
        <w:t xml:space="preserve"> – even, or perhaps </w:t>
      </w:r>
      <w:r w:rsidRPr="00DA7D14">
        <w:t>especially when</w:t>
      </w:r>
      <w:r w:rsidR="00CB580A">
        <w:t>,</w:t>
      </w:r>
      <w:r w:rsidRPr="00DA7D14">
        <w:t xml:space="preserve"> it is skilled or persuasive – may appear inconsistent with a respect for stakeholder self-determination</w:t>
      </w:r>
      <w:r>
        <w:t xml:space="preserve"> but</w:t>
      </w:r>
      <w:r w:rsidR="00294350">
        <w:t>,</w:t>
      </w:r>
      <w:r>
        <w:t xml:space="preserve"> as Kamm’s analysis shows</w:t>
      </w:r>
      <w:r w:rsidR="00294350">
        <w:t>,</w:t>
      </w:r>
      <w:r>
        <w:t xml:space="preserve"> a failure to do so may be more problematic</w:t>
      </w:r>
      <w:r w:rsidR="00A4697D">
        <w:t xml:space="preserve"> yet</w:t>
      </w:r>
      <w:r>
        <w:t>.</w:t>
      </w:r>
      <w:r w:rsidR="00DE52FC">
        <w:rPr>
          <w:rStyle w:val="FootnoteReference"/>
        </w:rPr>
        <w:footnoteReference w:id="184"/>
      </w:r>
      <w:r>
        <w:t xml:space="preserve"> </w:t>
      </w:r>
      <w:r w:rsidR="00294350">
        <w:t>What might be condemned</w:t>
      </w:r>
      <w:r w:rsidR="002E6735">
        <w:t xml:space="preserve"> as insider</w:t>
      </w:r>
      <w:r w:rsidR="00294350">
        <w:t xml:space="preserve"> influence (or the imposition of the ethicist’s values) may in fact be quite the opposite</w:t>
      </w:r>
      <w:r w:rsidR="002E6735">
        <w:t>, an effort to ac</w:t>
      </w:r>
      <w:r w:rsidR="00DE52FC">
        <w:t>t as an honest broker. If my application</w:t>
      </w:r>
      <w:r w:rsidR="002E6735">
        <w:t xml:space="preserve"> of Kamm’s analysis is at all convincing, it can be said without contradiction</w:t>
      </w:r>
      <w:r w:rsidR="008C4EFA">
        <w:t>,</w:t>
      </w:r>
      <w:r w:rsidR="002E6735">
        <w:t xml:space="preserve"> that the task of the PHE must be modest and ambitious; and, at the same time, col</w:t>
      </w:r>
      <w:r w:rsidR="0055306D">
        <w:t>laborative as well as solitary.</w:t>
      </w:r>
    </w:p>
    <w:p w14:paraId="5FDA2568" w14:textId="1DAB108A" w:rsidR="00811236" w:rsidRDefault="00073DE0" w:rsidP="00107F9E">
      <w:pPr>
        <w:spacing w:line="480" w:lineRule="auto"/>
      </w:pPr>
      <w:r>
        <w:tab/>
      </w:r>
      <w:r w:rsidR="00984D7D">
        <w:t>In t</w:t>
      </w:r>
      <w:r w:rsidR="008C4EFA">
        <w:t xml:space="preserve">he next section </w:t>
      </w:r>
      <w:r w:rsidR="00984D7D">
        <w:t xml:space="preserve">we </w:t>
      </w:r>
      <w:r w:rsidR="008C4EFA">
        <w:t>will</w:t>
      </w:r>
      <w:r w:rsidR="00984D7D">
        <w:t xml:space="preserve"> return to legal theory, a department of philosophy where penumbral questions</w:t>
      </w:r>
      <w:r w:rsidR="00D828B5">
        <w:t>,</w:t>
      </w:r>
      <w:r w:rsidR="00984D7D">
        <w:t xml:space="preserve"> and the</w:t>
      </w:r>
      <w:r w:rsidR="00D828B5">
        <w:t xml:space="preserve"> matter of their resolution, have</w:t>
      </w:r>
      <w:r w:rsidR="00984D7D">
        <w:t xml:space="preserve"> been a subject of</w:t>
      </w:r>
      <w:r w:rsidR="007226C5">
        <w:t xml:space="preserve"> long and</w:t>
      </w:r>
      <w:r w:rsidR="00984D7D">
        <w:t xml:space="preserve"> nuanced</w:t>
      </w:r>
      <w:r w:rsidR="00BD2BFB">
        <w:t xml:space="preserve"> debate</w:t>
      </w:r>
      <w:r w:rsidR="00984D7D">
        <w:t>. For if Kamm is righ</w:t>
      </w:r>
      <w:r w:rsidR="00BD2BFB">
        <w:t xml:space="preserve">t, </w:t>
      </w:r>
      <w:r w:rsidR="00984D7D">
        <w:t>and applied ethicists must sometimes engage in “refl</w:t>
      </w:r>
      <w:r w:rsidR="00A4697D">
        <w:t xml:space="preserve">ection and </w:t>
      </w:r>
      <w:r w:rsidR="00984D7D">
        <w:t>reason-giving</w:t>
      </w:r>
      <w:r w:rsidR="00BD2BFB">
        <w:t>,</w:t>
      </w:r>
      <w:r w:rsidR="00984D7D">
        <w:t xml:space="preserve">” then it is important </w:t>
      </w:r>
      <w:r w:rsidR="0055306D">
        <w:t xml:space="preserve">for PHEs </w:t>
      </w:r>
      <w:r w:rsidR="00984D7D">
        <w:t>t</w:t>
      </w:r>
      <w:r w:rsidR="00D80018">
        <w:t xml:space="preserve">o be thoughtful and transparent about the </w:t>
      </w:r>
      <w:r w:rsidR="00984D7D">
        <w:t xml:space="preserve">sorts of </w:t>
      </w:r>
      <w:r w:rsidR="00BD2BFB">
        <w:t xml:space="preserve">reasons </w:t>
      </w:r>
      <w:r w:rsidR="00D80018">
        <w:t xml:space="preserve">that </w:t>
      </w:r>
      <w:r w:rsidR="00BD2BFB">
        <w:t>these might be.</w:t>
      </w:r>
    </w:p>
    <w:p w14:paraId="4ED9E903" w14:textId="77777777" w:rsidR="00107F9E" w:rsidRPr="00811236" w:rsidRDefault="00107F9E" w:rsidP="00107F9E">
      <w:pPr>
        <w:spacing w:line="480" w:lineRule="auto"/>
      </w:pPr>
    </w:p>
    <w:p w14:paraId="18CCF6F4" w14:textId="77777777" w:rsidR="00160303" w:rsidRPr="00E6297C" w:rsidRDefault="003500C4" w:rsidP="009945F9">
      <w:pPr>
        <w:spacing w:line="480" w:lineRule="auto"/>
        <w:rPr>
          <w:i/>
        </w:rPr>
      </w:pPr>
      <w:r w:rsidRPr="003500C4">
        <w:rPr>
          <w:i/>
        </w:rPr>
        <w:t>Integrity</w:t>
      </w:r>
      <w:r w:rsidR="0095014C">
        <w:rPr>
          <w:i/>
        </w:rPr>
        <w:t xml:space="preserve"> in interpretation</w:t>
      </w:r>
      <w:r w:rsidRPr="003500C4">
        <w:rPr>
          <w:i/>
        </w:rPr>
        <w:t xml:space="preserve">: </w:t>
      </w:r>
      <w:r w:rsidR="00107F9E">
        <w:rPr>
          <w:i/>
        </w:rPr>
        <w:t>t</w:t>
      </w:r>
      <w:r w:rsidRPr="003500C4">
        <w:rPr>
          <w:i/>
        </w:rPr>
        <w:t>he</w:t>
      </w:r>
      <w:r w:rsidR="0095014C">
        <w:rPr>
          <w:i/>
        </w:rPr>
        <w:t xml:space="preserve"> right answer (or answers) for applied e</w:t>
      </w:r>
      <w:r w:rsidRPr="003500C4">
        <w:rPr>
          <w:i/>
        </w:rPr>
        <w:t>thicists?</w:t>
      </w:r>
    </w:p>
    <w:p w14:paraId="0A2AA079" w14:textId="77777777" w:rsidR="00A81364" w:rsidRDefault="00CA7D22" w:rsidP="003500C4">
      <w:pPr>
        <w:spacing w:line="480" w:lineRule="auto"/>
        <w:ind w:firstLine="720"/>
      </w:pPr>
      <w:r>
        <w:t xml:space="preserve">Although it was H. L. A. </w:t>
      </w:r>
      <w:r w:rsidR="009945F9">
        <w:t>Hart who</w:t>
      </w:r>
      <w:r>
        <w:t xml:space="preserve"> first identified</w:t>
      </w:r>
      <w:r w:rsidR="009945F9">
        <w:t xml:space="preserve"> the problems </w:t>
      </w:r>
      <w:r w:rsidR="004402E6">
        <w:t xml:space="preserve">of the penumbra, one </w:t>
      </w:r>
      <w:r w:rsidR="009945F9">
        <w:t xml:space="preserve">of his </w:t>
      </w:r>
      <w:r w:rsidR="004402E6">
        <w:t xml:space="preserve">successors is best known for persistent </w:t>
      </w:r>
      <w:r w:rsidR="00322709">
        <w:t>efforts to dispel</w:t>
      </w:r>
      <w:r w:rsidR="004402E6">
        <w:t xml:space="preserve"> it</w:t>
      </w:r>
      <w:r>
        <w:t>s darkness</w:t>
      </w:r>
      <w:r w:rsidR="004402E6">
        <w:t xml:space="preserve">. Through a series of books and articles, Ronald Dworkin </w:t>
      </w:r>
      <w:r w:rsidR="00A81364">
        <w:t xml:space="preserve">advanced a theory of interpretation that </w:t>
      </w:r>
      <w:r w:rsidR="009901AA">
        <w:t>endeavoured</w:t>
      </w:r>
      <w:r w:rsidR="00A81364">
        <w:t xml:space="preserve"> to show how judges should adjudicate </w:t>
      </w:r>
      <w:r w:rsidR="00E6297C">
        <w:t xml:space="preserve">in </w:t>
      </w:r>
      <w:r w:rsidR="00A81364">
        <w:t>hard cases, particularly hard cases of a penumbral kind.</w:t>
      </w:r>
      <w:r w:rsidR="00973874">
        <w:t xml:space="preserve"> </w:t>
      </w:r>
    </w:p>
    <w:p w14:paraId="205AED6B" w14:textId="0C61766A" w:rsidR="00C0546E" w:rsidRPr="000C4DFF" w:rsidRDefault="00322709" w:rsidP="00C0546E">
      <w:pPr>
        <w:spacing w:line="480" w:lineRule="auto"/>
        <w:ind w:firstLine="720"/>
        <w:rPr>
          <w:color w:val="auto"/>
        </w:rPr>
      </w:pPr>
      <w:r w:rsidRPr="000C4DFF">
        <w:rPr>
          <w:color w:val="auto"/>
        </w:rPr>
        <w:t xml:space="preserve">While Hart suggested that the penumbra was </w:t>
      </w:r>
      <w:r w:rsidR="00567CBF" w:rsidRPr="000C4DFF">
        <w:rPr>
          <w:color w:val="auto"/>
        </w:rPr>
        <w:t>an area whe</w:t>
      </w:r>
      <w:r w:rsidR="00F77C97">
        <w:rPr>
          <w:color w:val="auto"/>
        </w:rPr>
        <w:t>re</w:t>
      </w:r>
      <w:r w:rsidR="00567CBF" w:rsidRPr="000C4DFF">
        <w:rPr>
          <w:color w:val="auto"/>
        </w:rPr>
        <w:t xml:space="preserve"> adjudicators were obliged to exercise their discretio</w:t>
      </w:r>
      <w:r w:rsidR="003500C4" w:rsidRPr="000C4DFF">
        <w:rPr>
          <w:color w:val="auto"/>
        </w:rPr>
        <w:t xml:space="preserve">n, Dworkin perceived constraints </w:t>
      </w:r>
      <w:r w:rsidR="00980909">
        <w:rPr>
          <w:color w:val="auto"/>
        </w:rPr>
        <w:t xml:space="preserve">even </w:t>
      </w:r>
      <w:r w:rsidR="003500C4" w:rsidRPr="000C4DFF">
        <w:rPr>
          <w:color w:val="auto"/>
        </w:rPr>
        <w:t xml:space="preserve">in those </w:t>
      </w:r>
      <w:r w:rsidR="0068464E" w:rsidRPr="000C4DFF">
        <w:rPr>
          <w:color w:val="auto"/>
        </w:rPr>
        <w:t xml:space="preserve">putative </w:t>
      </w:r>
      <w:r w:rsidR="003500C4" w:rsidRPr="000C4DFF">
        <w:rPr>
          <w:color w:val="auto"/>
        </w:rPr>
        <w:t xml:space="preserve">gaps. </w:t>
      </w:r>
      <w:r w:rsidR="009428DD" w:rsidRPr="000C4DFF">
        <w:rPr>
          <w:color w:val="auto"/>
        </w:rPr>
        <w:t>As h</w:t>
      </w:r>
      <w:r w:rsidR="00B30AD2" w:rsidRPr="000C4DFF">
        <w:rPr>
          <w:color w:val="auto"/>
        </w:rPr>
        <w:t>e stated in a paper that introduced</w:t>
      </w:r>
      <w:r w:rsidR="009428DD" w:rsidRPr="000C4DFF">
        <w:rPr>
          <w:color w:val="auto"/>
        </w:rPr>
        <w:t xml:space="preserve"> an </w:t>
      </w:r>
      <w:r w:rsidR="00973874" w:rsidRPr="000C4DFF">
        <w:rPr>
          <w:color w:val="auto"/>
        </w:rPr>
        <w:t>early</w:t>
      </w:r>
      <w:r w:rsidR="009428DD" w:rsidRPr="000C4DFF">
        <w:rPr>
          <w:color w:val="auto"/>
        </w:rPr>
        <w:t xml:space="preserve"> iteration of his approach: “In very hard cases, as in very easy ones, ‘judicial discretion’ mis</w:t>
      </w:r>
      <w:r w:rsidR="00811236">
        <w:rPr>
          <w:color w:val="auto"/>
        </w:rPr>
        <w:t>-</w:t>
      </w:r>
      <w:r w:rsidR="009428DD" w:rsidRPr="000C4DFF">
        <w:rPr>
          <w:color w:val="auto"/>
        </w:rPr>
        <w:t>describes judicial obligation.”</w:t>
      </w:r>
      <w:r w:rsidR="00CF6855" w:rsidRPr="000C4DFF">
        <w:rPr>
          <w:rStyle w:val="FootnoteReference"/>
          <w:color w:val="auto"/>
        </w:rPr>
        <w:footnoteReference w:id="185"/>
      </w:r>
      <w:r w:rsidR="009428DD" w:rsidRPr="000C4DFF">
        <w:rPr>
          <w:color w:val="auto"/>
        </w:rPr>
        <w:t xml:space="preserve"> </w:t>
      </w:r>
      <w:r w:rsidR="00C0546E" w:rsidRPr="000C4DFF">
        <w:rPr>
          <w:color w:val="auto"/>
        </w:rPr>
        <w:t xml:space="preserve">Although judges must make decisions when no </w:t>
      </w:r>
      <w:r w:rsidR="00056538">
        <w:rPr>
          <w:color w:val="auto"/>
        </w:rPr>
        <w:t xml:space="preserve">precedent or </w:t>
      </w:r>
      <w:r w:rsidR="00C0546E" w:rsidRPr="000C4DFF">
        <w:rPr>
          <w:color w:val="auto"/>
        </w:rPr>
        <w:t xml:space="preserve">rule is on point, he maintained that their choices are constrained by principles – principles that are </w:t>
      </w:r>
      <w:r w:rsidR="00B332E9" w:rsidRPr="000C4DFF">
        <w:rPr>
          <w:color w:val="auto"/>
        </w:rPr>
        <w:t>not external to the law but implicit in it, not the prod</w:t>
      </w:r>
      <w:r w:rsidR="004D568E" w:rsidRPr="000C4DFF">
        <w:rPr>
          <w:color w:val="auto"/>
        </w:rPr>
        <w:t>uct of the judge’s</w:t>
      </w:r>
      <w:r w:rsidR="00B332E9" w:rsidRPr="000C4DFF">
        <w:rPr>
          <w:color w:val="auto"/>
        </w:rPr>
        <w:t xml:space="preserve"> private preoccupations but derived from </w:t>
      </w:r>
      <w:r w:rsidR="00B30AD2" w:rsidRPr="000C4DFF">
        <w:rPr>
          <w:color w:val="auto"/>
        </w:rPr>
        <w:t xml:space="preserve">publically available materials, and (as he stated in later work) determined by what </w:t>
      </w:r>
      <w:r w:rsidR="00B332E9" w:rsidRPr="000C4DFF">
        <w:rPr>
          <w:color w:val="auto"/>
        </w:rPr>
        <w:t>his conception of</w:t>
      </w:r>
      <w:r w:rsidR="00B30AD2" w:rsidRPr="000C4DFF">
        <w:rPr>
          <w:color w:val="auto"/>
        </w:rPr>
        <w:t xml:space="preserve"> what justice </w:t>
      </w:r>
      <w:r w:rsidR="00A8077C" w:rsidRPr="000C4DFF">
        <w:rPr>
          <w:color w:val="auto"/>
        </w:rPr>
        <w:t xml:space="preserve">or </w:t>
      </w:r>
      <w:r w:rsidR="00B30AD2" w:rsidRPr="000C4DFF">
        <w:rPr>
          <w:color w:val="auto"/>
        </w:rPr>
        <w:t>fairness</w:t>
      </w:r>
      <w:r w:rsidR="00A8077C" w:rsidRPr="000C4DFF">
        <w:rPr>
          <w:color w:val="auto"/>
        </w:rPr>
        <w:t xml:space="preserve"> demands</w:t>
      </w:r>
      <w:r w:rsidR="00C0546E" w:rsidRPr="000C4DFF">
        <w:rPr>
          <w:color w:val="auto"/>
        </w:rPr>
        <w:t xml:space="preserve">:    </w:t>
      </w:r>
    </w:p>
    <w:p w14:paraId="5B52E2D5" w14:textId="77777777" w:rsidR="00B332E9" w:rsidRPr="000C4DFF" w:rsidRDefault="00C0546E" w:rsidP="00B332E9">
      <w:pPr>
        <w:ind w:left="720"/>
        <w:rPr>
          <w:color w:val="auto"/>
        </w:rPr>
      </w:pPr>
      <w:r w:rsidRPr="000C4DFF">
        <w:rPr>
          <w:color w:val="auto"/>
        </w:rPr>
        <w:t xml:space="preserve">From time to time a particular case may force a judge to engage in such a debate, to decide, as it were, a jurisprudential issue. But a judge who believes himself faced with such an issue is no more entitled to choose an answer on private grounds here than at any earlier or later point in his reasoning; he is expected here as there to justify his decision in terms of what he takes to be the most fundamental community conceptions of </w:t>
      </w:r>
      <w:r w:rsidRPr="000C4DFF">
        <w:rPr>
          <w:color w:val="auto"/>
        </w:rPr>
        <w:lastRenderedPageBreak/>
        <w:t>social or political justice. Even here, in other words, he is expected to argue to public, rather than to rest on private, standards.</w:t>
      </w:r>
      <w:r w:rsidR="00CF6855" w:rsidRPr="000C4DFF">
        <w:rPr>
          <w:rStyle w:val="FootnoteReference"/>
          <w:color w:val="auto"/>
        </w:rPr>
        <w:footnoteReference w:id="186"/>
      </w:r>
      <w:r w:rsidRPr="000C4DFF">
        <w:rPr>
          <w:color w:val="auto"/>
        </w:rPr>
        <w:t xml:space="preserve"> </w:t>
      </w:r>
    </w:p>
    <w:p w14:paraId="15D4F1BA" w14:textId="77777777" w:rsidR="00B332E9" w:rsidRPr="000C4DFF" w:rsidRDefault="00B332E9" w:rsidP="00B332E9">
      <w:pPr>
        <w:ind w:left="720"/>
        <w:rPr>
          <w:color w:val="auto"/>
        </w:rPr>
      </w:pPr>
    </w:p>
    <w:p w14:paraId="254A3913" w14:textId="77777777" w:rsidR="00980909" w:rsidRDefault="0095014C" w:rsidP="00980909">
      <w:pPr>
        <w:spacing w:line="480" w:lineRule="auto"/>
        <w:ind w:firstLine="720"/>
        <w:rPr>
          <w:color w:val="auto"/>
        </w:rPr>
      </w:pPr>
      <w:r>
        <w:rPr>
          <w:color w:val="auto"/>
        </w:rPr>
        <w:t>On Dworkin’s view, in those hard cases, w</w:t>
      </w:r>
      <w:r w:rsidR="009901AA" w:rsidRPr="000C4DFF">
        <w:rPr>
          <w:color w:val="auto"/>
        </w:rPr>
        <w:t>here no statu</w:t>
      </w:r>
      <w:r w:rsidR="00056538">
        <w:rPr>
          <w:color w:val="auto"/>
        </w:rPr>
        <w:t>tes or precedents dictate a particular outcome</w:t>
      </w:r>
      <w:r w:rsidR="009901AA" w:rsidRPr="000C4DFF">
        <w:rPr>
          <w:color w:val="auto"/>
        </w:rPr>
        <w:t>, principles and purposes remain</w:t>
      </w:r>
      <w:r w:rsidR="00F40D92" w:rsidRPr="000C4DFF">
        <w:rPr>
          <w:color w:val="auto"/>
        </w:rPr>
        <w:t xml:space="preserve">, and </w:t>
      </w:r>
      <w:r w:rsidR="00AC0764" w:rsidRPr="000C4DFF">
        <w:rPr>
          <w:color w:val="auto"/>
        </w:rPr>
        <w:t xml:space="preserve">the </w:t>
      </w:r>
      <w:r w:rsidR="00056538">
        <w:rPr>
          <w:color w:val="auto"/>
        </w:rPr>
        <w:t>judge’s duty is</w:t>
      </w:r>
      <w:r w:rsidR="00F40D92" w:rsidRPr="000C4DFF">
        <w:rPr>
          <w:color w:val="auto"/>
        </w:rPr>
        <w:t xml:space="preserve"> to</w:t>
      </w:r>
      <w:r w:rsidR="00056538">
        <w:rPr>
          <w:color w:val="auto"/>
        </w:rPr>
        <w:t xml:space="preserve"> render decisions which manifest a commitment to </w:t>
      </w:r>
      <w:r w:rsidR="00F40D92" w:rsidRPr="000C4DFF">
        <w:rPr>
          <w:color w:val="auto"/>
        </w:rPr>
        <w:t xml:space="preserve">integrity; that is, those which </w:t>
      </w:r>
      <w:r w:rsidR="007226C5" w:rsidRPr="000C4DFF">
        <w:rPr>
          <w:color w:val="auto"/>
        </w:rPr>
        <w:t xml:space="preserve">treat the body </w:t>
      </w:r>
      <w:r w:rsidR="00CF6855" w:rsidRPr="000C4DFF">
        <w:rPr>
          <w:color w:val="auto"/>
        </w:rPr>
        <w:t xml:space="preserve">and practice </w:t>
      </w:r>
      <w:r w:rsidR="007226C5" w:rsidRPr="000C4DFF">
        <w:rPr>
          <w:color w:val="auto"/>
        </w:rPr>
        <w:t xml:space="preserve">of law as though it </w:t>
      </w:r>
      <w:r w:rsidR="00F40D92" w:rsidRPr="000C4DFF">
        <w:rPr>
          <w:color w:val="auto"/>
        </w:rPr>
        <w:t>exhibit</w:t>
      </w:r>
      <w:r w:rsidR="007226C5" w:rsidRPr="000C4DFF">
        <w:rPr>
          <w:color w:val="auto"/>
        </w:rPr>
        <w:t>s</w:t>
      </w:r>
      <w:r w:rsidR="00F40D92" w:rsidRPr="000C4DFF">
        <w:rPr>
          <w:color w:val="auto"/>
        </w:rPr>
        <w:t xml:space="preserve"> </w:t>
      </w:r>
      <w:r w:rsidR="00056538">
        <w:rPr>
          <w:color w:val="auto"/>
        </w:rPr>
        <w:t xml:space="preserve">principled </w:t>
      </w:r>
      <w:r w:rsidR="009901AA" w:rsidRPr="000C4DFF">
        <w:rPr>
          <w:color w:val="auto"/>
        </w:rPr>
        <w:t>consist</w:t>
      </w:r>
      <w:r w:rsidR="00056538">
        <w:rPr>
          <w:color w:val="auto"/>
        </w:rPr>
        <w:t>ency. In other words, w</w:t>
      </w:r>
      <w:r w:rsidR="007226C5" w:rsidRPr="000C4DFF">
        <w:rPr>
          <w:color w:val="auto"/>
        </w:rPr>
        <w:t xml:space="preserve">hen more than one decision might fit </w:t>
      </w:r>
      <w:r w:rsidR="000C4DFF">
        <w:rPr>
          <w:color w:val="auto"/>
        </w:rPr>
        <w:t xml:space="preserve">with </w:t>
      </w:r>
      <w:r w:rsidR="00056538">
        <w:rPr>
          <w:color w:val="auto"/>
        </w:rPr>
        <w:t>the settled law, the one he ought to</w:t>
      </w:r>
      <w:r w:rsidR="007226C5" w:rsidRPr="000C4DFF">
        <w:rPr>
          <w:color w:val="auto"/>
        </w:rPr>
        <w:t xml:space="preserve"> endorse is that which</w:t>
      </w:r>
      <w:r w:rsidR="007226C5" w:rsidRPr="000C4DFF">
        <w:rPr>
          <w:strike/>
          <w:color w:val="auto"/>
        </w:rPr>
        <w:t xml:space="preserve"> </w:t>
      </w:r>
      <w:r w:rsidR="009428DD" w:rsidRPr="000C4DFF">
        <w:rPr>
          <w:color w:val="auto"/>
        </w:rPr>
        <w:t>make</w:t>
      </w:r>
      <w:r w:rsidR="00CF6855" w:rsidRPr="000C4DFF">
        <w:rPr>
          <w:color w:val="auto"/>
        </w:rPr>
        <w:t>s</w:t>
      </w:r>
      <w:r w:rsidR="009428DD" w:rsidRPr="000C4DFF">
        <w:rPr>
          <w:color w:val="auto"/>
        </w:rPr>
        <w:t xml:space="preserve"> the best </w:t>
      </w:r>
      <w:r w:rsidR="009428DD" w:rsidRPr="00811236">
        <w:rPr>
          <w:i/>
          <w:color w:val="auto"/>
        </w:rPr>
        <w:t>moral</w:t>
      </w:r>
      <w:r w:rsidR="009428DD" w:rsidRPr="000C4DFF">
        <w:rPr>
          <w:color w:val="auto"/>
        </w:rPr>
        <w:t xml:space="preserve"> sense of the practi</w:t>
      </w:r>
      <w:r w:rsidR="00935E16">
        <w:rPr>
          <w:color w:val="auto"/>
        </w:rPr>
        <w:t>c</w:t>
      </w:r>
      <w:r w:rsidR="009428DD" w:rsidRPr="000C4DFF">
        <w:rPr>
          <w:color w:val="auto"/>
        </w:rPr>
        <w:t>e</w:t>
      </w:r>
      <w:r w:rsidR="00056538">
        <w:rPr>
          <w:color w:val="auto"/>
        </w:rPr>
        <w:t xml:space="preserve"> itself</w:t>
      </w:r>
      <w:r w:rsidR="009428DD" w:rsidRPr="000C4DFF">
        <w:rPr>
          <w:color w:val="auto"/>
        </w:rPr>
        <w:t xml:space="preserve">. </w:t>
      </w:r>
    </w:p>
    <w:p w14:paraId="2B7C52D7" w14:textId="364089F8" w:rsidR="00F62389" w:rsidRPr="00DE454E" w:rsidRDefault="00BA79BC" w:rsidP="00980909">
      <w:pPr>
        <w:spacing w:line="480" w:lineRule="auto"/>
        <w:ind w:firstLine="720"/>
        <w:rPr>
          <w:color w:val="auto"/>
        </w:rPr>
      </w:pPr>
      <w:r w:rsidRPr="000C4DFF">
        <w:rPr>
          <w:color w:val="auto"/>
        </w:rPr>
        <w:t xml:space="preserve">Dworkin </w:t>
      </w:r>
      <w:r w:rsidR="00DA00B5" w:rsidRPr="000C4DFF">
        <w:rPr>
          <w:color w:val="auto"/>
        </w:rPr>
        <w:t>invokes language that is inspirational and</w:t>
      </w:r>
      <w:r w:rsidR="00B30AD2" w:rsidRPr="000C4DFF">
        <w:rPr>
          <w:color w:val="auto"/>
        </w:rPr>
        <w:t xml:space="preserve"> aspirational, and it</w:t>
      </w:r>
      <w:r w:rsidR="00DA00B5" w:rsidRPr="000C4DFF">
        <w:rPr>
          <w:color w:val="auto"/>
        </w:rPr>
        <w:t xml:space="preserve"> </w:t>
      </w:r>
      <w:r w:rsidR="00B30AD2" w:rsidRPr="000C4DFF">
        <w:rPr>
          <w:color w:val="auto"/>
        </w:rPr>
        <w:t xml:space="preserve">might be regarded </w:t>
      </w:r>
      <w:r w:rsidR="00DA00B5" w:rsidRPr="000C4DFF">
        <w:rPr>
          <w:color w:val="auto"/>
        </w:rPr>
        <w:t xml:space="preserve">as an ideal </w:t>
      </w:r>
      <w:r w:rsidR="005A61AD" w:rsidRPr="000C4DFF">
        <w:rPr>
          <w:color w:val="auto"/>
        </w:rPr>
        <w:t xml:space="preserve">to be sought rather than one which can be </w:t>
      </w:r>
      <w:r w:rsidR="00DA00B5" w:rsidRPr="000C4DFF">
        <w:rPr>
          <w:color w:val="auto"/>
        </w:rPr>
        <w:t>achieved. Indeed, his interpretive strategy, dubbed law as integrity, was illustrated thr</w:t>
      </w:r>
      <w:r w:rsidR="00B51861" w:rsidRPr="000C4DFF">
        <w:rPr>
          <w:color w:val="auto"/>
        </w:rPr>
        <w:t xml:space="preserve">ough the device of an </w:t>
      </w:r>
      <w:r w:rsidR="008A4533" w:rsidRPr="000C4DFF">
        <w:rPr>
          <w:color w:val="auto"/>
        </w:rPr>
        <w:t>ideal</w:t>
      </w:r>
      <w:r w:rsidR="00DA00B5" w:rsidRPr="000C4DFF">
        <w:rPr>
          <w:color w:val="auto"/>
        </w:rPr>
        <w:t xml:space="preserve"> judge. Hercules, as he styled him, was described as </w:t>
      </w:r>
      <w:r w:rsidR="008A4533" w:rsidRPr="000C4DFF">
        <w:rPr>
          <w:color w:val="auto"/>
        </w:rPr>
        <w:t>“</w:t>
      </w:r>
      <w:r w:rsidR="00B51861" w:rsidRPr="000C4DFF">
        <w:rPr>
          <w:color w:val="auto"/>
        </w:rPr>
        <w:t>a lawyer of superhuman skill,</w:t>
      </w:r>
      <w:r w:rsidR="008A4533" w:rsidRPr="000C4DFF">
        <w:rPr>
          <w:color w:val="auto"/>
        </w:rPr>
        <w:t xml:space="preserve"> </w:t>
      </w:r>
      <w:r w:rsidR="00B51861" w:rsidRPr="000C4DFF">
        <w:rPr>
          <w:color w:val="auto"/>
        </w:rPr>
        <w:t>l</w:t>
      </w:r>
      <w:r w:rsidR="00A8077C" w:rsidRPr="000C4DFF">
        <w:rPr>
          <w:color w:val="auto"/>
        </w:rPr>
        <w:t>earning, patience, and acumen.</w:t>
      </w:r>
      <w:r w:rsidR="00B51861" w:rsidRPr="000C4DFF">
        <w:rPr>
          <w:color w:val="auto"/>
        </w:rPr>
        <w:t>”</w:t>
      </w:r>
      <w:r w:rsidR="00B51861" w:rsidRPr="000C4DFF">
        <w:rPr>
          <w:rStyle w:val="FootnoteReference"/>
          <w:color w:val="auto"/>
        </w:rPr>
        <w:footnoteReference w:id="187"/>
      </w:r>
      <w:r w:rsidR="00B51861" w:rsidRPr="000C4DFF">
        <w:rPr>
          <w:color w:val="auto"/>
        </w:rPr>
        <w:t xml:space="preserve"> </w:t>
      </w:r>
      <w:r w:rsidR="00056538">
        <w:rPr>
          <w:color w:val="auto"/>
        </w:rPr>
        <w:t>His</w:t>
      </w:r>
      <w:r w:rsidR="00AC0764" w:rsidRPr="000C4DFF">
        <w:rPr>
          <w:color w:val="auto"/>
        </w:rPr>
        <w:t xml:space="preserve"> task was to take each case as an occasion for </w:t>
      </w:r>
      <w:r w:rsidR="0095014C">
        <w:rPr>
          <w:color w:val="auto"/>
        </w:rPr>
        <w:t>the exercise of an</w:t>
      </w:r>
      <w:r w:rsidR="00AC0764" w:rsidRPr="000C4DFF">
        <w:rPr>
          <w:color w:val="auto"/>
        </w:rPr>
        <w:t xml:space="preserve"> ambitious interpretive strategy, one that treated his community as </w:t>
      </w:r>
      <w:r w:rsidR="00056538">
        <w:rPr>
          <w:color w:val="auto"/>
        </w:rPr>
        <w:t xml:space="preserve">if it were </w:t>
      </w:r>
      <w:r w:rsidR="00AC0764" w:rsidRPr="000C4DFF">
        <w:rPr>
          <w:color w:val="auto"/>
        </w:rPr>
        <w:t>a community of principle</w:t>
      </w:r>
      <w:r w:rsidR="009712DF">
        <w:rPr>
          <w:color w:val="auto"/>
        </w:rPr>
        <w:t>; that is,</w:t>
      </w:r>
      <w:r w:rsidR="003F6238">
        <w:rPr>
          <w:color w:val="auto"/>
        </w:rPr>
        <w:t xml:space="preserve"> one which</w:t>
      </w:r>
      <w:r w:rsidR="0084296E" w:rsidRPr="000C4DFF">
        <w:rPr>
          <w:color w:val="auto"/>
        </w:rPr>
        <w:t xml:space="preserve"> has a claim to legitimacy be</w:t>
      </w:r>
      <w:r w:rsidR="0095014C">
        <w:rPr>
          <w:color w:val="auto"/>
        </w:rPr>
        <w:t xml:space="preserve">cause it </w:t>
      </w:r>
      <w:r w:rsidR="00CE6CDD">
        <w:rPr>
          <w:color w:val="auto"/>
        </w:rPr>
        <w:t xml:space="preserve">endeavours </w:t>
      </w:r>
      <w:r w:rsidR="0095014C">
        <w:rPr>
          <w:color w:val="auto"/>
        </w:rPr>
        <w:t xml:space="preserve">to </w:t>
      </w:r>
      <w:r w:rsidR="00CE6CDD">
        <w:rPr>
          <w:color w:val="auto"/>
        </w:rPr>
        <w:t>treat all who are subject to the law’s commands as though they are worthy</w:t>
      </w:r>
      <w:r w:rsidR="0084296E" w:rsidRPr="000C4DFF">
        <w:rPr>
          <w:color w:val="auto"/>
        </w:rPr>
        <w:t xml:space="preserve"> </w:t>
      </w:r>
      <w:r w:rsidR="00CE6CDD">
        <w:rPr>
          <w:color w:val="auto"/>
        </w:rPr>
        <w:t xml:space="preserve">of equal </w:t>
      </w:r>
      <w:r w:rsidR="0084296E" w:rsidRPr="000C4DFF">
        <w:rPr>
          <w:color w:val="auto"/>
        </w:rPr>
        <w:t>concern and res</w:t>
      </w:r>
      <w:r w:rsidR="0095014C">
        <w:rPr>
          <w:color w:val="auto"/>
        </w:rPr>
        <w:t>pect</w:t>
      </w:r>
      <w:r w:rsidR="0084296E" w:rsidRPr="000C4DFF">
        <w:rPr>
          <w:color w:val="auto"/>
        </w:rPr>
        <w:t>.</w:t>
      </w:r>
    </w:p>
    <w:p w14:paraId="5B82B9C7" w14:textId="77777777" w:rsidR="00CE6CDD" w:rsidRDefault="004A6E37" w:rsidP="00495D2F">
      <w:pPr>
        <w:spacing w:line="480" w:lineRule="auto"/>
      </w:pPr>
      <w:r>
        <w:lastRenderedPageBreak/>
        <w:tab/>
      </w:r>
      <w:r w:rsidR="005C7D48">
        <w:t xml:space="preserve">Dworkin’s </w:t>
      </w:r>
      <w:r w:rsidR="000C4DFF">
        <w:t>theory of adjudication is far fro</w:t>
      </w:r>
      <w:r w:rsidR="00BB024D">
        <w:t>m uncontroversial, and as I acknowledged</w:t>
      </w:r>
      <w:r w:rsidR="000C4DFF">
        <w:t xml:space="preserve"> at the outset, it </w:t>
      </w:r>
      <w:r w:rsidR="008274B1">
        <w:t>may seem odd to invoke</w:t>
      </w:r>
      <w:r w:rsidR="000C4DFF">
        <w:t xml:space="preserve"> one sort of controversy in the effort to resolve yet another</w:t>
      </w:r>
      <w:r w:rsidR="00595B97">
        <w:t>.</w:t>
      </w:r>
      <w:r w:rsidR="000C4DFF">
        <w:t xml:space="preserve"> </w:t>
      </w:r>
      <w:r w:rsidR="0095014C">
        <w:t>Integrity as an interpretive strategy may have value</w:t>
      </w:r>
      <w:r w:rsidR="008274B1">
        <w:t>, however,</w:t>
      </w:r>
      <w:r w:rsidR="0095014C">
        <w:t xml:space="preserve"> for jurisdictions that belong to ethics rather than law. It may help PHEs to consider </w:t>
      </w:r>
      <w:r w:rsidR="008274B1">
        <w:t xml:space="preserve">and make explicit, the </w:t>
      </w:r>
      <w:r w:rsidR="0095014C">
        <w:t xml:space="preserve">reasons </w:t>
      </w:r>
      <w:r w:rsidR="008274B1">
        <w:t xml:space="preserve">for their recommendations; </w:t>
      </w:r>
      <w:r w:rsidR="0095014C">
        <w:t xml:space="preserve">or, to </w:t>
      </w:r>
      <w:r w:rsidR="008274B1">
        <w:t xml:space="preserve">use </w:t>
      </w:r>
      <w:r w:rsidR="0095014C">
        <w:t xml:space="preserve">Kamm’s words, to </w:t>
      </w:r>
      <w:r w:rsidR="008274B1">
        <w:t xml:space="preserve">feel free to </w:t>
      </w:r>
      <w:r w:rsidR="0095014C">
        <w:t xml:space="preserve">philosophize when that is </w:t>
      </w:r>
      <w:r w:rsidR="008274B1">
        <w:t xml:space="preserve">precisely </w:t>
      </w:r>
      <w:r w:rsidR="0095014C">
        <w:t>what is required. Applied ethicists may not render binding decision</w:t>
      </w:r>
      <w:r w:rsidR="00B5437D">
        <w:t>s, and in that respect</w:t>
      </w:r>
      <w:r w:rsidR="0095014C">
        <w:t xml:space="preserve"> the analogy may not be apt, </w:t>
      </w:r>
      <w:r w:rsidR="00CE6CDD">
        <w:t xml:space="preserve">but their efforts to exercise </w:t>
      </w:r>
      <w:r w:rsidR="00356B30">
        <w:t>judgement</w:t>
      </w:r>
      <w:r w:rsidR="00B5437D">
        <w:t xml:space="preserve"> and</w:t>
      </w:r>
      <w:r w:rsidR="00356B30">
        <w:t xml:space="preserve"> the</w:t>
      </w:r>
      <w:r w:rsidR="00BB024D">
        <w:t xml:space="preserve"> </w:t>
      </w:r>
      <w:r w:rsidR="00356B30">
        <w:t>method</w:t>
      </w:r>
      <w:r w:rsidR="00CE6CDD">
        <w:t>s that underlie</w:t>
      </w:r>
      <w:r w:rsidR="00356B30">
        <w:t xml:space="preserve"> their recommendation</w:t>
      </w:r>
      <w:r w:rsidR="00B5437D">
        <w:t>s</w:t>
      </w:r>
      <w:r w:rsidR="008274B1">
        <w:t xml:space="preserve"> ought to be open to review, </w:t>
      </w:r>
      <w:r w:rsidR="00356B30">
        <w:t>revision</w:t>
      </w:r>
      <w:r w:rsidR="008274B1">
        <w:t xml:space="preserve">, and </w:t>
      </w:r>
      <w:r w:rsidR="00495D2F">
        <w:t>critique</w:t>
      </w:r>
      <w:r w:rsidR="00356B30">
        <w:t>.</w:t>
      </w:r>
      <w:r w:rsidR="00CE6CDD">
        <w:rPr>
          <w:rStyle w:val="FootnoteReference"/>
        </w:rPr>
        <w:footnoteReference w:id="188"/>
      </w:r>
      <w:r w:rsidR="00356B30">
        <w:t xml:space="preserve">  </w:t>
      </w:r>
    </w:p>
    <w:p w14:paraId="411DDF8F" w14:textId="6705BCD5" w:rsidR="00BB024D" w:rsidRDefault="00811236" w:rsidP="00BB024D">
      <w:pPr>
        <w:spacing w:line="480" w:lineRule="auto"/>
        <w:ind w:firstLine="720"/>
      </w:pPr>
      <w:r>
        <w:t>A common criticism of “law as integrity”</w:t>
      </w:r>
      <w:r w:rsidR="00813CD6">
        <w:t xml:space="preserve"> is that it represents arguments and decisions that are the products of Dworkin’s personal, liberal egalitarian, world-view as if they were the objective </w:t>
      </w:r>
      <w:r w:rsidR="00A40975">
        <w:t xml:space="preserve">and </w:t>
      </w:r>
      <w:r w:rsidR="00813CD6">
        <w:t>rational outcomes that would be generated by any honest interpreter of the law. I acknowledge the fac</w:t>
      </w:r>
      <w:r w:rsidR="00FA2BB1">
        <w:t>t that penumbral cases may invite</w:t>
      </w:r>
      <w:r w:rsidR="00813CD6">
        <w:t xml:space="preserve"> a variety of</w:t>
      </w:r>
      <w:r w:rsidR="00FA2BB1">
        <w:t xml:space="preserve"> interpretations that both fit and justify the se</w:t>
      </w:r>
      <w:r w:rsidR="003F6238">
        <w:t>ttled law</w:t>
      </w:r>
      <w:r w:rsidR="00562AB7">
        <w:t>, and that reasonable adjudicators may arrive at different decisions when faced with the very same data</w:t>
      </w:r>
      <w:r w:rsidR="003F6238">
        <w:t>. My object, however</w:t>
      </w:r>
      <w:r w:rsidR="00FA2BB1">
        <w:t>, is not to take a position on Dworkin’s so-called “right answer thesis” which argues that there are unique</w:t>
      </w:r>
      <w:r w:rsidR="00F46289">
        <w:t>ly</w:t>
      </w:r>
      <w:r w:rsidR="00FA2BB1">
        <w:t xml:space="preserve"> right answers to hard cases at law. Instead, I want to make the much more modest </w:t>
      </w:r>
      <w:r w:rsidR="00FA2BB1">
        <w:lastRenderedPageBreak/>
        <w:t>suggestion that the fact of theoretical disagreement in such cases need not imply that those who adjudicate them must be rendering arbitrary decisions, or that the</w:t>
      </w:r>
      <w:r w:rsidR="004C55F6">
        <w:t xml:space="preserve"> </w:t>
      </w:r>
      <w:r w:rsidR="00FA2BB1">
        <w:t>entire process of judging is irredeemably conflicted, undemocratic, or incoherent.</w:t>
      </w:r>
      <w:r w:rsidR="00FA2BB1">
        <w:rPr>
          <w:rStyle w:val="FootnoteReference"/>
        </w:rPr>
        <w:footnoteReference w:id="189"/>
      </w:r>
      <w:r w:rsidR="00813CD6">
        <w:t xml:space="preserve"> </w:t>
      </w:r>
    </w:p>
    <w:p w14:paraId="321649BE" w14:textId="20BE72F1" w:rsidR="0002207C" w:rsidRDefault="009945F9" w:rsidP="00BB024D">
      <w:pPr>
        <w:spacing w:line="480" w:lineRule="auto"/>
        <w:ind w:firstLine="720"/>
      </w:pPr>
      <w:r>
        <w:t>An easy objection to this line of argument might be to suggest that healthcare ethics differs significantly from the law in one very significant respect. Legal cases, including the most challenging ones which come before a nation’s highest court</w:t>
      </w:r>
      <w:r w:rsidR="00383499">
        <w:t>,</w:t>
      </w:r>
      <w:r>
        <w:t xml:space="preserve"> can be situated within a well-established tradition that includes a large body of statutory and common law. Moreover, in legal decision-making, while parties may argue about the significance of prior decisions, and the interpretation of legal language, they possess a reasonably high degree of a</w:t>
      </w:r>
      <w:r w:rsidR="00F46289">
        <w:t xml:space="preserve">greement about what count as </w:t>
      </w:r>
      <w:r>
        <w:t>legal standard</w:t>
      </w:r>
      <w:r w:rsidR="00F46289">
        <w:t>s</w:t>
      </w:r>
      <w:r w:rsidR="000D6343">
        <w:t xml:space="preserve"> and where to look to find them.</w:t>
      </w:r>
      <w:r>
        <w:t xml:space="preserve"> When Gloria Taylor, and the family of Lee Carter, decided to challenge the prohibition on physician aid-in-dying, their lawyers, and those opposing them, could readily identify and cite the legal provisions about which they were in disagreement; and while ordinary Canadian</w:t>
      </w:r>
      <w:r w:rsidR="000D6343">
        <w:t>s, and legal scholars</w:t>
      </w:r>
      <w:r>
        <w:t>, may not have achieved unanimity with respect to the moral standin</w:t>
      </w:r>
      <w:r w:rsidR="000D6343">
        <w:t>g of MAID</w:t>
      </w:r>
      <w:r w:rsidR="009712DF">
        <w:t xml:space="preserve"> (or on wha</w:t>
      </w:r>
      <w:r w:rsidR="00A12028">
        <w:t>t</w:t>
      </w:r>
      <w:r w:rsidR="009712DF">
        <w:t xml:space="preserve"> </w:t>
      </w:r>
      <w:r w:rsidR="009712DF">
        <w:lastRenderedPageBreak/>
        <w:t>grounds it might be defended or opposed)</w:t>
      </w:r>
      <w:r w:rsidR="0002207C">
        <w:t>,</w:t>
      </w:r>
      <w:r w:rsidR="00E43B24">
        <w:t xml:space="preserve"> </w:t>
      </w:r>
      <w:r w:rsidR="000D6343">
        <w:t>it is</w:t>
      </w:r>
      <w:r>
        <w:t xml:space="preserve"> uncontroversial to suggest that the</w:t>
      </w:r>
      <w:r w:rsidR="00383499">
        <w:t xml:space="preserve"> </w:t>
      </w:r>
      <w:r>
        <w:t>Supreme Court made a cogent argume</w:t>
      </w:r>
      <w:r w:rsidR="0002207C">
        <w:t xml:space="preserve">nt when it struck down the broad </w:t>
      </w:r>
      <w:r>
        <w:t>statute that criminalised all assistance in dying</w:t>
      </w:r>
      <w:r w:rsidR="0002207C">
        <w:t>.</w:t>
      </w:r>
    </w:p>
    <w:p w14:paraId="6729C31C" w14:textId="68D6F726" w:rsidR="00067D7D" w:rsidRDefault="005A61AD" w:rsidP="00453EBB">
      <w:pPr>
        <w:spacing w:line="480" w:lineRule="auto"/>
        <w:ind w:firstLine="720"/>
        <w:jc w:val="both"/>
      </w:pPr>
      <w:r>
        <w:t xml:space="preserve">While I take these objections to be legitimate ones, I would argue that they are far from fatal. </w:t>
      </w:r>
      <w:r w:rsidR="00F46289">
        <w:t xml:space="preserve">While </w:t>
      </w:r>
      <w:r>
        <w:t>PHEs may not have precedents that are as clear as leg</w:t>
      </w:r>
      <w:r w:rsidR="00E647BB">
        <w:t>islators’</w:t>
      </w:r>
      <w:r>
        <w:t xml:space="preserve"> statutes or judges’ rulings</w:t>
      </w:r>
      <w:r w:rsidR="00DD6D8A">
        <w:t>,</w:t>
      </w:r>
      <w:r w:rsidR="00F46289">
        <w:t xml:space="preserve"> </w:t>
      </w:r>
      <w:r>
        <w:t xml:space="preserve">the practice of healthcare ethics </w:t>
      </w:r>
      <w:r w:rsidR="00BC5679">
        <w:t>faces</w:t>
      </w:r>
      <w:r w:rsidR="00DD6D8A">
        <w:t xml:space="preserve"> important constraints of its own. A PHE practicing in the penumbra may wish to ignore</w:t>
      </w:r>
      <w:r w:rsidR="0065346D">
        <w:t xml:space="preserve"> her current context</w:t>
      </w:r>
      <w:r w:rsidR="00E647BB">
        <w:t>,</w:t>
      </w:r>
      <w:r w:rsidR="0065346D">
        <w:t xml:space="preserve"> and the body of</w:t>
      </w:r>
      <w:r w:rsidR="00A95D1B">
        <w:t xml:space="preserve"> canonical</w:t>
      </w:r>
      <w:r w:rsidR="000D16C7">
        <w:t xml:space="preserve"> </w:t>
      </w:r>
      <w:r w:rsidR="00A95D1B">
        <w:t>cases or</w:t>
      </w:r>
      <w:r w:rsidR="0065346D">
        <w:t xml:space="preserve"> </w:t>
      </w:r>
      <w:r w:rsidR="00A12028">
        <w:t xml:space="preserve">the extensive </w:t>
      </w:r>
      <w:r w:rsidR="0065346D">
        <w:t xml:space="preserve">literature that </w:t>
      </w:r>
      <w:r w:rsidR="00A12028">
        <w:t>supplies</w:t>
      </w:r>
      <w:r w:rsidR="00811236">
        <w:t xml:space="preserve"> the values, </w:t>
      </w:r>
      <w:r w:rsidR="000D16C7">
        <w:t>concept</w:t>
      </w:r>
      <w:r w:rsidR="00EA24C2">
        <w:t>s, and standards applicable</w:t>
      </w:r>
      <w:r w:rsidR="00811236">
        <w:t xml:space="preserve"> to </w:t>
      </w:r>
      <w:r w:rsidR="000D16C7">
        <w:t xml:space="preserve">her jurisdiction, but </w:t>
      </w:r>
      <w:r w:rsidR="00A95D1B">
        <w:t>if she were</w:t>
      </w:r>
      <w:r w:rsidR="00811236">
        <w:t xml:space="preserve"> to offer </w:t>
      </w:r>
      <w:r w:rsidR="000D16C7">
        <w:t>an interpretation that is idiosyncratic,</w:t>
      </w:r>
      <w:r w:rsidR="00811236">
        <w:t xml:space="preserve"> ideological, or opaque</w:t>
      </w:r>
      <w:r w:rsidR="00A95D1B">
        <w:t>, it</w:t>
      </w:r>
      <w:r w:rsidR="00811236">
        <w:t xml:space="preserve"> likely would not, and sh</w:t>
      </w:r>
      <w:r w:rsidR="000D16C7">
        <w:t>ould not, find support</w:t>
      </w:r>
      <w:r w:rsidR="00811236">
        <w:t xml:space="preserve"> within the community she serves</w:t>
      </w:r>
      <w:r w:rsidR="000D16C7">
        <w:t>. Differences are to be expected wit</w:t>
      </w:r>
      <w:r w:rsidR="00CF5C25">
        <w:t xml:space="preserve">h respect to the weight that </w:t>
      </w:r>
      <w:r w:rsidR="00F46289">
        <w:t xml:space="preserve">practicing </w:t>
      </w:r>
      <w:r w:rsidR="00CF5C25">
        <w:t>ethicists ascribe</w:t>
      </w:r>
      <w:r w:rsidR="00A12028">
        <w:t xml:space="preserve"> to established</w:t>
      </w:r>
      <w:r w:rsidR="000D16C7">
        <w:t xml:space="preserve"> principles</w:t>
      </w:r>
      <w:r w:rsidR="00A12028">
        <w:t>, values</w:t>
      </w:r>
      <w:r w:rsidR="00EA24C2">
        <w:t>,</w:t>
      </w:r>
      <w:r w:rsidR="00A12028">
        <w:t xml:space="preserve"> </w:t>
      </w:r>
      <w:r w:rsidR="000D16C7">
        <w:t xml:space="preserve">and </w:t>
      </w:r>
      <w:r w:rsidR="00A12028">
        <w:t xml:space="preserve">contested concepts, and </w:t>
      </w:r>
      <w:r w:rsidR="00CF5C25">
        <w:t>t</w:t>
      </w:r>
      <w:r w:rsidR="000D16C7">
        <w:t>he</w:t>
      </w:r>
      <w:r w:rsidR="00CF5C25">
        <w:t>i</w:t>
      </w:r>
      <w:r w:rsidR="000D16C7">
        <w:t>r interpretation</w:t>
      </w:r>
      <w:r w:rsidR="00CF5C25">
        <w:t>s</w:t>
      </w:r>
      <w:r w:rsidR="000D16C7">
        <w:t xml:space="preserve"> of what </w:t>
      </w:r>
      <w:r w:rsidR="00EA24C2">
        <w:t>these</w:t>
      </w:r>
      <w:r w:rsidR="00A12028">
        <w:t xml:space="preserve"> </w:t>
      </w:r>
      <w:r w:rsidR="00495D2F">
        <w:t xml:space="preserve">entail </w:t>
      </w:r>
      <w:r w:rsidR="00CF5C25">
        <w:t>will diverge</w:t>
      </w:r>
      <w:r w:rsidR="00495D2F">
        <w:t>,</w:t>
      </w:r>
      <w:r w:rsidR="00E647BB">
        <w:t xml:space="preserve"> but a range of interpretations does not imply that anything goes</w:t>
      </w:r>
      <w:r w:rsidR="00A12028">
        <w:t>,</w:t>
      </w:r>
      <w:r w:rsidR="00E647BB">
        <w:t xml:space="preserve"> or that all interpretations can be justified equally well</w:t>
      </w:r>
      <w:r w:rsidR="00CF5C25">
        <w:t>.</w:t>
      </w:r>
      <w:r w:rsidR="00E647BB">
        <w:t xml:space="preserve"> A</w:t>
      </w:r>
      <w:r w:rsidR="00CF5C25">
        <w:t xml:space="preserve"> PHE who would suggest for example, that patient self-determination had no significance in her evaluation of </w:t>
      </w:r>
      <w:r w:rsidR="00495D2F">
        <w:t xml:space="preserve">the moral standing of </w:t>
      </w:r>
      <w:r w:rsidR="00CF5C25">
        <w:t>MAID, would not merely be advancing a controversial interpretation of an important issue. She would be striking out in a direction that failed to take account of, or</w:t>
      </w:r>
      <w:r w:rsidR="00811236">
        <w:t xml:space="preserve"> fit with, prior practise at all.</w:t>
      </w:r>
    </w:p>
    <w:p w14:paraId="19D44D3D" w14:textId="77777777" w:rsidR="00BD0DE9" w:rsidRPr="00141E04" w:rsidRDefault="00BD0DE9" w:rsidP="00BD0DE9">
      <w:pPr>
        <w:spacing w:line="480" w:lineRule="auto"/>
        <w:jc w:val="both"/>
      </w:pPr>
    </w:p>
    <w:p w14:paraId="475193D0" w14:textId="63AB5B53" w:rsidR="00FE4E96" w:rsidRPr="00086E01" w:rsidRDefault="009F448A" w:rsidP="00BD0DE9">
      <w:pPr>
        <w:spacing w:line="480" w:lineRule="auto"/>
        <w:jc w:val="both"/>
        <w:rPr>
          <w:i/>
        </w:rPr>
      </w:pPr>
      <w:r w:rsidRPr="009F448A">
        <w:rPr>
          <w:i/>
        </w:rPr>
        <w:t xml:space="preserve">Philosophizing in the Penumbra: Advising on </w:t>
      </w:r>
      <w:r w:rsidR="007A0348" w:rsidRPr="001C0041">
        <w:rPr>
          <w:i/>
        </w:rPr>
        <w:t>Access to MAID</w:t>
      </w:r>
    </w:p>
    <w:p w14:paraId="1C17BADE" w14:textId="43A3C0F8" w:rsidR="00F46289" w:rsidRDefault="00B11C27" w:rsidP="009F448A">
      <w:pPr>
        <w:spacing w:line="480" w:lineRule="auto"/>
        <w:ind w:firstLine="720"/>
        <w:jc w:val="both"/>
      </w:pPr>
      <w:r>
        <w:lastRenderedPageBreak/>
        <w:t xml:space="preserve">While </w:t>
      </w:r>
      <w:r w:rsidR="002257B0">
        <w:t>I have argued that PHEs</w:t>
      </w:r>
      <w:r w:rsidR="00272E75">
        <w:t xml:space="preserve"> are less often asked to philosophize </w:t>
      </w:r>
      <w:r w:rsidR="007A0348">
        <w:t xml:space="preserve">(in Kamm’s sense) </w:t>
      </w:r>
      <w:r w:rsidR="00272E75">
        <w:t xml:space="preserve">than the field’s critics </w:t>
      </w:r>
      <w:r w:rsidR="007A0348">
        <w:t xml:space="preserve">might lead one to believe, </w:t>
      </w:r>
      <w:r>
        <w:t>I</w:t>
      </w:r>
      <w:r w:rsidR="007A0348">
        <w:t xml:space="preserve"> </w:t>
      </w:r>
      <w:r w:rsidR="000D13FB">
        <w:t xml:space="preserve">also acknowledge </w:t>
      </w:r>
      <w:r w:rsidR="007A0348">
        <w:t xml:space="preserve">that </w:t>
      </w:r>
      <w:r w:rsidR="001E15C9">
        <w:t>reflect</w:t>
      </w:r>
      <w:r w:rsidR="007A0348">
        <w:t>ion and reason giving can</w:t>
      </w:r>
      <w:r w:rsidR="003C4DD3">
        <w:t xml:space="preserve"> be </w:t>
      </w:r>
      <w:r w:rsidR="001C0041">
        <w:t xml:space="preserve">an important </w:t>
      </w:r>
      <w:r w:rsidR="00086E01">
        <w:t xml:space="preserve">and influential </w:t>
      </w:r>
      <w:r w:rsidR="001C0041">
        <w:t xml:space="preserve">aspect </w:t>
      </w:r>
      <w:r w:rsidR="003C4DD3">
        <w:t xml:space="preserve">of the role. </w:t>
      </w:r>
      <w:r w:rsidR="005A7AFE">
        <w:t xml:space="preserve">Although I have </w:t>
      </w:r>
      <w:r w:rsidR="00F2406F">
        <w:t xml:space="preserve">touched on this </w:t>
      </w:r>
      <w:r w:rsidR="005A7AFE">
        <w:t xml:space="preserve">briefly already, the topic </w:t>
      </w:r>
      <w:r>
        <w:t>can</w:t>
      </w:r>
      <w:r w:rsidR="005A7AFE">
        <w:t xml:space="preserve"> benefit from a more detailed exploration</w:t>
      </w:r>
      <w:r>
        <w:t xml:space="preserve">, particularly since </w:t>
      </w:r>
      <w:r w:rsidR="001B6A1D">
        <w:t xml:space="preserve">I have claimed that </w:t>
      </w:r>
      <w:r w:rsidR="00716F44">
        <w:t>analysing</w:t>
      </w:r>
      <w:r w:rsidR="00F2406F">
        <w:t xml:space="preserve"> and advi</w:t>
      </w:r>
      <w:r w:rsidR="00716F44">
        <w:t>sing</w:t>
      </w:r>
      <w:r w:rsidR="00F2406F">
        <w:t xml:space="preserve"> on penumbral cases</w:t>
      </w:r>
      <w:r w:rsidR="00C06967">
        <w:t xml:space="preserve"> is akin to the exercise of judicial discretion</w:t>
      </w:r>
      <w:r w:rsidR="008322DA">
        <w:t xml:space="preserve"> (</w:t>
      </w:r>
      <w:r w:rsidR="006E49D5">
        <w:t xml:space="preserve">along </w:t>
      </w:r>
      <w:r w:rsidR="008322DA">
        <w:t>with</w:t>
      </w:r>
      <w:r w:rsidR="006E49D5">
        <w:t xml:space="preserve"> </w:t>
      </w:r>
      <w:r w:rsidR="008322DA">
        <w:t xml:space="preserve">the </w:t>
      </w:r>
      <w:r w:rsidR="00A2608C">
        <w:t xml:space="preserve">risks and opportunities </w:t>
      </w:r>
      <w:r w:rsidR="006E49D5">
        <w:t>that such activities entail)</w:t>
      </w:r>
      <w:r w:rsidR="005A7AFE">
        <w:t xml:space="preserve">. </w:t>
      </w:r>
      <w:r w:rsidR="00F2406F">
        <w:t>Below, I introduce a hypothetical o</w:t>
      </w:r>
      <w:r w:rsidR="003C4DD3">
        <w:t>rganisation</w:t>
      </w:r>
      <w:r w:rsidR="005A7AFE">
        <w:t>al</w:t>
      </w:r>
      <w:r w:rsidR="003C4DD3">
        <w:t xml:space="preserve"> ethics consultation</w:t>
      </w:r>
      <w:r w:rsidR="00F337DE">
        <w:t xml:space="preserve"> </w:t>
      </w:r>
      <w:r w:rsidR="00F2406F">
        <w:t>t</w:t>
      </w:r>
      <w:r w:rsidR="008F0647">
        <w:t>o</w:t>
      </w:r>
      <w:r w:rsidR="00F2406F">
        <w:t xml:space="preserve"> illustrate </w:t>
      </w:r>
      <w:r w:rsidR="00F2406F" w:rsidRPr="00F2406F">
        <w:t xml:space="preserve">how a PHE </w:t>
      </w:r>
      <w:r w:rsidR="00C06967">
        <w:t>might</w:t>
      </w:r>
      <w:r w:rsidR="00F2406F" w:rsidRPr="00F2406F">
        <w:t xml:space="preserve"> provide support to a divided leadership team</w:t>
      </w:r>
      <w:r w:rsidR="00317AE1">
        <w:t>.</w:t>
      </w:r>
      <w:r w:rsidR="005A7AFE">
        <w:t xml:space="preserve"> </w:t>
      </w:r>
      <w:r w:rsidR="00F337DE" w:rsidRPr="00F337DE">
        <w:t xml:space="preserve">Earlier I </w:t>
      </w:r>
      <w:r w:rsidR="008F0647">
        <w:t>provided</w:t>
      </w:r>
      <w:r w:rsidR="00F337DE" w:rsidRPr="00F337DE">
        <w:t xml:space="preserve"> a glimpse into the nature of a penumbral clinical case</w:t>
      </w:r>
      <w:r w:rsidR="00141E04">
        <w:t>, but f</w:t>
      </w:r>
      <w:r w:rsidR="00F337DE" w:rsidRPr="00F337DE">
        <w:t>or this purpose I have selected an organizational example</w:t>
      </w:r>
      <w:r w:rsidR="00141E04">
        <w:t xml:space="preserve"> instead. T</w:t>
      </w:r>
      <w:r w:rsidR="00F337DE" w:rsidRPr="00F337DE">
        <w:t>hese are instances where the PHE’s advice is likely to be sought</w:t>
      </w:r>
      <w:r w:rsidR="00986DBF">
        <w:t xml:space="preserve"> </w:t>
      </w:r>
      <w:r w:rsidR="00F337DE" w:rsidRPr="00F337DE">
        <w:t xml:space="preserve">(rather than </w:t>
      </w:r>
      <w:r w:rsidR="00986DBF">
        <w:t xml:space="preserve">information-giving, </w:t>
      </w:r>
      <w:r w:rsidR="00F337DE" w:rsidRPr="00F337DE">
        <w:t>clarification</w:t>
      </w:r>
      <w:r w:rsidR="00986DBF">
        <w:t>,</w:t>
      </w:r>
      <w:r w:rsidR="00F337DE" w:rsidRPr="00F337DE">
        <w:t xml:space="preserve"> or mediation) </w:t>
      </w:r>
      <w:r w:rsidR="00141E04">
        <w:t>and they</w:t>
      </w:r>
      <w:r w:rsidR="00986DBF">
        <w:t xml:space="preserve"> may be the most controversial</w:t>
      </w:r>
      <w:r w:rsidR="00A507C7">
        <w:t xml:space="preserve"> of all</w:t>
      </w:r>
      <w:r w:rsidR="00986DBF">
        <w:t>, because they</w:t>
      </w:r>
      <w:r w:rsidR="00F337DE" w:rsidRPr="00F337DE">
        <w:t xml:space="preserve"> have the potential to affect far </w:t>
      </w:r>
      <w:r w:rsidR="00986DBF">
        <w:t>more</w:t>
      </w:r>
      <w:r w:rsidR="00F337DE" w:rsidRPr="00F337DE">
        <w:t xml:space="preserve"> </w:t>
      </w:r>
      <w:r w:rsidR="00650440">
        <w:t>stakeholders</w:t>
      </w:r>
      <w:r w:rsidR="00F337DE" w:rsidRPr="00F337DE">
        <w:t xml:space="preserve"> than a consultation that focuses on the </w:t>
      </w:r>
      <w:r w:rsidR="00986DBF">
        <w:t xml:space="preserve">concerns </w:t>
      </w:r>
      <w:r w:rsidR="00F337DE" w:rsidRPr="00F337DE">
        <w:t xml:space="preserve">of </w:t>
      </w:r>
      <w:r w:rsidR="00650440">
        <w:t xml:space="preserve">a </w:t>
      </w:r>
      <w:r w:rsidR="00F337DE" w:rsidRPr="00F337DE">
        <w:t>particular patient</w:t>
      </w:r>
      <w:r w:rsidR="004F5433">
        <w:t>, family member,</w:t>
      </w:r>
      <w:r w:rsidR="00F337DE" w:rsidRPr="00F337DE">
        <w:t xml:space="preserve"> or </w:t>
      </w:r>
      <w:r w:rsidR="00CE7CF5">
        <w:t>healthcare provider</w:t>
      </w:r>
      <w:r w:rsidR="00F337DE" w:rsidRPr="00F337DE">
        <w:t>.</w:t>
      </w:r>
    </w:p>
    <w:p w14:paraId="09C0A830" w14:textId="41EB77DA" w:rsidR="003F7012" w:rsidRDefault="00724261" w:rsidP="00317AE1">
      <w:pPr>
        <w:spacing w:line="480" w:lineRule="auto"/>
        <w:ind w:firstLine="720"/>
      </w:pPr>
      <w:r>
        <w:t>Let us i</w:t>
      </w:r>
      <w:r w:rsidR="00705A10">
        <w:t>magine</w:t>
      </w:r>
      <w:r w:rsidR="00317AE1">
        <w:t xml:space="preserve"> </w:t>
      </w:r>
      <w:r w:rsidR="00705A10">
        <w:t>that a</w:t>
      </w:r>
      <w:r w:rsidR="00317AE1">
        <w:t xml:space="preserve"> PHE </w:t>
      </w:r>
      <w:r w:rsidR="00705A10">
        <w:t>has been asked to</w:t>
      </w:r>
      <w:r w:rsidR="00317AE1">
        <w:t xml:space="preserve"> a</w:t>
      </w:r>
      <w:r w:rsidR="00705431">
        <w:t>ssess</w:t>
      </w:r>
      <w:r w:rsidR="00317AE1">
        <w:t xml:space="preserve"> the </w:t>
      </w:r>
      <w:r w:rsidR="00223206">
        <w:t>merits</w:t>
      </w:r>
      <w:r w:rsidR="00317AE1">
        <w:t xml:space="preserve"> of a </w:t>
      </w:r>
      <w:r w:rsidR="00D90076">
        <w:t>p</w:t>
      </w:r>
      <w:r w:rsidR="00341D1E">
        <w:t>lan</w:t>
      </w:r>
      <w:r w:rsidR="00D90076">
        <w:t xml:space="preserve"> </w:t>
      </w:r>
      <w:r w:rsidR="00317AE1">
        <w:t xml:space="preserve">to limit her institution’s MAID services to the sub-set of requesting patients who have clear diagnoses and </w:t>
      </w:r>
      <w:r w:rsidR="00086D7F">
        <w:t xml:space="preserve">relatively </w:t>
      </w:r>
      <w:r w:rsidR="00317AE1">
        <w:t>short prognoses</w:t>
      </w:r>
      <w:r>
        <w:t>.</w:t>
      </w:r>
      <w:r>
        <w:rPr>
          <w:rStyle w:val="FootnoteReference"/>
        </w:rPr>
        <w:footnoteReference w:id="190"/>
      </w:r>
      <w:r>
        <w:t xml:space="preserve"> </w:t>
      </w:r>
      <w:r w:rsidR="00317AE1">
        <w:t>Th</w:t>
      </w:r>
      <w:r w:rsidR="00E344ED">
        <w:t>e</w:t>
      </w:r>
      <w:r w:rsidR="00317AE1">
        <w:t xml:space="preserve"> clinicians </w:t>
      </w:r>
      <w:r w:rsidR="00B32C32">
        <w:t>who have</w:t>
      </w:r>
      <w:r w:rsidR="00E344ED">
        <w:t xml:space="preserve"> </w:t>
      </w:r>
      <w:r w:rsidR="00317AE1">
        <w:t>advanc</w:t>
      </w:r>
      <w:r w:rsidR="00E344ED">
        <w:t>ed</w:t>
      </w:r>
      <w:r w:rsidR="00317AE1">
        <w:t xml:space="preserve"> </w:t>
      </w:r>
      <w:r w:rsidR="00E344ED">
        <w:t xml:space="preserve">this </w:t>
      </w:r>
      <w:r w:rsidR="00317AE1">
        <w:t xml:space="preserve">proposal </w:t>
      </w:r>
      <w:r w:rsidR="00A507C7">
        <w:t xml:space="preserve">(let’s call them </w:t>
      </w:r>
      <w:r w:rsidR="00705431">
        <w:t xml:space="preserve">Short Prognosis Providers or SPPs) </w:t>
      </w:r>
      <w:r w:rsidR="00E344ED">
        <w:t>have</w:t>
      </w:r>
      <w:r w:rsidR="00317AE1">
        <w:t xml:space="preserve"> argue</w:t>
      </w:r>
      <w:r w:rsidR="00E344ED">
        <w:t>d</w:t>
      </w:r>
      <w:r w:rsidR="00317AE1">
        <w:t xml:space="preserve"> that providing MAID to </w:t>
      </w:r>
      <w:r w:rsidR="00CD32F1">
        <w:t>those</w:t>
      </w:r>
      <w:r w:rsidR="00317AE1">
        <w:t xml:space="preserve"> with chronic diseases and unc</w:t>
      </w:r>
      <w:r w:rsidR="00A40975">
        <w:t>ertain</w:t>
      </w:r>
      <w:r w:rsidR="00317AE1">
        <w:t xml:space="preserve"> </w:t>
      </w:r>
      <w:r w:rsidR="00317AE1">
        <w:lastRenderedPageBreak/>
        <w:t>prognoses</w:t>
      </w:r>
      <w:r w:rsidR="00705431">
        <w:t xml:space="preserve">, </w:t>
      </w:r>
      <w:r w:rsidR="00CD32F1">
        <w:t xml:space="preserve">typically those who are </w:t>
      </w:r>
      <w:r w:rsidR="000C3EFB">
        <w:t xml:space="preserve">also </w:t>
      </w:r>
      <w:r w:rsidR="00CD32F1">
        <w:t>frail and elderly</w:t>
      </w:r>
      <w:r w:rsidR="00705431">
        <w:t>,</w:t>
      </w:r>
      <w:r w:rsidR="00B7351F">
        <w:t xml:space="preserve"> is problematic </w:t>
      </w:r>
      <w:r w:rsidR="006D5508">
        <w:t xml:space="preserve">both </w:t>
      </w:r>
      <w:r w:rsidR="00B7351F">
        <w:t>on</w:t>
      </w:r>
      <w:r w:rsidR="00EF2078">
        <w:t xml:space="preserve"> </w:t>
      </w:r>
      <w:r w:rsidR="00B7351F">
        <w:t>prac</w:t>
      </w:r>
      <w:r w:rsidR="00A35ACD">
        <w:t xml:space="preserve">tical and ethical grounds. </w:t>
      </w:r>
      <w:r w:rsidR="00A507C7">
        <w:t xml:space="preserve">In support of their position the </w:t>
      </w:r>
      <w:r w:rsidR="00705431">
        <w:t xml:space="preserve">SPPs make three distinct claims: </w:t>
      </w:r>
      <w:r w:rsidR="00FC36BF">
        <w:t xml:space="preserve">first, </w:t>
      </w:r>
      <w:r w:rsidR="00650440">
        <w:t>hospitals need not</w:t>
      </w:r>
      <w:r w:rsidR="004F5433">
        <w:t>, and do not,</w:t>
      </w:r>
      <w:r w:rsidR="00650440">
        <w:t xml:space="preserve"> provide all services that patients legally </w:t>
      </w:r>
      <w:r w:rsidR="006D5508">
        <w:t xml:space="preserve">may </w:t>
      </w:r>
      <w:r w:rsidR="00650440">
        <w:t>request;</w:t>
      </w:r>
      <w:r w:rsidR="00FC36BF">
        <w:t xml:space="preserve"> second</w:t>
      </w:r>
      <w:r w:rsidR="003139A6">
        <w:t xml:space="preserve">, </w:t>
      </w:r>
      <w:r w:rsidR="00F609AD">
        <w:t>a</w:t>
      </w:r>
      <w:r w:rsidR="006D5508">
        <w:t xml:space="preserve"> failure</w:t>
      </w:r>
      <w:r w:rsidR="00F609AD">
        <w:t xml:space="preserve"> to define the limits of a “reasonably foreseeable natural death” </w:t>
      </w:r>
      <w:r w:rsidR="00067D7D">
        <w:t>may thwart efforts to recruit and retain potential providers</w:t>
      </w:r>
      <w:r w:rsidR="000C3EFB">
        <w:t xml:space="preserve"> </w:t>
      </w:r>
      <w:r w:rsidR="00844AD7">
        <w:t>(</w:t>
      </w:r>
      <w:r w:rsidR="000C3EFB">
        <w:t>owing to</w:t>
      </w:r>
      <w:r w:rsidR="000C3EFB" w:rsidRPr="000C3EFB">
        <w:t xml:space="preserve"> </w:t>
      </w:r>
      <w:r w:rsidR="00926DD9">
        <w:t xml:space="preserve">the </w:t>
      </w:r>
      <w:r w:rsidR="000C3EFB" w:rsidRPr="000C3EFB">
        <w:t>anxiet</w:t>
      </w:r>
      <w:r w:rsidR="00CE33AF">
        <w:t xml:space="preserve">y </w:t>
      </w:r>
      <w:r w:rsidR="00926DD9">
        <w:t xml:space="preserve">that might be generated </w:t>
      </w:r>
      <w:r w:rsidR="00CE33AF">
        <w:t xml:space="preserve">among </w:t>
      </w:r>
      <w:r w:rsidR="00926DD9">
        <w:t>those</w:t>
      </w:r>
      <w:r w:rsidR="00CE33AF">
        <w:t xml:space="preserve"> who find themselves</w:t>
      </w:r>
      <w:r w:rsidR="00086D7F">
        <w:t xml:space="preserve"> </w:t>
      </w:r>
      <w:r w:rsidR="008859B1">
        <w:t>challenged</w:t>
      </w:r>
      <w:r w:rsidR="000C3EFB" w:rsidRPr="000C3EFB">
        <w:t xml:space="preserve"> to interpret what that criterion allows</w:t>
      </w:r>
      <w:r w:rsidR="00844AD7">
        <w:t xml:space="preserve">); and, third, </w:t>
      </w:r>
      <w:r w:rsidR="006D0873">
        <w:t>a willingness to accede to such</w:t>
      </w:r>
      <w:r w:rsidR="006D0873" w:rsidRPr="006D0873">
        <w:t xml:space="preserve"> requests undermines the respect for life, especially the lives of vulnerable persons, that </w:t>
      </w:r>
      <w:r w:rsidR="00341D1E">
        <w:t>Bill C-14</w:t>
      </w:r>
      <w:r w:rsidR="006D0873" w:rsidRPr="006D0873">
        <w:t xml:space="preserve"> was designed to protect. </w:t>
      </w:r>
    </w:p>
    <w:p w14:paraId="5024005C" w14:textId="44741EA1" w:rsidR="00D94690" w:rsidRDefault="00E344ED" w:rsidP="00317AE1">
      <w:pPr>
        <w:spacing w:line="480" w:lineRule="auto"/>
        <w:ind w:firstLine="720"/>
      </w:pPr>
      <w:r>
        <w:t xml:space="preserve">The </w:t>
      </w:r>
      <w:r w:rsidR="00317AE1">
        <w:t xml:space="preserve">practicing healthcare ethicist reasoning through </w:t>
      </w:r>
      <w:r>
        <w:t xml:space="preserve">this </w:t>
      </w:r>
      <w:r w:rsidR="00317AE1">
        <w:t>case – whatever her particular worldview or political inclinations</w:t>
      </w:r>
      <w:r w:rsidR="00BF56BD">
        <w:t xml:space="preserve"> –</w:t>
      </w:r>
      <w:r w:rsidR="00317AE1">
        <w:t xml:space="preserve"> would almost certainly have to invoke familiar ethical concepts and precedent cases in order to evaluate the </w:t>
      </w:r>
      <w:r w:rsidR="004679FE">
        <w:t xml:space="preserve">ethical </w:t>
      </w:r>
      <w:r w:rsidR="00317AE1">
        <w:t xml:space="preserve">merits and demerits of </w:t>
      </w:r>
      <w:r w:rsidR="006D5508">
        <w:t>a</w:t>
      </w:r>
      <w:r w:rsidR="00317AE1">
        <w:t xml:space="preserve"> proposal to limit access</w:t>
      </w:r>
      <w:r w:rsidR="003117BC">
        <w:t xml:space="preserve"> in this way</w:t>
      </w:r>
      <w:r w:rsidR="00317AE1">
        <w:t>. Whether she regard</w:t>
      </w:r>
      <w:r w:rsidR="00CD32F1">
        <w:t>s</w:t>
      </w:r>
      <w:r w:rsidR="00317AE1">
        <w:t xml:space="preserve"> MAID as a valid and defensible treatment option, or s</w:t>
      </w:r>
      <w:r w:rsidR="00CD32F1">
        <w:t>ees</w:t>
      </w:r>
      <w:r w:rsidR="00317AE1">
        <w:t xml:space="preserve"> herself as a conscientious objector</w:t>
      </w:r>
      <w:r w:rsidR="003117BC">
        <w:t xml:space="preserve">, </w:t>
      </w:r>
      <w:r w:rsidR="00480C9C">
        <w:t xml:space="preserve">she must look beyond her personal intuitions in order to offer an analysis that can be understood and evaluated by those who </w:t>
      </w:r>
      <w:r w:rsidR="00A507C7">
        <w:t xml:space="preserve">must </w:t>
      </w:r>
      <w:r w:rsidR="00480C9C">
        <w:t xml:space="preserve">bear the weight of </w:t>
      </w:r>
      <w:r w:rsidR="00A507C7">
        <w:t>this decision.</w:t>
      </w:r>
    </w:p>
    <w:p w14:paraId="6541C7B8" w14:textId="41210F4D" w:rsidR="00580B6D" w:rsidRDefault="003F7012" w:rsidP="00317AE1">
      <w:pPr>
        <w:spacing w:line="480" w:lineRule="auto"/>
        <w:ind w:firstLine="720"/>
      </w:pPr>
      <w:r>
        <w:t>The first claim, that hospitals are not obliged to provide all services that are legally permissible,</w:t>
      </w:r>
      <w:r w:rsidR="000920C2">
        <w:t xml:space="preserve"> is clearly true but </w:t>
      </w:r>
      <w:r w:rsidR="008A7CE5">
        <w:t>requires</w:t>
      </w:r>
      <w:r w:rsidR="000920C2">
        <w:t xml:space="preserve"> further exploration</w:t>
      </w:r>
      <w:r w:rsidR="000A44BD">
        <w:t xml:space="preserve">. </w:t>
      </w:r>
      <w:r w:rsidR="004F5433">
        <w:t>Healthcare institutions tend to specialise and</w:t>
      </w:r>
      <w:r w:rsidR="006D5508">
        <w:t>,</w:t>
      </w:r>
      <w:r w:rsidR="004F5433">
        <w:t xml:space="preserve"> e</w:t>
      </w:r>
      <w:r w:rsidR="008A7CE5">
        <w:t xml:space="preserve">ven when </w:t>
      </w:r>
      <w:r w:rsidR="00F377F4">
        <w:t>services are recognised as vital</w:t>
      </w:r>
      <w:r w:rsidR="00BC213A">
        <w:t xml:space="preserve"> or important</w:t>
      </w:r>
      <w:r w:rsidR="00F377F4">
        <w:t xml:space="preserve">, patients </w:t>
      </w:r>
      <w:r w:rsidR="006D5508">
        <w:t xml:space="preserve">can be referred </w:t>
      </w:r>
      <w:r w:rsidR="00F377F4">
        <w:t>to other facilities that have greater capacity</w:t>
      </w:r>
      <w:r w:rsidR="00202DA7">
        <w:t xml:space="preserve"> </w:t>
      </w:r>
      <w:r w:rsidR="00F377F4">
        <w:t>or better expertise to meet their needs</w:t>
      </w:r>
      <w:r w:rsidR="00BC213A">
        <w:t>.</w:t>
      </w:r>
      <w:r w:rsidR="000A44BD">
        <w:t xml:space="preserve"> </w:t>
      </w:r>
      <w:r w:rsidR="00AC6DFC">
        <w:t>E</w:t>
      </w:r>
      <w:r w:rsidR="00580B6D">
        <w:t xml:space="preserve">fforts to coordinate rather than duplicate </w:t>
      </w:r>
      <w:r w:rsidR="00580B6D">
        <w:lastRenderedPageBreak/>
        <w:t xml:space="preserve">services can enhance rather than diminish access </w:t>
      </w:r>
      <w:r w:rsidR="004C3B5A">
        <w:t>to care</w:t>
      </w:r>
      <w:r w:rsidR="009B1B45">
        <w:t>, but</w:t>
      </w:r>
      <w:r w:rsidR="004C3B5A">
        <w:t xml:space="preserve"> what is crucial </w:t>
      </w:r>
      <w:r w:rsidR="009B1B45">
        <w:t>in all</w:t>
      </w:r>
      <w:r w:rsidR="004C3B5A">
        <w:t xml:space="preserve"> cases is </w:t>
      </w:r>
      <w:r w:rsidR="009B1B45">
        <w:t>tha</w:t>
      </w:r>
      <w:r w:rsidR="00DB7250">
        <w:t xml:space="preserve">t operational </w:t>
      </w:r>
      <w:r w:rsidR="0009649C">
        <w:t>decisions not be justified on grounds that discriminate against particular patient</w:t>
      </w:r>
      <w:r w:rsidR="00DE63D9">
        <w:t>s, or categories of patients, on grounds</w:t>
      </w:r>
      <w:r w:rsidR="00C12D0E">
        <w:t xml:space="preserve"> that cannot be defended in a principled way.</w:t>
      </w:r>
    </w:p>
    <w:p w14:paraId="6EB46143" w14:textId="3E61D52E" w:rsidR="00BF5245" w:rsidRDefault="00B22172" w:rsidP="006E5ACF">
      <w:pPr>
        <w:spacing w:line="480" w:lineRule="auto"/>
      </w:pPr>
      <w:r>
        <w:tab/>
      </w:r>
      <w:r w:rsidR="00453EBB">
        <w:t>In light of these</w:t>
      </w:r>
      <w:r w:rsidR="006E5ACF">
        <w:t xml:space="preserve"> </w:t>
      </w:r>
      <w:r w:rsidR="001F4365">
        <w:t>considerations the PHE might conclude that</w:t>
      </w:r>
      <w:r w:rsidR="00C27995">
        <w:t>,</w:t>
      </w:r>
      <w:r w:rsidR="001F4365">
        <w:t xml:space="preserve"> </w:t>
      </w:r>
      <w:r w:rsidR="00AB33AF">
        <w:t xml:space="preserve">unless a timely and effective referral can be made to an alternate service, </w:t>
      </w:r>
      <w:r w:rsidR="001F4365">
        <w:t xml:space="preserve">preventing frail elderly patients with chronic </w:t>
      </w:r>
      <w:r w:rsidR="00341D1E">
        <w:t>disease</w:t>
      </w:r>
      <w:r w:rsidR="000927FA">
        <w:t>s</w:t>
      </w:r>
      <w:r w:rsidR="00341D1E">
        <w:t xml:space="preserve"> or disabilit</w:t>
      </w:r>
      <w:r w:rsidR="000927FA">
        <w:t>ies</w:t>
      </w:r>
      <w:r w:rsidR="001F4365">
        <w:t xml:space="preserve"> (such as spinal stenosis, or degenerative arthritis, ALS, or chronic obstructive pulmonary disease) from accessing </w:t>
      </w:r>
      <w:r w:rsidR="00AB33AF">
        <w:t>her institution’s</w:t>
      </w:r>
      <w:r w:rsidR="00BA5609">
        <w:t xml:space="preserve"> MAID services</w:t>
      </w:r>
      <w:r w:rsidR="001F4365">
        <w:t xml:space="preserve"> would be as </w:t>
      </w:r>
      <w:r w:rsidR="00A02945">
        <w:t xml:space="preserve">problematic </w:t>
      </w:r>
      <w:r w:rsidR="001F4365">
        <w:t>as the practice</w:t>
      </w:r>
      <w:r w:rsidR="00FC106F">
        <w:t>s</w:t>
      </w:r>
      <w:r w:rsidR="001F4365">
        <w:t xml:space="preserve"> of therapeutic abortion committees that </w:t>
      </w:r>
      <w:r w:rsidR="00E752E1">
        <w:t>restricted</w:t>
      </w:r>
      <w:r w:rsidR="00E752E1" w:rsidDel="00E752E1">
        <w:t xml:space="preserve"> </w:t>
      </w:r>
      <w:r w:rsidR="001F4365">
        <w:t xml:space="preserve">access to that </w:t>
      </w:r>
      <w:r w:rsidR="00C27995">
        <w:t>option</w:t>
      </w:r>
      <w:r w:rsidR="001F4365">
        <w:t xml:space="preserve"> to women who were survivors of rape or incest. She might argue that in both kinds of cases health care services </w:t>
      </w:r>
      <w:r w:rsidR="00453EBB">
        <w:t xml:space="preserve">are </w:t>
      </w:r>
      <w:r w:rsidR="001F4365">
        <w:t>being structured in a way that prioritize</w:t>
      </w:r>
      <w:r w:rsidR="00453EBB">
        <w:t>s</w:t>
      </w:r>
      <w:r w:rsidR="001F4365">
        <w:t xml:space="preserve"> the </w:t>
      </w:r>
      <w:r w:rsidR="006E5ACF">
        <w:t>concerns</w:t>
      </w:r>
      <w:r w:rsidR="001F4365">
        <w:t xml:space="preserve"> </w:t>
      </w:r>
      <w:r w:rsidR="00BF5245">
        <w:t xml:space="preserve">and values </w:t>
      </w:r>
      <w:r w:rsidR="001F4365">
        <w:t>of influential members of institutions over those of identified patient populations and the professionals who were willing to meet their needs.</w:t>
      </w:r>
      <w:r w:rsidR="004F5433">
        <w:rPr>
          <w:rStyle w:val="FootnoteReference"/>
        </w:rPr>
        <w:footnoteReference w:id="191"/>
      </w:r>
    </w:p>
    <w:p w14:paraId="074F2DEB" w14:textId="6FB114E0" w:rsidR="00D818BB" w:rsidRDefault="00542A62" w:rsidP="006E5ACF">
      <w:pPr>
        <w:spacing w:line="480" w:lineRule="auto"/>
      </w:pPr>
      <w:r>
        <w:tab/>
        <w:t xml:space="preserve">As we have already seen, </w:t>
      </w:r>
      <w:r w:rsidR="00E53251">
        <w:t xml:space="preserve">the </w:t>
      </w:r>
      <w:r>
        <w:t xml:space="preserve">“reasonable foreseeability” criterion has </w:t>
      </w:r>
      <w:r w:rsidR="00024C1E">
        <w:t xml:space="preserve">presented some </w:t>
      </w:r>
      <w:r>
        <w:t>interpretive challenges</w:t>
      </w:r>
      <w:r w:rsidR="00E1758F">
        <w:t>,</w:t>
      </w:r>
      <w:r w:rsidR="00C42D63">
        <w:t xml:space="preserve"> so the SPPs’ </w:t>
      </w:r>
      <w:r w:rsidR="000F1D9E">
        <w:t>second claim</w:t>
      </w:r>
      <w:r w:rsidR="00C42D63">
        <w:t xml:space="preserve"> is not </w:t>
      </w:r>
      <w:r w:rsidR="004C4F20">
        <w:t xml:space="preserve">entirely </w:t>
      </w:r>
      <w:r w:rsidR="00E752E1">
        <w:t>implausible</w:t>
      </w:r>
      <w:r w:rsidR="00C27995">
        <w:t>. T</w:t>
      </w:r>
      <w:r w:rsidR="00D1198B">
        <w:t>he</w:t>
      </w:r>
      <w:r w:rsidR="00604DCC">
        <w:t xml:space="preserve"> likelihood of</w:t>
      </w:r>
      <w:r w:rsidR="00D1198B">
        <w:t xml:space="preserve"> </w:t>
      </w:r>
      <w:r w:rsidR="00604DCC">
        <w:t>a staffing shortage</w:t>
      </w:r>
      <w:r w:rsidR="00024C1E">
        <w:t>, however,</w:t>
      </w:r>
      <w:r w:rsidR="00604DCC">
        <w:t xml:space="preserve"> </w:t>
      </w:r>
      <w:r w:rsidR="00D43496">
        <w:t>is a</w:t>
      </w:r>
      <w:r w:rsidR="008C2194">
        <w:t xml:space="preserve"> practical </w:t>
      </w:r>
      <w:r w:rsidR="00D43496">
        <w:t xml:space="preserve">matter </w:t>
      </w:r>
      <w:r w:rsidR="00D43496">
        <w:lastRenderedPageBreak/>
        <w:t xml:space="preserve">that </w:t>
      </w:r>
      <w:r w:rsidR="00A02945">
        <w:t xml:space="preserve">can be </w:t>
      </w:r>
      <w:r w:rsidR="00024C1E">
        <w:t>distin</w:t>
      </w:r>
      <w:r w:rsidR="00A02945">
        <w:t>guished</w:t>
      </w:r>
      <w:r w:rsidR="00024C1E">
        <w:t xml:space="preserve"> from </w:t>
      </w:r>
      <w:r w:rsidR="00A02945">
        <w:t xml:space="preserve">related </w:t>
      </w:r>
      <w:r w:rsidR="00D43496">
        <w:t xml:space="preserve">questions of an ethical kind. Even if recruitment and retention are affected by </w:t>
      </w:r>
      <w:r w:rsidR="000927FA">
        <w:t xml:space="preserve">worries about </w:t>
      </w:r>
      <w:r w:rsidR="00D43496">
        <w:t>the open-textured nature of the standard it is</w:t>
      </w:r>
      <w:r w:rsidR="00A02945">
        <w:t xml:space="preserve"> </w:t>
      </w:r>
      <w:r w:rsidR="00D43496">
        <w:t>far from self-evident that the appropriate response would be to constrain judgement in a place that the legislature (and subsequent</w:t>
      </w:r>
      <w:r w:rsidR="00864CBF">
        <w:t xml:space="preserve"> court</w:t>
      </w:r>
      <w:r w:rsidR="00D43496">
        <w:t xml:space="preserve"> rulings) </w:t>
      </w:r>
      <w:r w:rsidR="00B570D5">
        <w:t xml:space="preserve">have </w:t>
      </w:r>
      <w:r w:rsidR="00D43496">
        <w:t>left open to the providers’ discretion.</w:t>
      </w:r>
      <w:r w:rsidR="00A02945">
        <w:t xml:space="preserve"> </w:t>
      </w:r>
      <w:r w:rsidR="00AE7291">
        <w:t>Efforts to ensure adequate education</w:t>
      </w:r>
      <w:r w:rsidR="00B570D5">
        <w:t xml:space="preserve"> and support for </w:t>
      </w:r>
      <w:r w:rsidR="00D818BB">
        <w:t>assessors</w:t>
      </w:r>
      <w:r w:rsidR="00AE7291">
        <w:t xml:space="preserve">, </w:t>
      </w:r>
      <w:r w:rsidR="00B570D5">
        <w:t xml:space="preserve">and to </w:t>
      </w:r>
      <w:r w:rsidR="00AE7291">
        <w:t>recruit</w:t>
      </w:r>
      <w:r w:rsidR="00B570D5">
        <w:t xml:space="preserve"> expertise from diverse s</w:t>
      </w:r>
      <w:r w:rsidR="00A72A38">
        <w:t>pecialties</w:t>
      </w:r>
      <w:r w:rsidR="00B570D5">
        <w:t xml:space="preserve"> (geriatric</w:t>
      </w:r>
      <w:r w:rsidR="00A72A38">
        <w:t xml:space="preserve"> psychiatry, neurology, respirology</w:t>
      </w:r>
      <w:r w:rsidR="00C21220">
        <w:t>, and palliative care</w:t>
      </w:r>
      <w:r w:rsidR="00A72A38">
        <w:t xml:space="preserve"> come to mind), are </w:t>
      </w:r>
      <w:r w:rsidR="008C2194">
        <w:t xml:space="preserve">possible </w:t>
      </w:r>
      <w:r w:rsidR="00A72A38">
        <w:t>responses to the prospect of c</w:t>
      </w:r>
      <w:r w:rsidR="00E1758F">
        <w:t xml:space="preserve">linical uncertainty </w:t>
      </w:r>
      <w:r w:rsidR="00A72A38">
        <w:t xml:space="preserve">that </w:t>
      </w:r>
      <w:r w:rsidR="00FC106F">
        <w:t>have the potential to</w:t>
      </w:r>
      <w:r w:rsidR="00317C9F">
        <w:t xml:space="preserve"> enhance the competence and confidence of </w:t>
      </w:r>
      <w:r w:rsidR="00F34F4B">
        <w:t>willing</w:t>
      </w:r>
      <w:r w:rsidR="00317C9F">
        <w:t xml:space="preserve"> </w:t>
      </w:r>
      <w:r w:rsidR="00C21220">
        <w:t>pr</w:t>
      </w:r>
      <w:r w:rsidR="00D818BB">
        <w:t>actitioners</w:t>
      </w:r>
      <w:r w:rsidR="00F34F4B">
        <w:t xml:space="preserve"> without jeopardising access to patient care</w:t>
      </w:r>
      <w:r w:rsidR="00A30B1E">
        <w:t>.</w:t>
      </w:r>
      <w:r w:rsidR="00D818BB">
        <w:tab/>
      </w:r>
      <w:r w:rsidR="00FC106F">
        <w:tab/>
      </w:r>
    </w:p>
    <w:p w14:paraId="0E4DAF46" w14:textId="6433E1F9" w:rsidR="00D31933" w:rsidRDefault="00FC106F" w:rsidP="00144108">
      <w:pPr>
        <w:spacing w:line="480" w:lineRule="auto"/>
        <w:ind w:firstLine="720"/>
      </w:pPr>
      <w:r>
        <w:t xml:space="preserve">The third </w:t>
      </w:r>
      <w:r w:rsidR="006F725F">
        <w:t>proposition</w:t>
      </w:r>
      <w:r w:rsidR="00A948BA">
        <w:t xml:space="preserve"> (</w:t>
      </w:r>
      <w:r w:rsidR="007B454F">
        <w:t>that the provision of MAID to patients with longer prognos</w:t>
      </w:r>
      <w:r w:rsidR="00A948BA">
        <w:t>e</w:t>
      </w:r>
      <w:r w:rsidR="007B454F">
        <w:t>s undermines respect for the</w:t>
      </w:r>
      <w:r w:rsidR="00295AA5">
        <w:t xml:space="preserve"> </w:t>
      </w:r>
      <w:r w:rsidR="00793CA3">
        <w:t>lives</w:t>
      </w:r>
      <w:r w:rsidR="00295AA5">
        <w:t xml:space="preserve"> of vulnerable persons</w:t>
      </w:r>
      <w:r w:rsidR="00A948BA">
        <w:t>)</w:t>
      </w:r>
      <w:r w:rsidR="007B454F">
        <w:t xml:space="preserve"> is a more complex </w:t>
      </w:r>
      <w:r w:rsidR="00A948BA">
        <w:t>charge than it might</w:t>
      </w:r>
      <w:r w:rsidR="00793CA3">
        <w:t xml:space="preserve"> seem</w:t>
      </w:r>
      <w:r w:rsidR="00C4298F">
        <w:t xml:space="preserve">. </w:t>
      </w:r>
      <w:r w:rsidR="00793CA3" w:rsidRPr="00793CA3">
        <w:t xml:space="preserve">The PHE might </w:t>
      </w:r>
      <w:r w:rsidR="00295AA5">
        <w:t xml:space="preserve">be inclined to </w:t>
      </w:r>
      <w:r w:rsidR="00793CA3" w:rsidRPr="00793CA3">
        <w:t>look to empirical data available from other jurisdictions to see if there is evidence t</w:t>
      </w:r>
      <w:r w:rsidR="00144108">
        <w:t>o</w:t>
      </w:r>
      <w:r w:rsidR="00793CA3" w:rsidRPr="00793CA3">
        <w:t xml:space="preserve"> support the </w:t>
      </w:r>
      <w:r w:rsidR="001D52A0">
        <w:t>assertion</w:t>
      </w:r>
      <w:r w:rsidR="00793CA3" w:rsidRPr="00793CA3">
        <w:t xml:space="preserve"> that the provision of medically-assisted deaths to </w:t>
      </w:r>
      <w:r w:rsidR="00144108">
        <w:t>patients with longer prognoses (LPPs)</w:t>
      </w:r>
      <w:r w:rsidR="00A728DB">
        <w:t xml:space="preserve"> </w:t>
      </w:r>
      <w:r w:rsidR="00B54DCB">
        <w:t>results</w:t>
      </w:r>
      <w:r w:rsidR="00793CA3" w:rsidRPr="00793CA3">
        <w:t xml:space="preserve"> in a diminished respect for their lives</w:t>
      </w:r>
      <w:r w:rsidR="001D52A0">
        <w:t>,</w:t>
      </w:r>
      <w:r w:rsidR="00793CA3" w:rsidRPr="00793CA3">
        <w:t xml:space="preserve"> or contributes to a shift in societal attitudes that makes the </w:t>
      </w:r>
      <w:r w:rsidR="00F34F4B">
        <w:t xml:space="preserve">frail </w:t>
      </w:r>
      <w:r w:rsidR="00793CA3" w:rsidRPr="00793CA3">
        <w:t>elderly feel coerced into requesting aid in dying</w:t>
      </w:r>
      <w:r w:rsidR="00947DF0">
        <w:t>, but s</w:t>
      </w:r>
      <w:r w:rsidR="00C4298F">
        <w:t>uch evidence (even if it were</w:t>
      </w:r>
      <w:r w:rsidR="00AD6FD2">
        <w:t xml:space="preserve"> </w:t>
      </w:r>
      <w:r w:rsidR="008F4AD3">
        <w:t xml:space="preserve">more </w:t>
      </w:r>
      <w:r w:rsidR="00AD6FD2">
        <w:t>reliable and valid</w:t>
      </w:r>
      <w:r w:rsidR="008F4AD3">
        <w:t xml:space="preserve"> tha</w:t>
      </w:r>
      <w:r w:rsidR="00562B93">
        <w:t>n</w:t>
      </w:r>
      <w:r w:rsidR="008F4AD3">
        <w:t xml:space="preserve"> it tends to be</w:t>
      </w:r>
      <w:r w:rsidR="00C4298F">
        <w:t>)</w:t>
      </w:r>
      <w:r w:rsidR="00AD6FD2">
        <w:t xml:space="preserve"> would be difficult to translate to a fresh context and, more importantl</w:t>
      </w:r>
      <w:r w:rsidR="008174EB">
        <w:t xml:space="preserve">y, would not render the rights, values, and preferences of local patients and providers moot. </w:t>
      </w:r>
      <w:r w:rsidR="00871EA2">
        <w:t>Fortunately, t</w:t>
      </w:r>
      <w:r w:rsidR="008174EB">
        <w:t>he PHE’s obligation to her institution</w:t>
      </w:r>
      <w:r w:rsidR="00947DF0">
        <w:t>,</w:t>
      </w:r>
      <w:r w:rsidR="008174EB">
        <w:t xml:space="preserve"> and to the stakeholders that rely on her</w:t>
      </w:r>
      <w:r w:rsidR="00C53554">
        <w:t xml:space="preserve"> judgement, </w:t>
      </w:r>
      <w:r w:rsidR="00947DF0">
        <w:t xml:space="preserve">does not require that she </w:t>
      </w:r>
      <w:r w:rsidR="00871EA2">
        <w:t>re-</w:t>
      </w:r>
      <w:r w:rsidR="00871EA2">
        <w:lastRenderedPageBreak/>
        <w:t>adjudicate</w:t>
      </w:r>
      <w:r w:rsidR="0028273A">
        <w:t xml:space="preserve"> the </w:t>
      </w:r>
      <w:r w:rsidR="00871EA2">
        <w:t xml:space="preserve">matters already decided by the courts, nor </w:t>
      </w:r>
      <w:r w:rsidR="00BE063B">
        <w:t>is</w:t>
      </w:r>
      <w:r w:rsidR="00871EA2">
        <w:t xml:space="preserve"> it </w:t>
      </w:r>
      <w:r w:rsidR="00BE063B">
        <w:t>within her scope</w:t>
      </w:r>
      <w:r w:rsidR="00871EA2">
        <w:t xml:space="preserve"> to evaluate the </w:t>
      </w:r>
      <w:r w:rsidR="00BE063B">
        <w:t xml:space="preserve">eligibility of particular patients (a </w:t>
      </w:r>
      <w:r w:rsidR="00871EA2">
        <w:t>matter that fall</w:t>
      </w:r>
      <w:r w:rsidR="00BE063B">
        <w:t>s</w:t>
      </w:r>
      <w:r w:rsidR="00871EA2">
        <w:t xml:space="preserve"> squarely within the jurisdiction of MAID assessors and providers</w:t>
      </w:r>
      <w:r w:rsidR="00BE063B">
        <w:t>)</w:t>
      </w:r>
      <w:r w:rsidR="00871EA2">
        <w:t xml:space="preserve">. </w:t>
      </w:r>
      <w:r w:rsidR="00194282">
        <w:t>In this instance, the PHE’s responsibility</w:t>
      </w:r>
      <w:r w:rsidR="008174EB">
        <w:t xml:space="preserve"> </w:t>
      </w:r>
      <w:r w:rsidR="00194282">
        <w:t xml:space="preserve">is to offer guidance on a </w:t>
      </w:r>
      <w:r w:rsidR="00D31933">
        <w:t xml:space="preserve">fairly </w:t>
      </w:r>
      <w:r w:rsidR="00194282">
        <w:t xml:space="preserve">narrow question with the potential for significant impact; that is, she is to advise on the ethical </w:t>
      </w:r>
      <w:r w:rsidR="007B2B21">
        <w:t>significance</w:t>
      </w:r>
      <w:r w:rsidR="00194282">
        <w:t xml:space="preserve"> of the proposal to</w:t>
      </w:r>
      <w:r w:rsidR="004679FE">
        <w:t xml:space="preserve"> restrict access to</w:t>
      </w:r>
      <w:r w:rsidR="00194282">
        <w:t xml:space="preserve"> MAID</w:t>
      </w:r>
      <w:r w:rsidR="007B2B21">
        <w:t xml:space="preserve"> to a sub-</w:t>
      </w:r>
      <w:r w:rsidR="004679FE">
        <w:t xml:space="preserve">group of </w:t>
      </w:r>
      <w:r w:rsidR="00D31933">
        <w:t xml:space="preserve">legally </w:t>
      </w:r>
      <w:r w:rsidR="007B2B21">
        <w:t xml:space="preserve">eligible </w:t>
      </w:r>
      <w:r w:rsidR="004679FE">
        <w:t>patients</w:t>
      </w:r>
      <w:r w:rsidR="007B2B21">
        <w:t xml:space="preserve">. </w:t>
      </w:r>
      <w:r w:rsidR="00C13608">
        <w:t>To cla</w:t>
      </w:r>
      <w:r w:rsidR="009D5648">
        <w:t>rify, her task</w:t>
      </w:r>
      <w:r w:rsidR="00C13608">
        <w:t xml:space="preserve"> is not, at least in the context of </w:t>
      </w:r>
      <w:r w:rsidR="00124B5F">
        <w:t>this</w:t>
      </w:r>
      <w:r w:rsidR="00C13608">
        <w:t xml:space="preserve"> consultat</w:t>
      </w:r>
      <w:r w:rsidR="00550F7C">
        <w:t>ion</w:t>
      </w:r>
      <w:r w:rsidR="00C13608">
        <w:t>, to weigh in on debates with respect to the public</w:t>
      </w:r>
      <w:r w:rsidR="00124B5F">
        <w:t>’s</w:t>
      </w:r>
      <w:r w:rsidR="00C13608">
        <w:t xml:space="preserve"> or the Court’s position</w:t>
      </w:r>
      <w:r w:rsidR="009D5648">
        <w:t xml:space="preserve">s with respect to MAID. It is to provide an evaluation of </w:t>
      </w:r>
      <w:r w:rsidR="00124B5F">
        <w:t xml:space="preserve">the ethical merits of </w:t>
      </w:r>
      <w:r w:rsidR="009D5648">
        <w:t xml:space="preserve">a </w:t>
      </w:r>
      <w:r w:rsidR="00D31933">
        <w:t xml:space="preserve">particular </w:t>
      </w:r>
      <w:r w:rsidR="009D5648">
        <w:t>program design within a specific clinical context.</w:t>
      </w:r>
    </w:p>
    <w:p w14:paraId="7B561320" w14:textId="1E5E3328" w:rsidR="006E5ACF" w:rsidRDefault="00D31933" w:rsidP="006E5ACF">
      <w:pPr>
        <w:spacing w:line="480" w:lineRule="auto"/>
      </w:pPr>
      <w:r>
        <w:tab/>
        <w:t>Once the ethical question (or questions) have been distinguished from other sorts of con</w:t>
      </w:r>
      <w:r w:rsidR="001D701E">
        <w:t>sideration</w:t>
      </w:r>
      <w:r>
        <w:t>s it is easier, if not easy, to see how the</w:t>
      </w:r>
      <w:r w:rsidR="00894C9A">
        <w:t xml:space="preserve"> case might be resolved</w:t>
      </w:r>
      <w:r>
        <w:t xml:space="preserve">. </w:t>
      </w:r>
      <w:r w:rsidR="00856169">
        <w:t xml:space="preserve">The </w:t>
      </w:r>
      <w:r w:rsidR="00894C9A">
        <w:t xml:space="preserve">central </w:t>
      </w:r>
      <w:r w:rsidR="00856169">
        <w:t>q</w:t>
      </w:r>
      <w:r w:rsidR="0078493A">
        <w:t>uestion</w:t>
      </w:r>
      <w:r w:rsidR="00565773">
        <w:t xml:space="preserve">s in the instant case might be: </w:t>
      </w:r>
      <w:r w:rsidR="0078493A">
        <w:t>D</w:t>
      </w:r>
      <w:r w:rsidR="00856169">
        <w:t>oes the SPP proposal</w:t>
      </w:r>
      <w:r w:rsidR="0078493A">
        <w:t xml:space="preserve"> fit with current practice</w:t>
      </w:r>
      <w:r w:rsidR="00A5515F">
        <w:t xml:space="preserve"> as well as a service </w:t>
      </w:r>
      <w:r w:rsidR="005D0618">
        <w:t xml:space="preserve">that would be </w:t>
      </w:r>
      <w:r w:rsidR="00A97148">
        <w:t>available to all potentially eligible patients</w:t>
      </w:r>
      <w:r w:rsidR="0078493A">
        <w:t>?</w:t>
      </w:r>
      <w:r w:rsidR="005D0618">
        <w:t xml:space="preserve"> and,</w:t>
      </w:r>
      <w:r w:rsidR="00A97148">
        <w:t xml:space="preserve"> </w:t>
      </w:r>
      <w:r w:rsidR="005D0618">
        <w:t>W</w:t>
      </w:r>
      <w:r w:rsidR="00A97148">
        <w:t>hich</w:t>
      </w:r>
      <w:r w:rsidR="00604014">
        <w:t xml:space="preserve"> program structure can best be </w:t>
      </w:r>
      <w:r w:rsidR="00670393">
        <w:t xml:space="preserve">justified </w:t>
      </w:r>
      <w:r w:rsidR="00604014">
        <w:t xml:space="preserve">on ethical grounds? </w:t>
      </w:r>
      <w:r w:rsidR="00A97148">
        <w:t xml:space="preserve"> </w:t>
      </w:r>
      <w:r w:rsidR="00665306">
        <w:t xml:space="preserve"> </w:t>
      </w:r>
      <w:r w:rsidR="0078493A">
        <w:t xml:space="preserve">   </w:t>
      </w:r>
      <w:r w:rsidR="00856169">
        <w:t xml:space="preserve"> </w:t>
      </w:r>
      <w:r>
        <w:t xml:space="preserve">  </w:t>
      </w:r>
      <w:r w:rsidR="009D5648">
        <w:t xml:space="preserve"> </w:t>
      </w:r>
      <w:r w:rsidR="00124B5F">
        <w:t xml:space="preserve"> </w:t>
      </w:r>
      <w:r w:rsidR="00C13608">
        <w:t xml:space="preserve">   </w:t>
      </w:r>
      <w:r w:rsidR="007B2B21">
        <w:t xml:space="preserve"> </w:t>
      </w:r>
      <w:r w:rsidR="00194282">
        <w:t xml:space="preserve"> </w:t>
      </w:r>
      <w:r w:rsidR="008174EB">
        <w:t xml:space="preserve"> </w:t>
      </w:r>
      <w:r w:rsidR="00C4298F">
        <w:t xml:space="preserve"> </w:t>
      </w:r>
      <w:r w:rsidR="00292571">
        <w:t xml:space="preserve">    </w:t>
      </w:r>
      <w:r w:rsidR="00FC106F">
        <w:t xml:space="preserve"> </w:t>
      </w:r>
      <w:r w:rsidR="00292571">
        <w:t xml:space="preserve">   </w:t>
      </w:r>
      <w:r w:rsidR="00FC106F">
        <w:t xml:space="preserve">   </w:t>
      </w:r>
    </w:p>
    <w:p w14:paraId="00515C06" w14:textId="77777777" w:rsidR="007762DB" w:rsidRDefault="001F4365" w:rsidP="007E055D">
      <w:pPr>
        <w:spacing w:line="480" w:lineRule="auto"/>
        <w:ind w:firstLine="720"/>
      </w:pPr>
      <w:r>
        <w:t xml:space="preserve">Although </w:t>
      </w:r>
      <w:r w:rsidR="00B121DB">
        <w:t xml:space="preserve">the SPP proposal </w:t>
      </w:r>
      <w:r>
        <w:t>might be defended via appeal to</w:t>
      </w:r>
      <w:r w:rsidR="00783B91">
        <w:t xml:space="preserve"> non-maleficience</w:t>
      </w:r>
      <w:r>
        <w:t xml:space="preserve"> </w:t>
      </w:r>
      <w:r w:rsidR="001D02C7">
        <w:t>(</w:t>
      </w:r>
      <w:r>
        <w:t>or a desire to</w:t>
      </w:r>
      <w:r w:rsidR="00943561">
        <w:t xml:space="preserve"> shield</w:t>
      </w:r>
      <w:r w:rsidR="00700B59">
        <w:t xml:space="preserve"> a vulnerable population from </w:t>
      </w:r>
      <w:r w:rsidR="00943561">
        <w:t xml:space="preserve">the </w:t>
      </w:r>
      <w:r w:rsidR="00700B59">
        <w:t>harm</w:t>
      </w:r>
      <w:r w:rsidR="00943561">
        <w:t xml:space="preserve"> of </w:t>
      </w:r>
      <w:r w:rsidR="004D5122">
        <w:t>coercion</w:t>
      </w:r>
      <w:r w:rsidR="00943561">
        <w:t>), t</w:t>
      </w:r>
      <w:r w:rsidR="00B121DB">
        <w:t xml:space="preserve">he PHE’s recommendation ultimately must turn on </w:t>
      </w:r>
      <w:r w:rsidR="001D02C7">
        <w:t xml:space="preserve">the way that she reconciles that value with </w:t>
      </w:r>
      <w:r w:rsidR="000F1E44">
        <w:t xml:space="preserve">other </w:t>
      </w:r>
      <w:r w:rsidR="001D02C7">
        <w:t>competing concerns</w:t>
      </w:r>
      <w:r w:rsidR="000F1E44">
        <w:t>.</w:t>
      </w:r>
      <w:r w:rsidR="00146FBF">
        <w:t xml:space="preserve"> </w:t>
      </w:r>
      <w:r w:rsidR="00CA2716">
        <w:t>The justice–related implications of a plan</w:t>
      </w:r>
      <w:r w:rsidR="00CA2716" w:rsidRPr="00CA2716">
        <w:t xml:space="preserve"> to limit</w:t>
      </w:r>
      <w:r w:rsidR="00CA2716">
        <w:t xml:space="preserve"> </w:t>
      </w:r>
      <w:r w:rsidR="00CA2716" w:rsidRPr="00CA2716">
        <w:t xml:space="preserve">access based upon institutional value judgements about the relative burden of suffering borne by whole classes of patients </w:t>
      </w:r>
      <w:r w:rsidR="00CA2716">
        <w:t xml:space="preserve">might be </w:t>
      </w:r>
      <w:r w:rsidR="00CA2716">
        <w:lastRenderedPageBreak/>
        <w:t xml:space="preserve">made plainer by efforts to find </w:t>
      </w:r>
      <w:r w:rsidR="007E055D">
        <w:t xml:space="preserve">relevant </w:t>
      </w:r>
      <w:r w:rsidR="00831539">
        <w:t xml:space="preserve">analogies. </w:t>
      </w:r>
      <w:r w:rsidR="00146FBF">
        <w:t>The parallel with abortion</w:t>
      </w:r>
      <w:r w:rsidR="007E055D">
        <w:t xml:space="preserve"> has already been noted, </w:t>
      </w:r>
      <w:r w:rsidR="00831539">
        <w:t>but an even more stark contrast might be drawn by noting the difficulty the community might have with attempts</w:t>
      </w:r>
      <w:r w:rsidR="000A57D0">
        <w:t xml:space="preserve"> to defend denying </w:t>
      </w:r>
      <w:r w:rsidR="00831539">
        <w:t xml:space="preserve">other </w:t>
      </w:r>
      <w:r w:rsidR="00D36D20">
        <w:t xml:space="preserve">potentially eligible </w:t>
      </w:r>
      <w:r w:rsidR="00831539">
        <w:t>patient</w:t>
      </w:r>
      <w:r w:rsidR="000A57D0">
        <w:t xml:space="preserve"> population</w:t>
      </w:r>
      <w:r w:rsidR="00831539">
        <w:t>s</w:t>
      </w:r>
      <w:r w:rsidR="000A57D0">
        <w:t xml:space="preserve"> access to </w:t>
      </w:r>
      <w:r w:rsidR="00D93B5F">
        <w:t>assessment</w:t>
      </w:r>
      <w:r w:rsidR="00831539">
        <w:t xml:space="preserve">. </w:t>
      </w:r>
      <w:r w:rsidR="00777B15">
        <w:t xml:space="preserve">It might be argued, for example, that patients who hail from communities that are generally considered structurally vulnerable, such as the insecurely housed or those who </w:t>
      </w:r>
      <w:r w:rsidR="00D93B5F">
        <w:t>have physical disabilities</w:t>
      </w:r>
      <w:r w:rsidR="00777B15">
        <w:t xml:space="preserve">, should be excluded on the basis that they </w:t>
      </w:r>
      <w:r w:rsidR="00B635AC">
        <w:t>are</w:t>
      </w:r>
      <w:r w:rsidR="00777B15">
        <w:t xml:space="preserve"> </w:t>
      </w:r>
      <w:r w:rsidR="00C823DB">
        <w:t xml:space="preserve">subject to </w:t>
      </w:r>
      <w:r w:rsidR="004D5122">
        <w:t>undue pressures</w:t>
      </w:r>
      <w:r w:rsidR="00C823DB">
        <w:t xml:space="preserve"> </w:t>
      </w:r>
      <w:r w:rsidR="00B635AC">
        <w:t>more often t</w:t>
      </w:r>
      <w:r w:rsidR="00C823DB">
        <w:t xml:space="preserve">han </w:t>
      </w:r>
      <w:r w:rsidR="00B635AC">
        <w:t>patients who lack these disadvantages</w:t>
      </w:r>
      <w:r w:rsidR="00D93B5F">
        <w:t xml:space="preserve">. After all, </w:t>
      </w:r>
      <w:r w:rsidR="000927FA">
        <w:t xml:space="preserve">threats to patient autonomy </w:t>
      </w:r>
      <w:r w:rsidR="00D93B5F">
        <w:t xml:space="preserve">need not be overt to </w:t>
      </w:r>
      <w:r w:rsidR="000927FA">
        <w:t xml:space="preserve">be </w:t>
      </w:r>
      <w:r w:rsidR="00D93B5F">
        <w:t>powerful and t</w:t>
      </w:r>
      <w:r w:rsidR="000927FA">
        <w:t>hey</w:t>
      </w:r>
      <w:r w:rsidR="00D93B5F">
        <w:t xml:space="preserve"> may consist in a lack of</w:t>
      </w:r>
      <w:r w:rsidR="000927FA">
        <w:t xml:space="preserve"> attractive </w:t>
      </w:r>
      <w:r w:rsidR="003A3E6C">
        <w:t xml:space="preserve">available </w:t>
      </w:r>
      <w:r w:rsidR="000927FA">
        <w:t>options</w:t>
      </w:r>
      <w:r w:rsidR="00D93B5F">
        <w:t xml:space="preserve"> rather</w:t>
      </w:r>
      <w:r w:rsidR="000927FA">
        <w:t xml:space="preserve"> than through direct efforts to manipulate or to force patients to choose interventions that are not consistent with their values and preferences.</w:t>
      </w:r>
      <w:r w:rsidR="006A5C6D">
        <w:rPr>
          <w:rStyle w:val="FootnoteReference"/>
        </w:rPr>
        <w:footnoteReference w:id="192"/>
      </w:r>
      <w:r w:rsidR="00240738">
        <w:t xml:space="preserve"> An acknowledgement of that reality, however, need</w:t>
      </w:r>
      <w:r w:rsidR="006A5C6D">
        <w:t xml:space="preserve"> not </w:t>
      </w:r>
      <w:r w:rsidR="00240738">
        <w:t xml:space="preserve">yield the conclusion </w:t>
      </w:r>
      <w:r w:rsidR="006A5C6D">
        <w:t>that</w:t>
      </w:r>
      <w:r w:rsidR="00240738">
        <w:t xml:space="preserve"> such patients </w:t>
      </w:r>
      <w:r w:rsidR="004D5122">
        <w:t xml:space="preserve">ought to </w:t>
      </w:r>
      <w:r w:rsidR="00240738">
        <w:t xml:space="preserve">be denied </w:t>
      </w:r>
      <w:r w:rsidR="004D5122">
        <w:t xml:space="preserve">access to </w:t>
      </w:r>
      <w:r w:rsidR="00240738">
        <w:t xml:space="preserve">MAID </w:t>
      </w:r>
      <w:r w:rsidR="00B635AC">
        <w:t>interventions, or even to assessment opportunities</w:t>
      </w:r>
      <w:r w:rsidR="00F46DBD">
        <w:t>. After all, vulnerably-situated</w:t>
      </w:r>
      <w:r w:rsidR="0037188A">
        <w:t xml:space="preserve"> pa</w:t>
      </w:r>
      <w:r w:rsidR="00240738">
        <w:t xml:space="preserve">tients </w:t>
      </w:r>
      <w:r w:rsidR="0037188A">
        <w:t>are not routi</w:t>
      </w:r>
      <w:r w:rsidR="00F46DBD">
        <w:t>nely excluded from participating</w:t>
      </w:r>
      <w:r w:rsidR="0037188A">
        <w:t xml:space="preserve"> in other high-stakes </w:t>
      </w:r>
      <w:r w:rsidR="00F46DBD">
        <w:t>healthcare</w:t>
      </w:r>
      <w:r w:rsidR="004D5122">
        <w:t xml:space="preserve"> decisions</w:t>
      </w:r>
      <w:r w:rsidR="00F46DBD">
        <w:t xml:space="preserve">, and </w:t>
      </w:r>
      <w:r w:rsidR="004D5122">
        <w:t>it is a commonplace</w:t>
      </w:r>
      <w:r w:rsidR="00F46DBD">
        <w:t xml:space="preserve"> that </w:t>
      </w:r>
      <w:r w:rsidR="00ED1397">
        <w:t xml:space="preserve">patients’ risks and potential benefits ought to be assessed in light of their particular circumstances rather than </w:t>
      </w:r>
      <w:r w:rsidR="00ED1397">
        <w:lastRenderedPageBreak/>
        <w:t>via comparison to some ideal conception of the group or groups with which they may be identified.</w:t>
      </w:r>
      <w:r w:rsidR="00B635AC">
        <w:rPr>
          <w:rStyle w:val="FootnoteReference"/>
        </w:rPr>
        <w:footnoteReference w:id="193"/>
      </w:r>
      <w:r w:rsidR="007762DB">
        <w:t xml:space="preserve"> </w:t>
      </w:r>
    </w:p>
    <w:p w14:paraId="40F57344" w14:textId="377515C0" w:rsidR="000927FA" w:rsidRDefault="00CD7AB6" w:rsidP="007E055D">
      <w:pPr>
        <w:spacing w:line="480" w:lineRule="auto"/>
        <w:ind w:firstLine="720"/>
      </w:pPr>
      <w:r>
        <w:t xml:space="preserve">Finally, although </w:t>
      </w:r>
      <w:r w:rsidRPr="008F1B61">
        <w:t xml:space="preserve">autonomy is </w:t>
      </w:r>
      <w:r>
        <w:t xml:space="preserve">not </w:t>
      </w:r>
      <w:r w:rsidRPr="008F1B61">
        <w:t>the value that</w:t>
      </w:r>
      <w:r>
        <w:t xml:space="preserve"> ought always to claim priority (despite some caricatures of the</w:t>
      </w:r>
      <w:r w:rsidR="004D5122">
        <w:t xml:space="preserve"> so-called </w:t>
      </w:r>
      <w:r w:rsidR="007762DB">
        <w:t>Georgetown</w:t>
      </w:r>
      <w:r w:rsidR="004D5122">
        <w:t xml:space="preserve"> </w:t>
      </w:r>
      <w:r w:rsidR="007762DB">
        <w:t>mantra</w:t>
      </w:r>
      <w:r>
        <w:t>)</w:t>
      </w:r>
      <w:r w:rsidR="008C7117">
        <w:rPr>
          <w:rStyle w:val="FootnoteReference"/>
        </w:rPr>
        <w:footnoteReference w:id="194"/>
      </w:r>
      <w:r>
        <w:t xml:space="preserve"> </w:t>
      </w:r>
      <w:r w:rsidRPr="008F1B61">
        <w:t xml:space="preserve">it </w:t>
      </w:r>
      <w:r w:rsidR="007762DB">
        <w:t>does seem reasonable to endorse</w:t>
      </w:r>
      <w:r w:rsidRPr="008F1B61">
        <w:t xml:space="preserve"> the view that (given appropriate safeguards against coercion) patients, not providers (or institutional officials) ought to be the ones whose values will direct their plans of care</w:t>
      </w:r>
      <w:r w:rsidR="004D5122">
        <w:t>.</w:t>
      </w:r>
      <w:r w:rsidR="00E45F33">
        <w:rPr>
          <w:rStyle w:val="FootnoteReference"/>
        </w:rPr>
        <w:footnoteReference w:id="195"/>
      </w:r>
      <w:r w:rsidR="0037188A">
        <w:t xml:space="preserve">                                                                                                                                                                                                                                                                 </w:t>
      </w:r>
      <w:r w:rsidR="006A5C6D">
        <w:t xml:space="preserve"> </w:t>
      </w:r>
    </w:p>
    <w:p w14:paraId="6A337974" w14:textId="1B368754" w:rsidR="005218F0" w:rsidRDefault="001F4365" w:rsidP="00550F7C">
      <w:pPr>
        <w:spacing w:line="480" w:lineRule="auto"/>
        <w:ind w:firstLine="720"/>
      </w:pPr>
      <w:r>
        <w:t>Although PHEs might assign very different weights to ethical principles like autonomy, non-maleficience</w:t>
      </w:r>
      <w:r w:rsidR="00E35D88">
        <w:t>, beneficence, and justice in this, or other cases,</w:t>
      </w:r>
      <w:r>
        <w:t xml:space="preserve"> </w:t>
      </w:r>
      <w:r w:rsidR="00E35D88">
        <w:t xml:space="preserve">it is </w:t>
      </w:r>
      <w:r>
        <w:t>unlikely that they would regard none of these concerns a</w:t>
      </w:r>
      <w:r w:rsidR="00E35D88">
        <w:t>s insignificant at all. For example</w:t>
      </w:r>
      <w:r>
        <w:t>, it is likely that a feminist bioethicist like Sherwin, and an Orthodox Christian bioethicist like Engelhardt, would both find it important to engage the question of whether the attitudes of medical professionals, and the social circumstances of these very vulnerable patients,</w:t>
      </w:r>
      <w:r w:rsidR="00F54C1F">
        <w:t xml:space="preserve"> might make MAID seem like a reasonable choice</w:t>
      </w:r>
      <w:r>
        <w:t xml:space="preserve"> largely</w:t>
      </w:r>
      <w:r w:rsidR="00604014">
        <w:t xml:space="preserve"> because it is, to invoke a common trope of</w:t>
      </w:r>
      <w:r w:rsidR="00F54C1F">
        <w:t xml:space="preserve"> the </w:t>
      </w:r>
      <w:r w:rsidR="00F54C1F">
        <w:lastRenderedPageBreak/>
        <w:t>discipline, the “least worst”</w:t>
      </w:r>
      <w:r w:rsidR="00604014">
        <w:t xml:space="preserve"> option</w:t>
      </w:r>
      <w:r w:rsidR="00F54C1F">
        <w:t xml:space="preserve"> i</w:t>
      </w:r>
      <w:r w:rsidR="00126073">
        <w:t xml:space="preserve">n a society that distributes wealth unequally and tolerates sub-optimal access to specialised </w:t>
      </w:r>
      <w:r w:rsidR="00670393">
        <w:t xml:space="preserve">services like </w:t>
      </w:r>
      <w:r w:rsidR="00126073">
        <w:t>palliative care.</w:t>
      </w:r>
    </w:p>
    <w:p w14:paraId="15F2700B" w14:textId="77777777" w:rsidR="00AF397A" w:rsidRDefault="00AF397A" w:rsidP="00550F7C">
      <w:pPr>
        <w:spacing w:line="480" w:lineRule="auto"/>
        <w:ind w:firstLine="720"/>
      </w:pPr>
    </w:p>
    <w:p w14:paraId="00592CD9" w14:textId="77777777" w:rsidR="003D0B7D" w:rsidRPr="003D0B7D" w:rsidRDefault="00CA4B94" w:rsidP="00B32C32">
      <w:pPr>
        <w:spacing w:line="480" w:lineRule="auto"/>
      </w:pPr>
      <w:r w:rsidRPr="008F03CD">
        <w:rPr>
          <w:i/>
        </w:rPr>
        <w:t>Illuminating the Ethical Penumbra:</w:t>
      </w:r>
      <w:r w:rsidR="003057B5" w:rsidRPr="003057B5">
        <w:rPr>
          <w:i/>
        </w:rPr>
        <w:t xml:space="preserve"> How Jurisprudence </w:t>
      </w:r>
      <w:r w:rsidR="003057B5">
        <w:rPr>
          <w:i/>
        </w:rPr>
        <w:t xml:space="preserve">Can </w:t>
      </w:r>
      <w:r w:rsidR="003057B5" w:rsidRPr="003057B5">
        <w:rPr>
          <w:i/>
        </w:rPr>
        <w:t>Help</w:t>
      </w:r>
    </w:p>
    <w:p w14:paraId="3E4F655C" w14:textId="13C4AB63" w:rsidR="00B32C32" w:rsidRDefault="00CA4B94" w:rsidP="00B32C32">
      <w:pPr>
        <w:spacing w:line="480" w:lineRule="auto"/>
      </w:pPr>
      <w:r w:rsidRPr="003D0B7D">
        <w:t xml:space="preserve">  </w:t>
      </w:r>
      <w:r w:rsidR="00670393" w:rsidRPr="003D0B7D">
        <w:tab/>
      </w:r>
      <w:r w:rsidR="00070C5E" w:rsidRPr="003D0B7D">
        <w:t>I have argued that “r</w:t>
      </w:r>
      <w:r w:rsidR="00CF5FE7" w:rsidRPr="003D0B7D">
        <w:t>eason-giving and philosophizing</w:t>
      </w:r>
      <w:r w:rsidR="00070C5E" w:rsidRPr="003D0B7D">
        <w:t>”</w:t>
      </w:r>
      <w:r w:rsidR="00CF5FE7" w:rsidRPr="003D0B7D">
        <w:t xml:space="preserve"> in penumbral</w:t>
      </w:r>
      <w:r w:rsidR="00070C5E">
        <w:t xml:space="preserve"> cases is the most controversial ethical aspect of the PHE’s role</w:t>
      </w:r>
      <w:r w:rsidR="001350BC">
        <w:t>. Like adjudicators in</w:t>
      </w:r>
      <w:r w:rsidR="00407A0B">
        <w:t xml:space="preserve"> </w:t>
      </w:r>
      <w:r w:rsidR="001350BC">
        <w:t xml:space="preserve">hard </w:t>
      </w:r>
      <w:r w:rsidR="00407A0B">
        <w:t xml:space="preserve">legal </w:t>
      </w:r>
      <w:r w:rsidR="001350BC">
        <w:t>cases PHEs are not elected by those they serve,</w:t>
      </w:r>
      <w:r w:rsidR="0097605B">
        <w:t xml:space="preserve"> and the persistence</w:t>
      </w:r>
      <w:r w:rsidR="001350BC">
        <w:t xml:space="preserve"> of theoretical</w:t>
      </w:r>
      <w:r w:rsidR="0097605B">
        <w:t xml:space="preserve"> disagreement (or the impossibility of eliminating</w:t>
      </w:r>
      <w:r w:rsidR="004A05FB">
        <w:t xml:space="preserve"> all differences with respect to the relative importance of particular values in the context of specific cases</w:t>
      </w:r>
      <w:r w:rsidR="0097605B">
        <w:t>) may lead to scepticism about the very possibility of deliberation that is coherent, transparent, and</w:t>
      </w:r>
      <w:r w:rsidR="008F03CD">
        <w:t xml:space="preserve"> fair. </w:t>
      </w:r>
      <w:r w:rsidR="0097605B">
        <w:t xml:space="preserve"> </w:t>
      </w:r>
      <w:r w:rsidR="00AF397A">
        <w:t>Greater transparency about th</w:t>
      </w:r>
      <w:r w:rsidR="00A033BC">
        <w:t>e nature of the process, and a</w:t>
      </w:r>
      <w:r w:rsidR="00AF397A" w:rsidRPr="00AF397A">
        <w:t xml:space="preserve">n exploration of the kinds of reasons that ought, and ought not, to factor in ethical deliberation is </w:t>
      </w:r>
      <w:r w:rsidR="00A033BC">
        <w:t>one way to respond to these concerns. This will not dispel disagreement about what right, or better answers, consist in, but</w:t>
      </w:r>
      <w:r w:rsidR="00C00BD8">
        <w:t xml:space="preserve"> if it is understood that answers must be given, and that all answers will reflect a conception of how best to extend, or interpret, the social practice within which they arise, it may easier to defend this aspect of the PHE’s role.</w:t>
      </w:r>
    </w:p>
    <w:p w14:paraId="55689D01" w14:textId="68CA91FC" w:rsidR="002D1B73" w:rsidRDefault="00A12028" w:rsidP="00B32C32">
      <w:pPr>
        <w:spacing w:line="480" w:lineRule="auto"/>
        <w:ind w:firstLine="720"/>
      </w:pPr>
      <w:r>
        <w:t>It is interes</w:t>
      </w:r>
      <w:r w:rsidR="007354B2">
        <w:t>ting to note</w:t>
      </w:r>
      <w:r w:rsidR="00EA24C2">
        <w:t xml:space="preserve"> that legal philosopher</w:t>
      </w:r>
      <w:r>
        <w:t xml:space="preserve"> Wilfrid Waluchow appears to have more confidence in bioethical reasoning than many of its own practitioners. In </w:t>
      </w:r>
      <w:r w:rsidRPr="007354B2">
        <w:rPr>
          <w:i/>
        </w:rPr>
        <w:t xml:space="preserve">A Common Law Theory of Judicial Review </w:t>
      </w:r>
      <w:r>
        <w:t xml:space="preserve">he </w:t>
      </w:r>
      <w:r w:rsidR="002D1B73">
        <w:t>dismisses the notion</w:t>
      </w:r>
      <w:r w:rsidR="007354B2">
        <w:t xml:space="preserve"> that judge</w:t>
      </w:r>
      <w:r w:rsidR="00186527">
        <w:t>s</w:t>
      </w:r>
      <w:r w:rsidR="007354B2">
        <w:t xml:space="preserve"> might </w:t>
      </w:r>
      <w:r w:rsidR="002D1B73">
        <w:t>be in need of extraordinary</w:t>
      </w:r>
      <w:r w:rsidR="00186527">
        <w:t xml:space="preserve"> ethical acumen </w:t>
      </w:r>
      <w:r w:rsidR="002D1B73">
        <w:t>by noting</w:t>
      </w:r>
      <w:r w:rsidR="007354B2">
        <w:t xml:space="preserve"> that though they “might be well schooled in the law, [they] are in no sense of the term moral </w:t>
      </w:r>
      <w:r w:rsidR="007354B2">
        <w:lastRenderedPageBreak/>
        <w:t>authorities who would ace their final exams in moral philosophy were they enrolled in Plato’s Academy.</w:t>
      </w:r>
      <w:r w:rsidR="002D1B73">
        <w:t xml:space="preserve"> </w:t>
      </w:r>
      <w:r w:rsidR="007354B2">
        <w:t>Indeed</w:t>
      </w:r>
      <w:r w:rsidR="002D1B73">
        <w:t>, [he adds]</w:t>
      </w:r>
      <w:r w:rsidR="007354B2">
        <w:t xml:space="preserve"> the notion of a moral expert or “moral authority comes very close to </w:t>
      </w:r>
      <w:r w:rsidR="00186527">
        <w:t>contradiction.”</w:t>
      </w:r>
      <w:r w:rsidR="0079078E">
        <w:rPr>
          <w:rStyle w:val="FootnoteReference"/>
        </w:rPr>
        <w:footnoteReference w:id="196"/>
      </w:r>
      <w:r w:rsidR="00AC37DA">
        <w:t xml:space="preserve"> By way of</w:t>
      </w:r>
      <w:r w:rsidR="002D1B73">
        <w:t xml:space="preserve"> contrast, he maintains,</w:t>
      </w:r>
    </w:p>
    <w:p w14:paraId="295C1EB5" w14:textId="77777777" w:rsidR="0079078E" w:rsidRDefault="002D1B73" w:rsidP="002D1B73">
      <w:pPr>
        <w:ind w:left="720"/>
      </w:pPr>
      <w:r>
        <w:t xml:space="preserve">… </w:t>
      </w:r>
      <w:r w:rsidR="00186527">
        <w:t>health care ethicists…might be said to be moral authorities within their particular domains of special competence. This is because they have specialist knowledge of particular moral norms like those governing informed consent, or the conducting of research on human subjects. But their authority does not stem from special powers of moral insight; its [sic] stems from specialist knowledge of relevant nonmoral facts and from their having thought long and hard about the moral issues that arise from t</w:t>
      </w:r>
      <w:r>
        <w:t>heir special areas of activity.</w:t>
      </w:r>
      <w:r w:rsidR="0079078E">
        <w:rPr>
          <w:rStyle w:val="FootnoteReference"/>
        </w:rPr>
        <w:footnoteReference w:id="197"/>
      </w:r>
    </w:p>
    <w:p w14:paraId="4E12DC72" w14:textId="77777777" w:rsidR="002D1B73" w:rsidRDefault="002D1B73" w:rsidP="002D1B73">
      <w:pPr>
        <w:ind w:firstLine="720"/>
      </w:pPr>
    </w:p>
    <w:p w14:paraId="449FE153" w14:textId="697AF648" w:rsidR="00224ED1" w:rsidRDefault="00EC6A8B" w:rsidP="00FC3CE7">
      <w:pPr>
        <w:spacing w:line="480" w:lineRule="auto"/>
        <w:ind w:firstLine="720"/>
      </w:pPr>
      <w:r w:rsidRPr="00EC6A8B">
        <w:t>Waluchow</w:t>
      </w:r>
      <w:r>
        <w:t xml:space="preserve"> may</w:t>
      </w:r>
      <w:r w:rsidR="002D1B73">
        <w:t xml:space="preserve"> grant practicing ethicists </w:t>
      </w:r>
      <w:r>
        <w:t xml:space="preserve">too much credit </w:t>
      </w:r>
      <w:r w:rsidR="00607146">
        <w:t>in the prece</w:t>
      </w:r>
      <w:r>
        <w:t>ding passage and</w:t>
      </w:r>
      <w:r w:rsidR="00383499">
        <w:t>,</w:t>
      </w:r>
      <w:r>
        <w:t xml:space="preserve"> given his positivist pedigree</w:t>
      </w:r>
      <w:r w:rsidR="00383499">
        <w:t>,</w:t>
      </w:r>
      <w:r>
        <w:t xml:space="preserve"> he might wish to q</w:t>
      </w:r>
      <w:r w:rsidR="00F751AD">
        <w:t>ualify his remarks in the contex</w:t>
      </w:r>
      <w:r>
        <w:t>t of ethical penumbral cases.</w:t>
      </w:r>
      <w:r w:rsidR="00D03591">
        <w:t xml:space="preserve"> After all, his aim in the very text I have just cited, is to unpack and assess a variety of arguments against the legitimacy of what he calls common law constitutionalism, or </w:t>
      </w:r>
      <w:r w:rsidR="002D1B73">
        <w:t xml:space="preserve">of legal </w:t>
      </w:r>
      <w:r w:rsidR="00D03591">
        <w:t>systems that rely upon judges’ abilities to in</w:t>
      </w:r>
      <w:r w:rsidR="002D1B73">
        <w:t xml:space="preserve">terpret the broad </w:t>
      </w:r>
      <w:r w:rsidR="00FC3CE7">
        <w:t>moral terms</w:t>
      </w:r>
      <w:r w:rsidR="00D03591">
        <w:t xml:space="preserve"> </w:t>
      </w:r>
      <w:r w:rsidR="002D1B73">
        <w:t xml:space="preserve">that are </w:t>
      </w:r>
      <w:r w:rsidR="00D03591">
        <w:t xml:space="preserve">contained </w:t>
      </w:r>
      <w:r w:rsidR="00FC3CE7">
        <w:t>in charters and bills of rights</w:t>
      </w:r>
      <w:r w:rsidR="00D03591">
        <w:t>.</w:t>
      </w:r>
      <w:r w:rsidR="00D8502F">
        <w:t xml:space="preserve"> (S</w:t>
      </w:r>
      <w:r w:rsidR="00FC3CE7">
        <w:t>ocieties that</w:t>
      </w:r>
      <w:r w:rsidR="00D8502F">
        <w:t xml:space="preserve"> rely on such approaches</w:t>
      </w:r>
      <w:r w:rsidR="00FC3CE7">
        <w:t xml:space="preserve">, according to their critics, undermine the democratic commitment to self-governance by granting all-too-human judges the awesome powers of Platonic guardians or </w:t>
      </w:r>
      <w:r w:rsidR="004F1824">
        <w:t xml:space="preserve">of </w:t>
      </w:r>
      <w:r w:rsidR="00FC3CE7">
        <w:t>philosopher kings</w:t>
      </w:r>
      <w:r w:rsidR="001E15C9">
        <w:t xml:space="preserve"> and queens</w:t>
      </w:r>
      <w:r w:rsidR="00FC3CE7">
        <w:t>.</w:t>
      </w:r>
      <w:r w:rsidR="00D8502F">
        <w:t>)</w:t>
      </w:r>
      <w:r w:rsidR="00FC3CE7">
        <w:t xml:space="preserve"> </w:t>
      </w:r>
      <w:r w:rsidR="004F1824">
        <w:t>However, e</w:t>
      </w:r>
      <w:r w:rsidR="00607146">
        <w:t xml:space="preserve">ven if he might temper his remarks upon greater reflection, it is worth </w:t>
      </w:r>
      <w:r w:rsidR="004035A6">
        <w:t xml:space="preserve">taking a slight detour into the territory </w:t>
      </w:r>
      <w:r w:rsidR="00CD23B1">
        <w:t xml:space="preserve">that </w:t>
      </w:r>
      <w:r w:rsidR="004035A6">
        <w:t xml:space="preserve">he calls </w:t>
      </w:r>
      <w:r w:rsidR="00607146">
        <w:t xml:space="preserve">common </w:t>
      </w:r>
      <w:r w:rsidR="00607146">
        <w:lastRenderedPageBreak/>
        <w:t>law constitutionalism</w:t>
      </w:r>
      <w:r w:rsidR="004F1824">
        <w:t>. His</w:t>
      </w:r>
      <w:r w:rsidR="004035A6">
        <w:t xml:space="preserve"> defence of those jurisdic</w:t>
      </w:r>
      <w:r w:rsidR="004F1824">
        <w:t>tions contain</w:t>
      </w:r>
      <w:r w:rsidR="004D76E8">
        <w:t>s</w:t>
      </w:r>
      <w:r w:rsidR="004F1824">
        <w:t xml:space="preserve"> important insights applicable to the adjudicative aspect of the practice of healthcare ethics consultation</w:t>
      </w:r>
      <w:r w:rsidR="004035A6">
        <w:t>.</w:t>
      </w:r>
    </w:p>
    <w:p w14:paraId="4493F3CF" w14:textId="77777777" w:rsidR="00811236" w:rsidRDefault="00811236" w:rsidP="00A95D1B">
      <w:pPr>
        <w:spacing w:line="480" w:lineRule="auto"/>
      </w:pPr>
    </w:p>
    <w:p w14:paraId="7AFD310D" w14:textId="77777777" w:rsidR="00B7610F" w:rsidRDefault="00224ED1" w:rsidP="00B7610F">
      <w:pPr>
        <w:rPr>
          <w:i/>
        </w:rPr>
      </w:pPr>
      <w:r w:rsidRPr="00224ED1">
        <w:rPr>
          <w:i/>
        </w:rPr>
        <w:t xml:space="preserve">Fruits of the </w:t>
      </w:r>
      <w:r w:rsidR="00FC27B6">
        <w:rPr>
          <w:i/>
        </w:rPr>
        <w:t>l</w:t>
      </w:r>
      <w:r w:rsidRPr="00224ED1">
        <w:rPr>
          <w:i/>
        </w:rPr>
        <w:t xml:space="preserve">iving </w:t>
      </w:r>
      <w:r w:rsidR="00FC27B6">
        <w:rPr>
          <w:i/>
        </w:rPr>
        <w:t>t</w:t>
      </w:r>
      <w:r w:rsidRPr="00224ED1">
        <w:rPr>
          <w:i/>
        </w:rPr>
        <w:t xml:space="preserve">ree: </w:t>
      </w:r>
      <w:r w:rsidR="00FC27B6">
        <w:rPr>
          <w:i/>
        </w:rPr>
        <w:t>w</w:t>
      </w:r>
      <w:r w:rsidRPr="00224ED1">
        <w:rPr>
          <w:i/>
        </w:rPr>
        <w:t xml:space="preserve">hat a </w:t>
      </w:r>
      <w:r w:rsidR="00FC27B6">
        <w:rPr>
          <w:i/>
        </w:rPr>
        <w:t>c</w:t>
      </w:r>
      <w:r w:rsidRPr="00224ED1">
        <w:rPr>
          <w:i/>
        </w:rPr>
        <w:t xml:space="preserve">ommon </w:t>
      </w:r>
      <w:r w:rsidR="00FC27B6">
        <w:rPr>
          <w:i/>
        </w:rPr>
        <w:t>l</w:t>
      </w:r>
      <w:r w:rsidRPr="00224ED1">
        <w:rPr>
          <w:i/>
        </w:rPr>
        <w:t xml:space="preserve">aw </w:t>
      </w:r>
      <w:r w:rsidR="00FC27B6">
        <w:rPr>
          <w:i/>
        </w:rPr>
        <w:t>c</w:t>
      </w:r>
      <w:r w:rsidRPr="00224ED1">
        <w:rPr>
          <w:i/>
        </w:rPr>
        <w:t>oncept</w:t>
      </w:r>
      <w:r w:rsidR="004F1824">
        <w:rPr>
          <w:i/>
        </w:rPr>
        <w:t xml:space="preserve">ion </w:t>
      </w:r>
      <w:r w:rsidRPr="00224ED1">
        <w:rPr>
          <w:i/>
        </w:rPr>
        <w:t>offer</w:t>
      </w:r>
      <w:r w:rsidR="004F1824">
        <w:rPr>
          <w:i/>
        </w:rPr>
        <w:t xml:space="preserve">s </w:t>
      </w:r>
      <w:r w:rsidR="00FC27B6">
        <w:rPr>
          <w:i/>
        </w:rPr>
        <w:t>h</w:t>
      </w:r>
      <w:r w:rsidRPr="00224ED1">
        <w:rPr>
          <w:i/>
        </w:rPr>
        <w:t xml:space="preserve">ealthcare </w:t>
      </w:r>
      <w:r w:rsidR="00FC27B6">
        <w:rPr>
          <w:i/>
        </w:rPr>
        <w:t>e</w:t>
      </w:r>
      <w:r w:rsidRPr="00224ED1">
        <w:rPr>
          <w:i/>
        </w:rPr>
        <w:t>thics</w:t>
      </w:r>
      <w:r w:rsidR="004F1824">
        <w:rPr>
          <w:i/>
        </w:rPr>
        <w:t xml:space="preserve"> </w:t>
      </w:r>
      <w:r w:rsidR="00FC27B6">
        <w:rPr>
          <w:i/>
        </w:rPr>
        <w:t>c</w:t>
      </w:r>
      <w:r w:rsidR="004F1824">
        <w:rPr>
          <w:i/>
        </w:rPr>
        <w:t>onsultation</w:t>
      </w:r>
    </w:p>
    <w:p w14:paraId="5E4FAC4B" w14:textId="77777777" w:rsidR="00FC27B6" w:rsidRDefault="00FC27B6" w:rsidP="00B7610F">
      <w:pPr>
        <w:rPr>
          <w:i/>
        </w:rPr>
      </w:pPr>
    </w:p>
    <w:p w14:paraId="31919ABB" w14:textId="0DF30A37" w:rsidR="00F27689" w:rsidRPr="004F1824" w:rsidRDefault="00456E09" w:rsidP="00B7610F">
      <w:pPr>
        <w:spacing w:line="480" w:lineRule="auto"/>
        <w:ind w:firstLine="720"/>
        <w:rPr>
          <w:i/>
        </w:rPr>
      </w:pPr>
      <w:r>
        <w:t xml:space="preserve">Waluchow is one of the best </w:t>
      </w:r>
      <w:r w:rsidR="00F751AD">
        <w:t>known proponent</w:t>
      </w:r>
      <w:r>
        <w:t>s of</w:t>
      </w:r>
      <w:r w:rsidR="0007445F">
        <w:t xml:space="preserve"> </w:t>
      </w:r>
      <w:r>
        <w:t xml:space="preserve">a branch of the philosophy of law known as </w:t>
      </w:r>
      <w:r w:rsidR="00F751AD">
        <w:t>inclusive legal positivism, and, as such, he is careful to distinguish</w:t>
      </w:r>
      <w:r w:rsidR="0007445F">
        <w:t xml:space="preserve"> the grounds for establishing the validity of a legal standard from </w:t>
      </w:r>
      <w:r w:rsidR="00CD23B1">
        <w:t xml:space="preserve">concerns about </w:t>
      </w:r>
      <w:r w:rsidR="0007445F">
        <w:t>its substantive moral content.</w:t>
      </w:r>
      <w:r w:rsidR="00CD23B1">
        <w:t xml:space="preserve"> </w:t>
      </w:r>
      <w:r w:rsidR="0007445F">
        <w:t>Like other positivists he takes seriously the claim that a law, or indeed an entire legal system, may be desig</w:t>
      </w:r>
      <w:r w:rsidR="00D8502F">
        <w:t xml:space="preserve">ned to advance wicked ends, and accepts that </w:t>
      </w:r>
      <w:r w:rsidR="0007445F">
        <w:t xml:space="preserve">those who are charged with the responsibility of interpreting and </w:t>
      </w:r>
      <w:r w:rsidR="00A648FE">
        <w:t>enforcing</w:t>
      </w:r>
      <w:r w:rsidR="0007445F">
        <w:t xml:space="preserve"> </w:t>
      </w:r>
      <w:r w:rsidR="00A648FE">
        <w:t xml:space="preserve">the </w:t>
      </w:r>
      <w:r w:rsidR="0007445F">
        <w:t>law may find themselves in a position where Dworkin’s approach</w:t>
      </w:r>
      <w:r w:rsidR="00CD23B1">
        <w:t xml:space="preserve"> (</w:t>
      </w:r>
      <w:r w:rsidR="0007445F">
        <w:t>to see law as</w:t>
      </w:r>
      <w:r w:rsidR="00A648FE">
        <w:t xml:space="preserve"> a social practice which </w:t>
      </w:r>
      <w:r w:rsidR="00CD23B1">
        <w:t xml:space="preserve">exhibits integrity, </w:t>
      </w:r>
      <w:r w:rsidR="00A648FE">
        <w:t xml:space="preserve">or </w:t>
      </w:r>
      <w:r w:rsidR="00CD23B1">
        <w:t xml:space="preserve">expresses </w:t>
      </w:r>
      <w:r w:rsidR="00A648FE">
        <w:t>equality of concern and respect for all of its citizens)</w:t>
      </w:r>
      <w:r w:rsidR="00432F71">
        <w:t xml:space="preserve">, </w:t>
      </w:r>
      <w:r w:rsidR="00A648FE">
        <w:t>bumps up against the reality that no interpretation can adequately fit the settled law and simultaneously provide a moral justification for its content.</w:t>
      </w:r>
      <w:r w:rsidR="00326265">
        <w:rPr>
          <w:rStyle w:val="FootnoteReference"/>
        </w:rPr>
        <w:footnoteReference w:id="198"/>
      </w:r>
      <w:r w:rsidR="003B69C7">
        <w:t xml:space="preserve"> </w:t>
      </w:r>
      <w:r w:rsidR="00B7610F">
        <w:t xml:space="preserve">As an </w:t>
      </w:r>
      <w:r w:rsidR="00B7610F" w:rsidRPr="00B7610F">
        <w:rPr>
          <w:i/>
        </w:rPr>
        <w:t>inclusive</w:t>
      </w:r>
      <w:r w:rsidR="00B7610F">
        <w:t xml:space="preserve"> positive</w:t>
      </w:r>
      <w:r w:rsidR="00326265">
        <w:t xml:space="preserve">, however, he </w:t>
      </w:r>
      <w:r w:rsidR="00B7610F">
        <w:t xml:space="preserve">accepts the view </w:t>
      </w:r>
      <w:r w:rsidR="00326265">
        <w:t>that o</w:t>
      </w:r>
      <w:r w:rsidR="007A3900">
        <w:t>ther standards, such the abstract rights of political morality enshrined in a nation’s constitutional cha</w:t>
      </w:r>
      <w:r w:rsidR="00326265">
        <w:t xml:space="preserve">rter or </w:t>
      </w:r>
      <w:r w:rsidR="00326265">
        <w:lastRenderedPageBreak/>
        <w:t>bill of rights,</w:t>
      </w:r>
      <w:r w:rsidR="007A3900">
        <w:t xml:space="preserve"> </w:t>
      </w:r>
      <w:r w:rsidR="00101011">
        <w:t xml:space="preserve">require efforts to </w:t>
      </w:r>
      <w:r w:rsidR="0041696C">
        <w:t xml:space="preserve">determine </w:t>
      </w:r>
      <w:r w:rsidR="00101011">
        <w:t>the precise nature of those rights in the context of particular legal cases</w:t>
      </w:r>
      <w:r w:rsidR="00F27689">
        <w:t xml:space="preserve">. The controversial Canadian </w:t>
      </w:r>
      <w:r w:rsidR="00F27689" w:rsidRPr="00F27689">
        <w:rPr>
          <w:i/>
        </w:rPr>
        <w:t>Charter of Rights and Freedoms</w:t>
      </w:r>
      <w:r w:rsidR="001E15C9" w:rsidRPr="001E15C9">
        <w:t>,</w:t>
      </w:r>
      <w:r w:rsidRPr="001E15C9">
        <w:t xml:space="preserve"> </w:t>
      </w:r>
      <w:r>
        <w:t xml:space="preserve">in </w:t>
      </w:r>
      <w:r w:rsidR="00F27689">
        <w:t>Waluchow</w:t>
      </w:r>
      <w:r>
        <w:t>’s succinct summation</w:t>
      </w:r>
      <w:r w:rsidR="00F27689">
        <w:t>, secured for its citizens “the right to equality before and under the law; the right to life, liberty, and security of the person, coupled with the right not to be deprived of the former except</w:t>
      </w:r>
      <w:r>
        <w:t xml:space="preserve"> in</w:t>
      </w:r>
      <w:r w:rsidR="00326265">
        <w:t xml:space="preserve"> </w:t>
      </w:r>
      <w:r>
        <w:t>accordance with the principles of fundamental justice; and the right to freedom of thought, belief, opinion, expression, and association.”</w:t>
      </w:r>
      <w:r>
        <w:rPr>
          <w:rStyle w:val="FootnoteReference"/>
        </w:rPr>
        <w:footnoteReference w:id="199"/>
      </w:r>
      <w:r>
        <w:t xml:space="preserve">  </w:t>
      </w:r>
      <w:r w:rsidR="00F27689">
        <w:t xml:space="preserve">    </w:t>
      </w:r>
    </w:p>
    <w:p w14:paraId="39E9B779" w14:textId="77777777" w:rsidR="004B5F56" w:rsidRDefault="007F3703" w:rsidP="007F3703">
      <w:pPr>
        <w:spacing w:line="480" w:lineRule="auto"/>
        <w:ind w:firstLine="720"/>
      </w:pPr>
      <w:r>
        <w:t>Because</w:t>
      </w:r>
      <w:r w:rsidR="00456E09">
        <w:t xml:space="preserve"> a charter-based society </w:t>
      </w:r>
      <w:r>
        <w:t xml:space="preserve">obliges </w:t>
      </w:r>
      <w:r w:rsidR="00456E09">
        <w:t>t</w:t>
      </w:r>
      <w:r w:rsidR="00E813C1">
        <w:t>hose entrusted</w:t>
      </w:r>
      <w:r w:rsidR="00101011">
        <w:t xml:space="preserve"> with the task of adjudication </w:t>
      </w:r>
      <w:r w:rsidR="00513FD9">
        <w:t xml:space="preserve">to decide cases in a way that makes sense of </w:t>
      </w:r>
      <w:r w:rsidR="00F27689">
        <w:t>abstract and controversial language</w:t>
      </w:r>
      <w:r>
        <w:t xml:space="preserve"> they </w:t>
      </w:r>
      <w:r w:rsidR="00101011">
        <w:t xml:space="preserve">can face considerable criticism if their decisions are perceived as idiosyncratic, or unduly political, or contrary to </w:t>
      </w:r>
      <w:r w:rsidR="00A95D1B">
        <w:t xml:space="preserve">the </w:t>
      </w:r>
      <w:r w:rsidR="00101011">
        <w:t xml:space="preserve">values held by a majority of the voting public. </w:t>
      </w:r>
      <w:r w:rsidR="00E813C1">
        <w:t xml:space="preserve">Indeed, much of Waluchow’s effort in </w:t>
      </w:r>
      <w:r w:rsidR="00E813C1" w:rsidRPr="00E813C1">
        <w:rPr>
          <w:i/>
        </w:rPr>
        <w:t>A Common Law Theory of Judicial Review</w:t>
      </w:r>
      <w:r w:rsidR="00101011">
        <w:t xml:space="preserve"> </w:t>
      </w:r>
      <w:r w:rsidR="00E813C1">
        <w:t xml:space="preserve">is devoted to unpacking and weighing the arguments of </w:t>
      </w:r>
      <w:r w:rsidR="00E2104A">
        <w:t xml:space="preserve">the </w:t>
      </w:r>
      <w:r w:rsidR="00E813C1">
        <w:t>so-called Critics and Advocates of judicial review in societies like our own.</w:t>
      </w:r>
      <w:r w:rsidR="00D8502F">
        <w:t xml:space="preserve"> The conclusions h</w:t>
      </w:r>
      <w:r w:rsidR="00F11300">
        <w:t>e draws are the outcome</w:t>
      </w:r>
      <w:r w:rsidR="00D8502F">
        <w:t xml:space="preserve"> of a painstaking effort to recreate and evaluate </w:t>
      </w:r>
      <w:r w:rsidR="00F11300">
        <w:t>arguments that are too complex to reproduce</w:t>
      </w:r>
      <w:r w:rsidR="002561C0">
        <w:t xml:space="preserve"> </w:t>
      </w:r>
      <w:r w:rsidR="00F11300">
        <w:t>here</w:t>
      </w:r>
      <w:r w:rsidR="002561C0">
        <w:t>,</w:t>
      </w:r>
      <w:r w:rsidR="00F11300">
        <w:t xml:space="preserve"> but it is heart</w:t>
      </w:r>
      <w:r w:rsidR="00E2104A">
        <w:t>ening to discover</w:t>
      </w:r>
      <w:r w:rsidR="00983108">
        <w:t xml:space="preserve"> that </w:t>
      </w:r>
      <w:r w:rsidR="00F11300">
        <w:t xml:space="preserve">ultimately </w:t>
      </w:r>
      <w:r w:rsidR="00983108">
        <w:t xml:space="preserve">he </w:t>
      </w:r>
      <w:r w:rsidR="00F11300">
        <w:t>concludes that moral principles</w:t>
      </w:r>
      <w:r w:rsidR="002561C0">
        <w:t xml:space="preserve">, when embedded in legal </w:t>
      </w:r>
      <w:r w:rsidR="00F11300">
        <w:t>s</w:t>
      </w:r>
      <w:r w:rsidR="002561C0">
        <w:t>ources</w:t>
      </w:r>
      <w:r w:rsidR="00F11300">
        <w:t xml:space="preserve">, and </w:t>
      </w:r>
      <w:r w:rsidR="00E2104A">
        <w:t xml:space="preserve">as </w:t>
      </w:r>
      <w:r w:rsidR="00F11300">
        <w:t xml:space="preserve">interpreted by an unelected and imperfect (because entirely mortal, situated, and perhaps </w:t>
      </w:r>
      <w:r w:rsidR="002561C0">
        <w:t xml:space="preserve">entirely </w:t>
      </w:r>
      <w:r w:rsidR="00F11300">
        <w:t>too homogenous) judiciary, need not undermine the democratic p</w:t>
      </w:r>
      <w:r w:rsidR="00983108">
        <w:t>rocess:</w:t>
      </w:r>
      <w:r w:rsidR="002561C0">
        <w:t xml:space="preserve"> </w:t>
      </w:r>
      <w:r w:rsidR="00F11300">
        <w:t xml:space="preserve"> </w:t>
      </w:r>
    </w:p>
    <w:p w14:paraId="563077FE" w14:textId="77777777" w:rsidR="00A95D1B" w:rsidRDefault="004B5F56" w:rsidP="002561C0">
      <w:pPr>
        <w:ind w:left="720"/>
      </w:pPr>
      <w:r>
        <w:t xml:space="preserve">… in the end, we are very well served by a Charter understood as the common law supposes – as one developed and applied by judges in </w:t>
      </w:r>
      <w:r>
        <w:lastRenderedPageBreak/>
        <w:t xml:space="preserve">partnership with other government bodies such as legislatures, and with the people </w:t>
      </w:r>
      <w:r w:rsidR="002561C0">
        <w:t>t</w:t>
      </w:r>
      <w:r>
        <w:t xml:space="preserve">hemselves as they grapple with </w:t>
      </w:r>
      <w:r w:rsidR="00FC27B6">
        <w:t xml:space="preserve">the </w:t>
      </w:r>
      <w:r w:rsidR="002561C0">
        <w:t>c</w:t>
      </w:r>
      <w:r>
        <w:t>omplex</w:t>
      </w:r>
      <w:r w:rsidR="002561C0">
        <w:t>, ever-changing</w:t>
      </w:r>
      <w:r>
        <w:t xml:space="preserve"> nature of their constitutional commitments</w:t>
      </w:r>
      <w:r w:rsidR="002561C0">
        <w:t xml:space="preserve">. This idea of partnership is, once again, well worth bearing in mind. As repeatedly stressed above, </w:t>
      </w:r>
      <w:r>
        <w:t>nothing in the nature of judicial review yields a doctrine of judicial supremacy. Far too often</w:t>
      </w:r>
      <w:r w:rsidR="001F368F">
        <w:t>, judges who strike down or otherwise alter legislation on Charter grounds are criticized for claiming superior authority over legislatures, and for engaging in a naked power grab. Yet as we have seen, this need not be so. The role of legislating general rules (whose moral consequences are sometimes unforeseeable) is fully compatible with the role (reserved for another body) of deciding - or advising – on what must be done in the foreseeable cases of potential conflict with the developing norms of constitutional morality.</w:t>
      </w:r>
      <w:r w:rsidR="00171BA4">
        <w:t xml:space="preserve"> </w:t>
      </w:r>
      <w:r w:rsidR="002561C0">
        <w:t>Seen in this light, judges and legislatures need not be seen to be in competition with each other over who has more courage or the better moral vision. On the contrary, they can each be seen to contribute, in their own unique ways, from their own unique perspectives, and within their unique contexts of decision, to the achievement of a morally sensitive and enlightened rule of law.</w:t>
      </w:r>
      <w:r w:rsidR="001F368F">
        <w:rPr>
          <w:rStyle w:val="FootnoteReference"/>
        </w:rPr>
        <w:footnoteReference w:id="200"/>
      </w:r>
    </w:p>
    <w:p w14:paraId="1C783FB7" w14:textId="77777777" w:rsidR="00EA24C2" w:rsidRPr="00EA24C2" w:rsidRDefault="001F368F" w:rsidP="002561C0">
      <w:pPr>
        <w:ind w:left="720"/>
      </w:pPr>
      <w:r>
        <w:t xml:space="preserve"> </w:t>
      </w:r>
      <w:r w:rsidR="004B5F56">
        <w:t xml:space="preserve">    </w:t>
      </w:r>
      <w:r w:rsidR="00F11300">
        <w:t xml:space="preserve"> </w:t>
      </w:r>
      <w:r w:rsidR="00D8502F">
        <w:t xml:space="preserve"> </w:t>
      </w:r>
      <w:r w:rsidR="00E813C1">
        <w:t xml:space="preserve"> </w:t>
      </w:r>
      <w:r w:rsidR="00101011">
        <w:t xml:space="preserve">  </w:t>
      </w:r>
      <w:r w:rsidR="007A3900">
        <w:t xml:space="preserve">   </w:t>
      </w:r>
      <w:r w:rsidR="00432F71">
        <w:t xml:space="preserve">       </w:t>
      </w:r>
      <w:r w:rsidR="00A648FE">
        <w:t xml:space="preserve">     </w:t>
      </w:r>
      <w:r w:rsidR="0007445F">
        <w:t xml:space="preserve">    </w:t>
      </w:r>
      <w:r w:rsidR="00F751AD">
        <w:t xml:space="preserve"> </w:t>
      </w:r>
    </w:p>
    <w:p w14:paraId="4C310D4C" w14:textId="77777777" w:rsidR="00224ED1" w:rsidRPr="00224ED1" w:rsidRDefault="00224ED1" w:rsidP="00224ED1">
      <w:pPr>
        <w:rPr>
          <w:i/>
        </w:rPr>
      </w:pPr>
    </w:p>
    <w:p w14:paraId="10D7F0D5" w14:textId="77777777" w:rsidR="00C54E69" w:rsidRPr="0016133F" w:rsidRDefault="00C54E69" w:rsidP="00C54E69">
      <w:pPr>
        <w:spacing w:line="480" w:lineRule="auto"/>
        <w:rPr>
          <w:i/>
        </w:rPr>
      </w:pPr>
      <w:r>
        <w:rPr>
          <w:i/>
        </w:rPr>
        <w:t>Imagining</w:t>
      </w:r>
      <w:r w:rsidR="00224ED1">
        <w:rPr>
          <w:i/>
        </w:rPr>
        <w:t xml:space="preserve"> McLachlin: </w:t>
      </w:r>
      <w:r w:rsidR="0085293F">
        <w:rPr>
          <w:i/>
        </w:rPr>
        <w:t>a</w:t>
      </w:r>
      <w:r w:rsidR="00224ED1">
        <w:rPr>
          <w:i/>
        </w:rPr>
        <w:t xml:space="preserve"> Hercules for </w:t>
      </w:r>
      <w:r w:rsidR="0085293F">
        <w:rPr>
          <w:i/>
        </w:rPr>
        <w:t>h</w:t>
      </w:r>
      <w:r w:rsidR="00224ED1">
        <w:rPr>
          <w:i/>
        </w:rPr>
        <w:t xml:space="preserve">ealthcare </w:t>
      </w:r>
      <w:r w:rsidR="0085293F">
        <w:rPr>
          <w:i/>
        </w:rPr>
        <w:t>e</w:t>
      </w:r>
      <w:r w:rsidR="00326265">
        <w:rPr>
          <w:i/>
        </w:rPr>
        <w:t>thics?</w:t>
      </w:r>
    </w:p>
    <w:p w14:paraId="473ED526" w14:textId="14784664" w:rsidR="00377AF2" w:rsidRDefault="00321FD1" w:rsidP="000D6343">
      <w:pPr>
        <w:spacing w:line="480" w:lineRule="auto"/>
        <w:ind w:firstLine="720"/>
      </w:pPr>
      <w:r>
        <w:t xml:space="preserve">With Waluchow’s assessment to buoy us, it may be </w:t>
      </w:r>
      <w:r w:rsidR="0033498F">
        <w:t xml:space="preserve">wise </w:t>
      </w:r>
      <w:r w:rsidR="00777DDD">
        <w:t xml:space="preserve">to revisit </w:t>
      </w:r>
      <w:r>
        <w:t>our reflections on the character</w:t>
      </w:r>
      <w:r w:rsidR="00E2104A">
        <w:t>istics that one</w:t>
      </w:r>
      <w:r>
        <w:t xml:space="preserve"> might recommend in a desirable, if not ideal, moral deliberator. </w:t>
      </w:r>
      <w:r w:rsidR="00944542">
        <w:t>As was noted earlier</w:t>
      </w:r>
      <w:r w:rsidR="00224ED1">
        <w:t xml:space="preserve">, </w:t>
      </w:r>
      <w:r w:rsidR="004A6E37" w:rsidRPr="004A6E37">
        <w:t>Judge Hercules</w:t>
      </w:r>
      <w:r w:rsidR="00224ED1">
        <w:t xml:space="preserve">, Dworkin’s </w:t>
      </w:r>
      <w:r>
        <w:t>model</w:t>
      </w:r>
      <w:r w:rsidR="00224ED1">
        <w:t xml:space="preserve"> adjudicator,</w:t>
      </w:r>
      <w:r w:rsidR="004A6E37" w:rsidRPr="004A6E37">
        <w:t xml:space="preserve"> </w:t>
      </w:r>
      <w:r w:rsidR="00174F73">
        <w:t xml:space="preserve">had an </w:t>
      </w:r>
      <w:r w:rsidR="00377AF2">
        <w:t xml:space="preserve">inspiring </w:t>
      </w:r>
      <w:r w:rsidR="00174F73">
        <w:t xml:space="preserve">but awesome </w:t>
      </w:r>
      <w:r w:rsidR="00567351">
        <w:t>remit. His task</w:t>
      </w:r>
      <w:r w:rsidR="00377AF2">
        <w:t xml:space="preserve"> was to resolve the hardest of hard cases</w:t>
      </w:r>
      <w:r w:rsidR="00377AF2" w:rsidRPr="004A6E37">
        <w:t xml:space="preserve"> </w:t>
      </w:r>
      <w:r w:rsidR="00377AF2">
        <w:t xml:space="preserve">by drawing on </w:t>
      </w:r>
      <w:r w:rsidR="0033498F">
        <w:t xml:space="preserve">an </w:t>
      </w:r>
      <w:r w:rsidR="00377AF2">
        <w:t>e</w:t>
      </w:r>
      <w:r w:rsidR="0033498F">
        <w:t>ncyclopaedic</w:t>
      </w:r>
      <w:r w:rsidR="00377AF2">
        <w:t xml:space="preserve"> knowledge of the law and social practises</w:t>
      </w:r>
      <w:r w:rsidR="0033498F">
        <w:t>,</w:t>
      </w:r>
      <w:r w:rsidR="00944542">
        <w:t xml:space="preserve"> and</w:t>
      </w:r>
      <w:r w:rsidR="00377AF2">
        <w:t xml:space="preserve"> </w:t>
      </w:r>
      <w:r w:rsidR="00944542">
        <w:t>superhuman powers of reasoning</w:t>
      </w:r>
      <w:r w:rsidR="0033498F">
        <w:t>,</w:t>
      </w:r>
      <w:r w:rsidR="00944542">
        <w:t xml:space="preserve"> in order </w:t>
      </w:r>
      <w:r w:rsidR="00377AF2">
        <w:t>to render ju</w:t>
      </w:r>
      <w:r w:rsidR="00944542">
        <w:t>dg</w:t>
      </w:r>
      <w:r w:rsidR="00CE7F88">
        <w:t>ments that best fit and</w:t>
      </w:r>
      <w:r w:rsidR="0033498F">
        <w:t xml:space="preserve"> justified</w:t>
      </w:r>
      <w:r w:rsidR="00944542">
        <w:t xml:space="preserve"> </w:t>
      </w:r>
      <w:r w:rsidR="00777DDD">
        <w:t>prior legal decisions</w:t>
      </w:r>
      <w:r w:rsidR="00CE7F88">
        <w:t>.</w:t>
      </w:r>
      <w:r w:rsidR="00CB4008">
        <w:t xml:space="preserve"> An attractive aspect of Dworkin’s right answer thesis, the suggestion that the judge</w:t>
      </w:r>
      <w:r w:rsidR="00777DDD">
        <w:t xml:space="preserve"> always must strive to find the </w:t>
      </w:r>
      <w:r w:rsidR="00326265">
        <w:t xml:space="preserve">morally </w:t>
      </w:r>
      <w:r w:rsidR="00CB4008">
        <w:t xml:space="preserve">best answer to hard cases at law, is the implication that there is an </w:t>
      </w:r>
      <w:r w:rsidR="00CB4008">
        <w:lastRenderedPageBreak/>
        <w:t>objec</w:t>
      </w:r>
      <w:r w:rsidR="00777DDD">
        <w:t xml:space="preserve">tivity to this process, </w:t>
      </w:r>
      <w:r w:rsidR="00326265">
        <w:t xml:space="preserve">and </w:t>
      </w:r>
      <w:r w:rsidR="001E15C9">
        <w:t xml:space="preserve">that there is </w:t>
      </w:r>
      <w:r w:rsidR="00326265">
        <w:t xml:space="preserve">no </w:t>
      </w:r>
      <w:r w:rsidR="001E15C9">
        <w:t>warrant</w:t>
      </w:r>
      <w:r w:rsidR="00326265">
        <w:t xml:space="preserve"> to </w:t>
      </w:r>
      <w:r w:rsidR="00605344">
        <w:t>conclude</w:t>
      </w:r>
      <w:r w:rsidR="00CB4008">
        <w:t xml:space="preserve"> that there are no right answers </w:t>
      </w:r>
      <w:r w:rsidR="00944542">
        <w:t>to hard cases</w:t>
      </w:r>
      <w:r w:rsidR="00CB4008">
        <w:t xml:space="preserve"> </w:t>
      </w:r>
      <w:r w:rsidR="00944542">
        <w:t xml:space="preserve">simply </w:t>
      </w:r>
      <w:r w:rsidR="00CB4008">
        <w:t>because the answers on offer may be controversial</w:t>
      </w:r>
      <w:r w:rsidR="00567351">
        <w:t>,</w:t>
      </w:r>
      <w:r w:rsidR="00CB4008">
        <w:t xml:space="preserve"> </w:t>
      </w:r>
      <w:r w:rsidR="00605344">
        <w:t xml:space="preserve">political, </w:t>
      </w:r>
      <w:r w:rsidR="00CB4008">
        <w:t>or difficult to derive and defend.</w:t>
      </w:r>
      <w:r w:rsidR="00CB4008">
        <w:rPr>
          <w:rStyle w:val="FootnoteReference"/>
        </w:rPr>
        <w:footnoteReference w:id="201"/>
      </w:r>
    </w:p>
    <w:p w14:paraId="5083EE5E" w14:textId="77777777" w:rsidR="00377AF2" w:rsidRDefault="00CE7F88" w:rsidP="000D6343">
      <w:pPr>
        <w:spacing w:line="480" w:lineRule="auto"/>
        <w:ind w:firstLine="720"/>
      </w:pPr>
      <w:r>
        <w:t>Critics of Dworkin’s theory of adjudication have been quick to notice</w:t>
      </w:r>
      <w:r w:rsidR="00944542">
        <w:t>, however,</w:t>
      </w:r>
      <w:r>
        <w:t xml:space="preserve"> that Hercules’ perfection </w:t>
      </w:r>
      <w:r w:rsidR="00AB296D">
        <w:t>offers</w:t>
      </w:r>
      <w:r w:rsidR="00E30F2E">
        <w:t xml:space="preserve"> an unrealistic and misleading </w:t>
      </w:r>
      <w:r w:rsidR="00777DDD">
        <w:t>standard</w:t>
      </w:r>
      <w:r w:rsidR="00E30F2E">
        <w:t xml:space="preserve"> for </w:t>
      </w:r>
      <w:r w:rsidR="00567351">
        <w:t xml:space="preserve">guiding or </w:t>
      </w:r>
      <w:r w:rsidR="00E30F2E">
        <w:t xml:space="preserve">evaluating the decision-making </w:t>
      </w:r>
      <w:r w:rsidR="00567351">
        <w:t>abilities of human</w:t>
      </w:r>
      <w:r w:rsidR="00E30F2E">
        <w:t xml:space="preserve"> judges</w:t>
      </w:r>
      <w:r w:rsidR="00605344">
        <w:t xml:space="preserve"> operating in specific legal systems</w:t>
      </w:r>
      <w:r w:rsidR="00E30F2E">
        <w:t xml:space="preserve">. Even if his </w:t>
      </w:r>
      <w:r>
        <w:t>skills, knowledg</w:t>
      </w:r>
      <w:r w:rsidR="00E30F2E">
        <w:t>e</w:t>
      </w:r>
      <w:r w:rsidR="00337607">
        <w:t>,</w:t>
      </w:r>
      <w:r w:rsidR="00E30F2E">
        <w:t xml:space="preserve"> and attributes were mortal</w:t>
      </w:r>
      <w:r w:rsidR="002E0987">
        <w:t>,</w:t>
      </w:r>
      <w:r w:rsidR="00E30F2E">
        <w:t xml:space="preserve"> </w:t>
      </w:r>
      <w:r w:rsidR="00944542">
        <w:t xml:space="preserve">rather </w:t>
      </w:r>
      <w:r w:rsidR="00E30F2E">
        <w:t>than divine</w:t>
      </w:r>
      <w:r w:rsidR="00944542">
        <w:t>,</w:t>
      </w:r>
      <w:r w:rsidR="00E30F2E">
        <w:t xml:space="preserve"> there are other aspects of</w:t>
      </w:r>
      <w:r w:rsidR="0033498F">
        <w:t xml:space="preserve"> this ideal-</w:t>
      </w:r>
      <w:r w:rsidR="00567351">
        <w:t xml:space="preserve">typification that ought to </w:t>
      </w:r>
      <w:r w:rsidR="00E30F2E">
        <w:t>give one pause. Hercules</w:t>
      </w:r>
      <w:r>
        <w:t xml:space="preserve"> </w:t>
      </w:r>
      <w:r w:rsidR="004A6E37" w:rsidRPr="004A6E37">
        <w:t>carries out his labours in solitude</w:t>
      </w:r>
      <w:r w:rsidR="00E30F2E">
        <w:t>,</w:t>
      </w:r>
      <w:r w:rsidR="004A6E37" w:rsidRPr="004A6E37">
        <w:t xml:space="preserve"> he faces no financial or temporal pressures</w:t>
      </w:r>
      <w:r w:rsidR="00E30F2E">
        <w:t>, and his ju</w:t>
      </w:r>
      <w:r w:rsidR="002E0987">
        <w:t xml:space="preserve">dgements unrealistically appear </w:t>
      </w:r>
      <w:r w:rsidR="00E30F2E">
        <w:t xml:space="preserve">to belong to </w:t>
      </w:r>
      <w:r w:rsidR="00567351">
        <w:t xml:space="preserve">him </w:t>
      </w:r>
      <w:r w:rsidR="004A6E37" w:rsidRPr="004A6E37">
        <w:t>alone</w:t>
      </w:r>
      <w:r w:rsidR="00E30F2E">
        <w:t>.</w:t>
      </w:r>
      <w:r w:rsidR="00567351">
        <w:t xml:space="preserve"> Judges</w:t>
      </w:r>
      <w:r w:rsidR="002E0987">
        <w:t xml:space="preserve"> who serve on most</w:t>
      </w:r>
      <w:r w:rsidR="00567351">
        <w:t xml:space="preserve"> countries</w:t>
      </w:r>
      <w:r w:rsidR="00171BA4">
        <w:t>’</w:t>
      </w:r>
      <w:r w:rsidR="0033498F">
        <w:t xml:space="preserve"> supreme courts would, however,</w:t>
      </w:r>
      <w:r w:rsidR="00AB296D">
        <w:t xml:space="preserve"> find this model</w:t>
      </w:r>
      <w:r w:rsidR="00567351">
        <w:t xml:space="preserve"> unrecognisable</w:t>
      </w:r>
      <w:r w:rsidR="00777DDD">
        <w:t xml:space="preserve"> and, almost certainly</w:t>
      </w:r>
      <w:r w:rsidR="00AB296D">
        <w:t>, undesirable</w:t>
      </w:r>
      <w:r w:rsidR="00567351">
        <w:t>. After all, even the chief justices of the highest</w:t>
      </w:r>
      <w:r w:rsidR="002E0987">
        <w:t xml:space="preserve"> courts find themselves thinking</w:t>
      </w:r>
      <w:r w:rsidR="00567351">
        <w:t xml:space="preserve"> in community with others and, although </w:t>
      </w:r>
      <w:r w:rsidR="005F1405">
        <w:t>it may take some time for the results of</w:t>
      </w:r>
      <w:r w:rsidR="00567351">
        <w:t xml:space="preserve"> </w:t>
      </w:r>
      <w:r w:rsidR="005F1405">
        <w:t xml:space="preserve">their </w:t>
      </w:r>
      <w:r w:rsidR="00567351">
        <w:t>deliberations</w:t>
      </w:r>
      <w:r w:rsidR="002E0987">
        <w:t xml:space="preserve"> to become known to the parties to a dispute</w:t>
      </w:r>
      <w:r w:rsidR="003745FF">
        <w:t xml:space="preserve"> (</w:t>
      </w:r>
      <w:r w:rsidR="002E0987">
        <w:t>or to the broader</w:t>
      </w:r>
      <w:r w:rsidR="003745FF">
        <w:t xml:space="preserve"> public to whom they must make their reasons known),</w:t>
      </w:r>
      <w:r w:rsidR="005F1405">
        <w:t xml:space="preserve"> it would be surprising to </w:t>
      </w:r>
      <w:r w:rsidR="00777DDD">
        <w:t xml:space="preserve">learn that </w:t>
      </w:r>
      <w:r w:rsidR="00777DDD">
        <w:lastRenderedPageBreak/>
        <w:t>they feel no</w:t>
      </w:r>
      <w:r w:rsidR="005F1405">
        <w:t xml:space="preserve"> obligation</w:t>
      </w:r>
      <w:r w:rsidR="00337607">
        <w:t>s</w:t>
      </w:r>
      <w:r w:rsidR="005F1405">
        <w:t xml:space="preserve"> </w:t>
      </w:r>
      <w:r w:rsidR="00337607">
        <w:t xml:space="preserve">to hand down decisions that are </w:t>
      </w:r>
      <w:r w:rsidR="002E0987">
        <w:t xml:space="preserve">both </w:t>
      </w:r>
      <w:r w:rsidR="005F1405">
        <w:t>timely and attentive to the social context</w:t>
      </w:r>
      <w:r w:rsidR="00AB296D">
        <w:t>s</w:t>
      </w:r>
      <w:r w:rsidR="005F1405">
        <w:t xml:space="preserve"> in which they are rendered.</w:t>
      </w:r>
      <w:r w:rsidR="00567351">
        <w:t xml:space="preserve"> </w:t>
      </w:r>
      <w:r w:rsidR="00377AF2">
        <w:t xml:space="preserve"> </w:t>
      </w:r>
      <w:r w:rsidR="004A6E37" w:rsidRPr="004A6E37">
        <w:t xml:space="preserve"> </w:t>
      </w:r>
    </w:p>
    <w:p w14:paraId="705C64A3" w14:textId="77777777" w:rsidR="00B26717" w:rsidRDefault="00D64391" w:rsidP="00DF67E9">
      <w:pPr>
        <w:spacing w:line="480" w:lineRule="auto"/>
        <w:ind w:firstLine="720"/>
      </w:pPr>
      <w:r>
        <w:t>If</w:t>
      </w:r>
      <w:r w:rsidR="005F1405">
        <w:t xml:space="preserve"> a </w:t>
      </w:r>
      <w:r>
        <w:t>super-human judge is an i</w:t>
      </w:r>
      <w:r w:rsidR="005F1405">
        <w:t>mperfect source of inspiration</w:t>
      </w:r>
      <w:r>
        <w:t xml:space="preserve"> for practicing healthcare ethicists it may yet be </w:t>
      </w:r>
      <w:r w:rsidR="005F1405">
        <w:t xml:space="preserve">possible to conjure up an </w:t>
      </w:r>
      <w:r w:rsidR="00AB296D">
        <w:t xml:space="preserve">ideal </w:t>
      </w:r>
      <w:r>
        <w:t>to</w:t>
      </w:r>
      <w:r w:rsidR="00321FD1">
        <w:t xml:space="preserve"> which they might aspire. We might </w:t>
      </w:r>
      <w:r>
        <w:t xml:space="preserve">call her </w:t>
      </w:r>
      <w:r w:rsidR="004A6E37" w:rsidRPr="004A6E37">
        <w:t xml:space="preserve">PHE McLachlin, </w:t>
      </w:r>
      <w:r w:rsidR="00E05D94">
        <w:t xml:space="preserve">and assume from the outset that </w:t>
      </w:r>
      <w:r w:rsidR="00777DDD">
        <w:t xml:space="preserve">although she aims to offer advice that both fits and justifies the </w:t>
      </w:r>
      <w:r w:rsidR="00141517">
        <w:t xml:space="preserve">healthcare </w:t>
      </w:r>
      <w:r w:rsidR="00777DDD">
        <w:t xml:space="preserve">practice in which she participates, </w:t>
      </w:r>
      <w:r w:rsidR="00E05D94">
        <w:t>she is limited and imperfect</w:t>
      </w:r>
      <w:r w:rsidR="00AB296D">
        <w:t>,</w:t>
      </w:r>
      <w:r w:rsidR="00E05D94">
        <w:t xml:space="preserve"> </w:t>
      </w:r>
      <w:r>
        <w:t>a</w:t>
      </w:r>
      <w:r w:rsidR="00E05D94">
        <w:t>s</w:t>
      </w:r>
      <w:r>
        <w:t xml:space="preserve"> </w:t>
      </w:r>
      <w:r w:rsidR="00E05D94">
        <w:t xml:space="preserve">all </w:t>
      </w:r>
      <w:r>
        <w:t>mortal</w:t>
      </w:r>
      <w:r w:rsidR="00E05D94">
        <w:t xml:space="preserve">s </w:t>
      </w:r>
      <w:r w:rsidR="003745FF">
        <w:t>are</w:t>
      </w:r>
      <w:r w:rsidR="000339EC">
        <w:t xml:space="preserve">. Her interpersonal skills are reasonably well-developed, she possesses </w:t>
      </w:r>
      <w:r>
        <w:t xml:space="preserve">an incomplete </w:t>
      </w:r>
      <w:r w:rsidR="000339EC">
        <w:t>grasp</w:t>
      </w:r>
      <w:r>
        <w:t xml:space="preserve"> of medical terminology and common illness</w:t>
      </w:r>
      <w:r w:rsidR="00415ACC">
        <w:t>es,</w:t>
      </w:r>
      <w:r>
        <w:t xml:space="preserve"> </w:t>
      </w:r>
      <w:r w:rsidR="000339EC">
        <w:t xml:space="preserve">has </w:t>
      </w:r>
      <w:r w:rsidR="00415ACC">
        <w:t xml:space="preserve">a </w:t>
      </w:r>
      <w:r>
        <w:t xml:space="preserve">partial </w:t>
      </w:r>
      <w:r w:rsidR="00321FD1">
        <w:t>but ever-</w:t>
      </w:r>
      <w:r w:rsidR="000339EC">
        <w:t xml:space="preserve">growing, </w:t>
      </w:r>
      <w:r>
        <w:t xml:space="preserve">knowledge </w:t>
      </w:r>
      <w:r w:rsidR="00141517">
        <w:t xml:space="preserve">of health law, </w:t>
      </w:r>
      <w:r w:rsidR="00415ACC">
        <w:t>policy</w:t>
      </w:r>
      <w:r w:rsidR="00141517">
        <w:t>, and social norms and values</w:t>
      </w:r>
      <w:r w:rsidR="005F1405">
        <w:t>. Although h</w:t>
      </w:r>
      <w:r w:rsidR="000339EC">
        <w:t xml:space="preserve">er </w:t>
      </w:r>
      <w:r w:rsidR="00815AA1">
        <w:t xml:space="preserve">subject matter is </w:t>
      </w:r>
      <w:r w:rsidR="005F1405">
        <w:t xml:space="preserve">vast and mutable, </w:t>
      </w:r>
      <w:r w:rsidR="00815AA1" w:rsidRPr="004A6E37">
        <w:t>she must nearly always at</w:t>
      </w:r>
      <w:r w:rsidR="005F1405">
        <w:t>tend to cost and time constraints</w:t>
      </w:r>
      <w:r w:rsidR="00815AA1" w:rsidRPr="004A6E37">
        <w:t>.</w:t>
      </w:r>
      <w:r w:rsidR="000339EC">
        <w:t xml:space="preserve"> She may not be a philosopher but s</w:t>
      </w:r>
      <w:r w:rsidR="00A95D1B">
        <w:t>he has</w:t>
      </w:r>
      <w:r w:rsidR="000339EC">
        <w:t xml:space="preserve"> an ability to partake of the</w:t>
      </w:r>
      <w:r w:rsidR="00171BA4">
        <w:t xml:space="preserve"> methods of that discipline, and</w:t>
      </w:r>
      <w:r w:rsidR="000339EC">
        <w:t xml:space="preserve"> she is always </w:t>
      </w:r>
      <w:r w:rsidR="000339EC" w:rsidRPr="004A6E37">
        <w:t>obliged to think with others</w:t>
      </w:r>
      <w:r>
        <w:t xml:space="preserve"> </w:t>
      </w:r>
      <w:r w:rsidR="000339EC">
        <w:t>–</w:t>
      </w:r>
      <w:r w:rsidR="005F1405">
        <w:t xml:space="preserve"> others who may include</w:t>
      </w:r>
      <w:r w:rsidR="000339EC">
        <w:t xml:space="preserve"> </w:t>
      </w:r>
      <w:r w:rsidR="00B26717">
        <w:t>patients,</w:t>
      </w:r>
      <w:r w:rsidR="003745FF">
        <w:t xml:space="preserve"> healthcare </w:t>
      </w:r>
      <w:r w:rsidR="000339EC">
        <w:t>professionals</w:t>
      </w:r>
      <w:r w:rsidR="00B26717">
        <w:t xml:space="preserve">, </w:t>
      </w:r>
      <w:r w:rsidR="003745FF">
        <w:t xml:space="preserve">administrators, </w:t>
      </w:r>
      <w:r w:rsidR="00B26717">
        <w:t>an</w:t>
      </w:r>
      <w:r w:rsidR="003745FF">
        <w:t>d policy makers</w:t>
      </w:r>
      <w:r w:rsidR="00E46B17">
        <w:t xml:space="preserve"> (and any combination thereof)</w:t>
      </w:r>
      <w:r w:rsidR="003745FF">
        <w:t xml:space="preserve"> - whose values often</w:t>
      </w:r>
      <w:r w:rsidR="00B26717">
        <w:t xml:space="preserve"> </w:t>
      </w:r>
      <w:r w:rsidR="003745FF">
        <w:t xml:space="preserve">will be in </w:t>
      </w:r>
      <w:r w:rsidR="00F3172C">
        <w:t>conflict, and may differ</w:t>
      </w:r>
      <w:r w:rsidR="00B26717">
        <w:t xml:space="preserve"> from her own.</w:t>
      </w:r>
    </w:p>
    <w:p w14:paraId="238DAEE9" w14:textId="77777777" w:rsidR="0038617C" w:rsidRDefault="00220C61" w:rsidP="00DF67E9">
      <w:pPr>
        <w:spacing w:line="480" w:lineRule="auto"/>
        <w:ind w:firstLine="720"/>
      </w:pPr>
      <w:r>
        <w:t xml:space="preserve">It is important to acknowledge that </w:t>
      </w:r>
      <w:r w:rsidR="003745FF">
        <w:t>McLachlin’s involvement in</w:t>
      </w:r>
      <w:r>
        <w:t xml:space="preserve"> hard cases will generally be triggered by a request by one, or more, </w:t>
      </w:r>
      <w:r w:rsidR="00141517">
        <w:t xml:space="preserve">of the </w:t>
      </w:r>
      <w:r>
        <w:t>stakeholders who are desirous of her su</w:t>
      </w:r>
      <w:r w:rsidR="00E46B17">
        <w:t>pport. Although her services m</w:t>
      </w:r>
      <w:r w:rsidR="00731E3B">
        <w:t>a</w:t>
      </w:r>
      <w:r w:rsidR="00E46B17">
        <w:t>y be</w:t>
      </w:r>
      <w:r>
        <w:t xml:space="preserve"> available to all, she is a consultant who becomes privy to </w:t>
      </w:r>
      <w:r w:rsidR="00AB7A40">
        <w:t xml:space="preserve">the </w:t>
      </w:r>
      <w:r>
        <w:t>confidential</w:t>
      </w:r>
      <w:r w:rsidR="00AB7A40">
        <w:t xml:space="preserve"> details of a case only when her counsel</w:t>
      </w:r>
      <w:r w:rsidR="0038617C">
        <w:t xml:space="preserve"> is invited</w:t>
      </w:r>
      <w:r w:rsidR="00E46B17">
        <w:t xml:space="preserve"> </w:t>
      </w:r>
      <w:r w:rsidR="00AB7A40">
        <w:t>and</w:t>
      </w:r>
      <w:r w:rsidR="00E46B17">
        <w:t>,</w:t>
      </w:r>
      <w:r w:rsidR="00AB7A40">
        <w:t xml:space="preserve"> should she find herself in a situation where her</w:t>
      </w:r>
      <w:r w:rsidR="009647A0">
        <w:t xml:space="preserve"> advice or </w:t>
      </w:r>
      <w:r w:rsidR="00AB7A40">
        <w:lastRenderedPageBreak/>
        <w:t xml:space="preserve">recommendations </w:t>
      </w:r>
      <w:r w:rsidR="0038617C">
        <w:t xml:space="preserve">are sought, the </w:t>
      </w:r>
      <w:r w:rsidR="00141517">
        <w:t xml:space="preserve">final </w:t>
      </w:r>
      <w:r w:rsidR="0038617C">
        <w:t xml:space="preserve">decisions which flow from that </w:t>
      </w:r>
      <w:r w:rsidR="00141517">
        <w:t>advice, are never hers to make.</w:t>
      </w:r>
    </w:p>
    <w:p w14:paraId="0D7BF77D" w14:textId="77777777" w:rsidR="0038617C" w:rsidRDefault="00341692" w:rsidP="00DF67E9">
      <w:pPr>
        <w:spacing w:line="480" w:lineRule="auto"/>
        <w:ind w:firstLine="720"/>
      </w:pPr>
      <w:r>
        <w:t>Despite these limits</w:t>
      </w:r>
      <w:r w:rsidR="0038617C">
        <w:t xml:space="preserve"> on her</w:t>
      </w:r>
      <w:r w:rsidR="007339E9">
        <w:t xml:space="preserve"> authority</w:t>
      </w:r>
      <w:r w:rsidR="0038617C">
        <w:t>, the critics of healthcare ethics</w:t>
      </w:r>
      <w:r w:rsidR="007339E9">
        <w:t xml:space="preserve"> are not wrong to be concerned about her influence. The hard cases that </w:t>
      </w:r>
      <w:r>
        <w:t xml:space="preserve">trigger her </w:t>
      </w:r>
      <w:r w:rsidR="007339E9">
        <w:t>engage</w:t>
      </w:r>
      <w:r>
        <w:t>ment</w:t>
      </w:r>
      <w:r w:rsidR="007339E9">
        <w:t xml:space="preserve"> are by their very definition fraught with peril</w:t>
      </w:r>
      <w:r w:rsidR="00D24A84">
        <w:t>,</w:t>
      </w:r>
      <w:r w:rsidR="007339E9">
        <w:t xml:space="preserve"> and </w:t>
      </w:r>
      <w:r w:rsidR="00511307">
        <w:t xml:space="preserve">the independence of her role can be </w:t>
      </w:r>
      <w:r w:rsidR="00E46B17">
        <w:t xml:space="preserve">a source of </w:t>
      </w:r>
      <w:r>
        <w:t>its weakness</w:t>
      </w:r>
      <w:r w:rsidR="00511307">
        <w:t xml:space="preserve"> as well as a</w:t>
      </w:r>
      <w:r>
        <w:t xml:space="preserve"> strength</w:t>
      </w:r>
      <w:r w:rsidR="00511307">
        <w:t>. When</w:t>
      </w:r>
      <w:r w:rsidR="00C50DA6">
        <w:t>ever</w:t>
      </w:r>
      <w:r w:rsidR="007339E9">
        <w:t xml:space="preserve"> </w:t>
      </w:r>
      <w:r w:rsidR="00C50DA6">
        <w:t xml:space="preserve">it is </w:t>
      </w:r>
      <w:r w:rsidR="007339E9">
        <w:t xml:space="preserve">appropriate, McLachlin may make her contributions to a case transparent </w:t>
      </w:r>
      <w:r w:rsidR="00D24A84">
        <w:t xml:space="preserve">to the patient and his circle of care </w:t>
      </w:r>
      <w:r w:rsidR="007339E9">
        <w:t xml:space="preserve">via an entry in </w:t>
      </w:r>
      <w:r w:rsidR="00D24A84">
        <w:t>a</w:t>
      </w:r>
      <w:r w:rsidR="007339E9">
        <w:t xml:space="preserve"> health</w:t>
      </w:r>
      <w:r w:rsidR="00511307">
        <w:t>care</w:t>
      </w:r>
      <w:r w:rsidR="007339E9">
        <w:t xml:space="preserve"> record, but</w:t>
      </w:r>
      <w:r w:rsidR="00D24A84">
        <w:t xml:space="preserve"> this is a</w:t>
      </w:r>
      <w:r w:rsidR="00514800">
        <w:t xml:space="preserve"> purpose-built tool</w:t>
      </w:r>
      <w:r w:rsidR="007339E9">
        <w:t xml:space="preserve"> </w:t>
      </w:r>
      <w:r w:rsidR="00511307">
        <w:t xml:space="preserve">that is </w:t>
      </w:r>
      <w:r w:rsidR="007339E9">
        <w:t xml:space="preserve">designed for </w:t>
      </w:r>
      <w:r w:rsidR="00E46B17">
        <w:t xml:space="preserve">other forms of </w:t>
      </w:r>
      <w:r w:rsidR="007339E9">
        <w:t>inter-professional communication</w:t>
      </w:r>
      <w:r w:rsidR="00E46B17">
        <w:t>.</w:t>
      </w:r>
      <w:r w:rsidR="00C50DA6">
        <w:rPr>
          <w:rStyle w:val="FootnoteReference"/>
        </w:rPr>
        <w:footnoteReference w:id="202"/>
      </w:r>
      <w:r>
        <w:t xml:space="preserve"> E</w:t>
      </w:r>
      <w:r w:rsidR="00514800">
        <w:t xml:space="preserve">ntries </w:t>
      </w:r>
      <w:r>
        <w:t>made</w:t>
      </w:r>
      <w:r w:rsidR="00511307">
        <w:t xml:space="preserve"> in </w:t>
      </w:r>
      <w:r>
        <w:t>progress notes, or</w:t>
      </w:r>
      <w:r w:rsidR="00FC6200">
        <w:t xml:space="preserve"> in other portions of </w:t>
      </w:r>
      <w:r w:rsidR="00511307">
        <w:t xml:space="preserve">patients’ </w:t>
      </w:r>
      <w:r>
        <w:t>chart</w:t>
      </w:r>
      <w:r w:rsidR="00511307">
        <w:t>s suffer from a number of significant limitations. They tend</w:t>
      </w:r>
      <w:r w:rsidR="00935D37">
        <w:t xml:space="preserve"> to be </w:t>
      </w:r>
      <w:r>
        <w:t xml:space="preserve">difficult to locate, </w:t>
      </w:r>
      <w:r w:rsidR="00935D37">
        <w:t xml:space="preserve">Spartan </w:t>
      </w:r>
      <w:r>
        <w:t xml:space="preserve">in their description, </w:t>
      </w:r>
      <w:r w:rsidR="00935D37">
        <w:t xml:space="preserve">and </w:t>
      </w:r>
      <w:r>
        <w:t xml:space="preserve">narrowly </w:t>
      </w:r>
      <w:r w:rsidR="00935D37">
        <w:t xml:space="preserve">focussed on </w:t>
      </w:r>
      <w:r w:rsidR="00511307">
        <w:t xml:space="preserve">outcomes or other </w:t>
      </w:r>
      <w:r w:rsidR="00E46B17">
        <w:t>clinical</w:t>
      </w:r>
      <w:r w:rsidR="00511307">
        <w:t>ly</w:t>
      </w:r>
      <w:r w:rsidR="00FC6200">
        <w:t>-relevant variables</w:t>
      </w:r>
      <w:r w:rsidR="00935D37">
        <w:t>.</w:t>
      </w:r>
      <w:r w:rsidR="00E64F2C">
        <w:rPr>
          <w:rStyle w:val="FootnoteReference"/>
        </w:rPr>
        <w:footnoteReference w:id="203"/>
      </w:r>
      <w:r w:rsidR="00D24A84">
        <w:t xml:space="preserve"> Organisational and research ethics consultations</w:t>
      </w:r>
      <w:r w:rsidR="00951F24">
        <w:t xml:space="preserve">, </w:t>
      </w:r>
      <w:r w:rsidR="00951F24">
        <w:lastRenderedPageBreak/>
        <w:t>moreover</w:t>
      </w:r>
      <w:r w:rsidR="00514800">
        <w:t>,</w:t>
      </w:r>
      <w:r w:rsidR="00D24A84">
        <w:t xml:space="preserve"> tend not to lend themselves to standard docum</w:t>
      </w:r>
      <w:r w:rsidR="00412E66">
        <w:t>entation processes, although</w:t>
      </w:r>
      <w:r w:rsidR="00D24A84">
        <w:t xml:space="preserve"> record</w:t>
      </w:r>
      <w:r w:rsidR="00E64F2C">
        <w:t>s</w:t>
      </w:r>
      <w:r w:rsidR="00D24A84">
        <w:t xml:space="preserve"> of their proceedings may be contained</w:t>
      </w:r>
      <w:r w:rsidR="00F62DF3">
        <w:t xml:space="preserve"> (or referenced</w:t>
      </w:r>
      <w:r w:rsidR="00E64F2C">
        <w:t>)</w:t>
      </w:r>
      <w:r w:rsidR="00D24A84">
        <w:t xml:space="preserve"> </w:t>
      </w:r>
      <w:r w:rsidR="00E64F2C">
        <w:t>in</w:t>
      </w:r>
      <w:r w:rsidR="00D24A84">
        <w:t xml:space="preserve"> </w:t>
      </w:r>
      <w:r w:rsidR="00F62DF3">
        <w:t>briefing notes, meeting minutes, or white paper</w:t>
      </w:r>
      <w:r w:rsidR="00951F24">
        <w:t>s</w:t>
      </w:r>
      <w:r w:rsidR="003219B0">
        <w:t>,</w:t>
      </w:r>
      <w:r w:rsidR="00D24A84">
        <w:t xml:space="preserve"> or </w:t>
      </w:r>
      <w:r w:rsidR="00951F24">
        <w:t xml:space="preserve">in </w:t>
      </w:r>
      <w:r w:rsidR="00D24A84">
        <w:t xml:space="preserve">the guidelines and policies which they ultimately inform.   </w:t>
      </w:r>
      <w:r w:rsidR="007339E9">
        <w:t xml:space="preserve">  </w:t>
      </w:r>
    </w:p>
    <w:p w14:paraId="67D23DE4" w14:textId="77777777" w:rsidR="000173BB" w:rsidRDefault="009B6A74" w:rsidP="000173BB">
      <w:pPr>
        <w:spacing w:line="480" w:lineRule="auto"/>
        <w:ind w:firstLine="720"/>
      </w:pPr>
      <w:r>
        <w:t>In short</w:t>
      </w:r>
      <w:r w:rsidR="00412E66">
        <w:t xml:space="preserve">, unlike Hercules (or, indeed, </w:t>
      </w:r>
      <w:r w:rsidR="00365950">
        <w:t xml:space="preserve">his real-life counterparts), </w:t>
      </w:r>
      <w:r w:rsidR="00D24A84">
        <w:t>PHE McLachlin</w:t>
      </w:r>
      <w:r w:rsidR="00365950">
        <w:t xml:space="preserve"> finds herself</w:t>
      </w:r>
      <w:r w:rsidR="00D24A84">
        <w:t xml:space="preserve"> </w:t>
      </w:r>
      <w:r w:rsidR="00365950">
        <w:t xml:space="preserve">largely </w:t>
      </w:r>
      <w:r w:rsidR="00D24A84">
        <w:t>unconstrained by the opinion</w:t>
      </w:r>
      <w:r w:rsidR="00365950">
        <w:t>s of any</w:t>
      </w:r>
      <w:r w:rsidR="00D24A84">
        <w:t xml:space="preserve"> legislature, electorate</w:t>
      </w:r>
      <w:r w:rsidR="00365950">
        <w:t xml:space="preserve">, or </w:t>
      </w:r>
      <w:r>
        <w:t xml:space="preserve">inquisitive </w:t>
      </w:r>
      <w:r w:rsidR="00D24A84">
        <w:t>fourth estat</w:t>
      </w:r>
      <w:r w:rsidR="00514800">
        <w:t>e. This seems</w:t>
      </w:r>
      <w:r w:rsidR="00365950">
        <w:t xml:space="preserve"> appropriate, given the advisory nature of her role</w:t>
      </w:r>
      <w:r w:rsidR="008E71F7">
        <w:t>,</w:t>
      </w:r>
      <w:r w:rsidR="00365950">
        <w:t xml:space="preserve"> and the importance of her clients’ right to confidentiality, but its</w:t>
      </w:r>
      <w:r w:rsidR="00514800">
        <w:t xml:space="preserve"> </w:t>
      </w:r>
      <w:r w:rsidR="00365950">
        <w:t>appropriateness</w:t>
      </w:r>
      <w:r>
        <w:t xml:space="preserve"> is not a guarantee of quality -</w:t>
      </w:r>
      <w:r w:rsidR="00514800">
        <w:t xml:space="preserve"> and the question of quality in clinical ethics consultation is an important one, one that the professionalization movement has hoped to answer.</w:t>
      </w:r>
      <w:r w:rsidR="008E71F7">
        <w:t xml:space="preserve"> In my final chapter I will attempt to deliver on my early promise; that is, to show how legal theory might save the life of health care ethics (or at</w:t>
      </w:r>
      <w:r w:rsidR="00B97E60">
        <w:t xml:space="preserve"> least reinvigorate the discipline by </w:t>
      </w:r>
      <w:r w:rsidR="006A4BF6">
        <w:t>disposing of some well-worn</w:t>
      </w:r>
      <w:r w:rsidR="008E71F7">
        <w:t xml:space="preserve"> debates). </w:t>
      </w:r>
      <w:r w:rsidR="00B97E60">
        <w:t xml:space="preserve">I believe I have assembled the pieces </w:t>
      </w:r>
      <w:r w:rsidR="00412E66">
        <w:t xml:space="preserve">that are needed </w:t>
      </w:r>
      <w:r w:rsidR="00B97E60">
        <w:t xml:space="preserve">for a more </w:t>
      </w:r>
      <w:r w:rsidR="000F0D95">
        <w:t xml:space="preserve">substantial </w:t>
      </w:r>
      <w:r w:rsidR="00412E66">
        <w:t xml:space="preserve">discussion about the </w:t>
      </w:r>
      <w:r w:rsidR="00B97E60">
        <w:t>practice of healthcare ethics</w:t>
      </w:r>
      <w:r>
        <w:t>,</w:t>
      </w:r>
      <w:r w:rsidR="00B97E60">
        <w:t xml:space="preserve"> and </w:t>
      </w:r>
      <w:r w:rsidR="00B0155A">
        <w:t>suggest</w:t>
      </w:r>
      <w:r>
        <w:t xml:space="preserve"> that we </w:t>
      </w:r>
      <w:r w:rsidR="00B97E60">
        <w:t xml:space="preserve">need only stitch them together </w:t>
      </w:r>
      <w:r w:rsidR="00412E66">
        <w:t xml:space="preserve">in order </w:t>
      </w:r>
      <w:r w:rsidR="00492F9E">
        <w:t xml:space="preserve">to answer the charges of its critics. As my </w:t>
      </w:r>
      <w:r w:rsidR="00492F9E">
        <w:lastRenderedPageBreak/>
        <w:t xml:space="preserve">final chapter will show, </w:t>
      </w:r>
      <w:r w:rsidR="00B97E60">
        <w:t xml:space="preserve">what is most needed </w:t>
      </w:r>
      <w:r w:rsidR="00492F9E">
        <w:t xml:space="preserve">now </w:t>
      </w:r>
      <w:r w:rsidR="00B97E60">
        <w:t xml:space="preserve">is </w:t>
      </w:r>
      <w:r w:rsidR="000F0D95">
        <w:t xml:space="preserve">a </w:t>
      </w:r>
      <w:r w:rsidR="00B97E60">
        <w:t>commitment to quality</w:t>
      </w:r>
      <w:r w:rsidR="00492F9E">
        <w:t xml:space="preserve"> </w:t>
      </w:r>
      <w:r w:rsidR="000F0D95">
        <w:t>–</w:t>
      </w:r>
      <w:r w:rsidR="00492F9E">
        <w:t xml:space="preserve"> </w:t>
      </w:r>
      <w:r w:rsidR="000F0D95">
        <w:t xml:space="preserve">rather than </w:t>
      </w:r>
      <w:r w:rsidR="00B97E60">
        <w:t xml:space="preserve">a </w:t>
      </w:r>
      <w:r w:rsidR="00492F9E">
        <w:t>counsel of perfection</w:t>
      </w:r>
      <w:r w:rsidR="00B97E60">
        <w:t>.</w:t>
      </w:r>
      <w:r w:rsidR="000173BB">
        <w:t xml:space="preserve"> Legal theoretical debates may not provide a template for assessing success in that endeavour</w:t>
      </w:r>
      <w:r w:rsidR="00BE01C6">
        <w:t>,</w:t>
      </w:r>
      <w:r w:rsidR="000173BB">
        <w:t xml:space="preserve"> but they can shed light on s</w:t>
      </w:r>
      <w:r w:rsidR="0020784E">
        <w:t>ome of the tools that are required</w:t>
      </w:r>
      <w:r w:rsidR="000173BB">
        <w:t xml:space="preserve">, and others that can safely be set aside. </w:t>
      </w:r>
    </w:p>
    <w:p w14:paraId="079D389C" w14:textId="77777777" w:rsidR="00BE01C6" w:rsidRDefault="00BE01C6">
      <w:r>
        <w:br w:type="page"/>
      </w:r>
    </w:p>
    <w:p w14:paraId="359177EA" w14:textId="77777777" w:rsidR="008E71F7" w:rsidRPr="003C2A7C" w:rsidRDefault="008E71F7" w:rsidP="008E71F7">
      <w:pPr>
        <w:rPr>
          <w:u w:val="single"/>
        </w:rPr>
      </w:pPr>
      <w:r w:rsidRPr="003C2A7C">
        <w:rPr>
          <w:u w:val="single"/>
        </w:rPr>
        <w:lastRenderedPageBreak/>
        <w:t xml:space="preserve">Chapter 5: </w:t>
      </w:r>
      <w:r w:rsidR="00001BC9" w:rsidRPr="003C2A7C">
        <w:rPr>
          <w:u w:val="single"/>
        </w:rPr>
        <w:t>Professionalizing PHEs</w:t>
      </w:r>
      <w:r w:rsidRPr="003C2A7C">
        <w:rPr>
          <w:u w:val="single"/>
        </w:rPr>
        <w:t>: The Promise of a Practice Worth Wanting</w:t>
      </w:r>
      <w:r w:rsidRPr="003C2A7C">
        <w:rPr>
          <w:b/>
          <w:u w:val="single"/>
        </w:rPr>
        <w:t xml:space="preserve">  </w:t>
      </w:r>
    </w:p>
    <w:p w14:paraId="28B20B2D" w14:textId="77777777" w:rsidR="008E71F7" w:rsidRDefault="008E71F7" w:rsidP="008E71F7">
      <w:pPr>
        <w:rPr>
          <w:b/>
        </w:rPr>
      </w:pPr>
    </w:p>
    <w:p w14:paraId="5163758B" w14:textId="77777777" w:rsidR="00083A29" w:rsidRDefault="00083A29" w:rsidP="007F64F0">
      <w:pPr>
        <w:rPr>
          <w:i/>
        </w:rPr>
      </w:pPr>
    </w:p>
    <w:p w14:paraId="6FA1382D" w14:textId="77777777" w:rsidR="00B522A6" w:rsidRPr="00B522A6" w:rsidRDefault="008653BE" w:rsidP="007F64F0">
      <w:pPr>
        <w:rPr>
          <w:i/>
        </w:rPr>
      </w:pPr>
      <w:r>
        <w:rPr>
          <w:i/>
        </w:rPr>
        <w:t xml:space="preserve">Scofield’s latest critique: </w:t>
      </w:r>
      <w:r w:rsidR="00D45C9D">
        <w:rPr>
          <w:i/>
        </w:rPr>
        <w:t>g</w:t>
      </w:r>
      <w:r w:rsidR="00B522A6" w:rsidRPr="00B522A6">
        <w:rPr>
          <w:i/>
        </w:rPr>
        <w:t>athering wool</w:t>
      </w:r>
      <w:r w:rsidR="000D68A0">
        <w:rPr>
          <w:i/>
        </w:rPr>
        <w:t xml:space="preserve"> or communicating concerns</w:t>
      </w:r>
      <w:r w:rsidR="008D412A">
        <w:rPr>
          <w:i/>
        </w:rPr>
        <w:t>?</w:t>
      </w:r>
      <w:r w:rsidR="000D68A0">
        <w:rPr>
          <w:i/>
        </w:rPr>
        <w:t xml:space="preserve"> </w:t>
      </w:r>
    </w:p>
    <w:p w14:paraId="16F4F8A8" w14:textId="77777777" w:rsidR="00B522A6" w:rsidRDefault="00B522A6" w:rsidP="007F64F0"/>
    <w:p w14:paraId="4EF4047F" w14:textId="77777777" w:rsidR="008D412A" w:rsidRDefault="00B522A6" w:rsidP="00B522A6">
      <w:pPr>
        <w:spacing w:line="480" w:lineRule="auto"/>
        <w:ind w:firstLine="720"/>
      </w:pPr>
      <w:r>
        <w:t>In his most recent publication Giles Scofield has asked, once again, why “the field continues to be plagued by the problem of describing, explaining, and justifying how and why it is that others should seek … [its] expert advice.”</w:t>
      </w:r>
      <w:r>
        <w:rPr>
          <w:rStyle w:val="FootnoteReference"/>
        </w:rPr>
        <w:footnoteReference w:id="204"/>
      </w:r>
      <w:r w:rsidR="00001BC9">
        <w:t xml:space="preserve"> Ethics consultation</w:t>
      </w:r>
      <w:r>
        <w:t xml:space="preserve">, he asserts, </w:t>
      </w:r>
      <w:r w:rsidR="00735313">
        <w:t xml:space="preserve">is </w:t>
      </w:r>
      <w:r>
        <w:t>a field “which, for some mysterious reason, seems to be in perpetual need of having its life saved.”</w:t>
      </w:r>
      <w:r>
        <w:rPr>
          <w:rStyle w:val="FootnoteReference"/>
        </w:rPr>
        <w:footnoteReference w:id="205"/>
      </w:r>
      <w:r>
        <w:t xml:space="preserve"> </w:t>
      </w:r>
    </w:p>
    <w:p w14:paraId="025D5036" w14:textId="117A6097" w:rsidR="008D412A" w:rsidRDefault="00083A29" w:rsidP="009A020D">
      <w:pPr>
        <w:spacing w:line="480" w:lineRule="auto"/>
        <w:ind w:firstLine="720"/>
      </w:pPr>
      <w:r>
        <w:t>My aim</w:t>
      </w:r>
      <w:r w:rsidR="00B522A6">
        <w:t xml:space="preserve"> throughout this project, beg</w:t>
      </w:r>
      <w:r w:rsidR="006D06D1">
        <w:t>u</w:t>
      </w:r>
      <w:r w:rsidR="00B522A6">
        <w:t>n long before his latest salvo, has been</w:t>
      </w:r>
      <w:r w:rsidR="000431ED">
        <w:t xml:space="preserve"> </w:t>
      </w:r>
      <w:r w:rsidR="00FA024A">
        <w:t xml:space="preserve">to </w:t>
      </w:r>
      <w:r w:rsidR="000431ED">
        <w:t>dispel</w:t>
      </w:r>
      <w:r w:rsidR="0076656C">
        <w:t xml:space="preserve"> some of the mystery that has cloaked the field, </w:t>
      </w:r>
      <w:r w:rsidR="00001BC9">
        <w:t xml:space="preserve">and </w:t>
      </w:r>
      <w:r w:rsidR="0076656C">
        <w:t xml:space="preserve">to show that there can be a response to its critics which is an alternative to </w:t>
      </w:r>
      <w:r w:rsidR="00A11038">
        <w:t>defensiveness</w:t>
      </w:r>
      <w:r w:rsidR="00EA51F9">
        <w:t xml:space="preserve"> or despair</w:t>
      </w:r>
      <w:r w:rsidR="00001BC9">
        <w:t xml:space="preserve">. </w:t>
      </w:r>
      <w:r w:rsidR="008653BE">
        <w:t xml:space="preserve">Scofield’s </w:t>
      </w:r>
      <w:r w:rsidR="00463FFD">
        <w:t>latest critique, a variation on an earlier theme</w:t>
      </w:r>
      <w:r w:rsidR="008653BE">
        <w:t xml:space="preserve">, consists mainly in </w:t>
      </w:r>
      <w:r w:rsidR="000431ED">
        <w:t>the claim that</w:t>
      </w:r>
      <w:r w:rsidR="006D7FDC">
        <w:t xml:space="preserve"> </w:t>
      </w:r>
      <w:r w:rsidR="000431ED">
        <w:t>“the status of</w:t>
      </w:r>
      <w:r w:rsidR="00A11038">
        <w:t xml:space="preserve"> clinical </w:t>
      </w:r>
      <w:r w:rsidR="00A11038" w:rsidRPr="00A11038">
        <w:t>ethics cons</w:t>
      </w:r>
      <w:r w:rsidR="00A11038">
        <w:t xml:space="preserve">ultation is both a </w:t>
      </w:r>
      <w:r w:rsidR="00A11038" w:rsidRPr="00A11038">
        <w:t>practical and a political problem</w:t>
      </w:r>
      <w:r w:rsidR="00E54A29">
        <w:t>.</w:t>
      </w:r>
      <w:r w:rsidR="00A11038">
        <w:t>”</w:t>
      </w:r>
      <w:r w:rsidR="002F5CE6">
        <w:rPr>
          <w:rStyle w:val="FootnoteReference"/>
        </w:rPr>
        <w:footnoteReference w:id="206"/>
      </w:r>
      <w:r w:rsidR="002F5CE6" w:rsidDel="002F5CE6">
        <w:rPr>
          <w:rStyle w:val="FootnoteReference"/>
        </w:rPr>
        <w:t xml:space="preserve"> </w:t>
      </w:r>
      <w:r w:rsidR="00A11038">
        <w:t xml:space="preserve"> </w:t>
      </w:r>
      <w:r w:rsidR="00E54A29">
        <w:t>Its “power and authority”</w:t>
      </w:r>
      <w:r w:rsidR="00A37533">
        <w:t xml:space="preserve"> demands “domestication”</w:t>
      </w:r>
      <w:r w:rsidR="00E54A29">
        <w:t xml:space="preserve"> because</w:t>
      </w:r>
      <w:r w:rsidR="00735313">
        <w:t>, he proclaims,</w:t>
      </w:r>
      <w:r w:rsidR="00E54A29">
        <w:t xml:space="preserve"> </w:t>
      </w:r>
      <w:r w:rsidR="00735313">
        <w:t>there is a</w:t>
      </w:r>
      <w:r w:rsidR="0096439E">
        <w:t>n</w:t>
      </w:r>
      <w:r w:rsidR="00735313">
        <w:t xml:space="preserve"> undeniable</w:t>
      </w:r>
      <w:r w:rsidR="00A37533">
        <w:t xml:space="preserve"> tens</w:t>
      </w:r>
      <w:r w:rsidR="00735313">
        <w:t>ion between</w:t>
      </w:r>
      <w:r w:rsidR="00A37533">
        <w:t xml:space="preserve"> its “</w:t>
      </w:r>
      <w:r w:rsidR="00E54A29">
        <w:t>epistocratic ambitions</w:t>
      </w:r>
      <w:r w:rsidR="00A37533">
        <w:t xml:space="preserve">” and “the foundational </w:t>
      </w:r>
      <w:r w:rsidR="00E54A29">
        <w:t>values of a democratic society.</w:t>
      </w:r>
      <w:r w:rsidR="00A37533">
        <w:t>”</w:t>
      </w:r>
      <w:r w:rsidR="009A020D">
        <w:rPr>
          <w:rStyle w:val="FootnoteReference"/>
        </w:rPr>
        <w:footnoteReference w:id="207"/>
      </w:r>
    </w:p>
    <w:p w14:paraId="50DAD373" w14:textId="77777777" w:rsidR="00877F9C" w:rsidRDefault="008653BE" w:rsidP="00634A4E">
      <w:pPr>
        <w:spacing w:line="480" w:lineRule="auto"/>
        <w:ind w:firstLine="720"/>
      </w:pPr>
      <w:r>
        <w:t>Scofield’s paper is a reminder that the old anxieties about the field have not be</w:t>
      </w:r>
      <w:r w:rsidR="00735313">
        <w:t>en</w:t>
      </w:r>
      <w:r>
        <w:t xml:space="preserve"> put to rest. </w:t>
      </w:r>
      <w:r w:rsidR="00083A29">
        <w:t>By ta</w:t>
      </w:r>
      <w:r w:rsidR="009A020D">
        <w:t>c</w:t>
      </w:r>
      <w:r w:rsidR="00083A29">
        <w:t>k</w:t>
      </w:r>
      <w:r w:rsidR="009A020D">
        <w:t>l</w:t>
      </w:r>
      <w:r w:rsidR="00083A29">
        <w:t>ing</w:t>
      </w:r>
      <w:r w:rsidR="009A020D">
        <w:t xml:space="preserve"> </w:t>
      </w:r>
      <w:r w:rsidR="00083A29">
        <w:t>the topics of conflict of interest</w:t>
      </w:r>
      <w:r w:rsidR="00735313">
        <w:t xml:space="preserve">, conflict of </w:t>
      </w:r>
      <w:r w:rsidR="00735313">
        <w:lastRenderedPageBreak/>
        <w:t>commitment</w:t>
      </w:r>
      <w:r w:rsidR="00083A29">
        <w:t xml:space="preserve">, </w:t>
      </w:r>
      <w:r w:rsidR="00B15C27">
        <w:t xml:space="preserve">the nature of adjudication, </w:t>
      </w:r>
      <w:r w:rsidR="00083A29">
        <w:t xml:space="preserve">and </w:t>
      </w:r>
      <w:r w:rsidR="008D412A">
        <w:t>the place of politics in ethics, I do not believe that I have attempted to resuscitate a field in need of life support</w:t>
      </w:r>
      <w:r w:rsidR="0096439E">
        <w:t xml:space="preserve">. </w:t>
      </w:r>
      <w:r w:rsidR="008D412A">
        <w:t xml:space="preserve">I </w:t>
      </w:r>
      <w:r>
        <w:t>do</w:t>
      </w:r>
      <w:r w:rsidR="0096439E">
        <w:t>, however,</w:t>
      </w:r>
      <w:r w:rsidR="008D412A">
        <w:t xml:space="preserve"> </w:t>
      </w:r>
      <w:r w:rsidR="0096439E">
        <w:t xml:space="preserve">hope that I have contributed to its well-being because, although I reject </w:t>
      </w:r>
      <w:r w:rsidR="00B15C27">
        <w:t>his dismal diagnosis</w:t>
      </w:r>
      <w:r w:rsidR="0096439E">
        <w:t xml:space="preserve">, I believe that some of the discipline’s </w:t>
      </w:r>
      <w:r w:rsidR="008D412A">
        <w:t xml:space="preserve">theoretical and practical </w:t>
      </w:r>
      <w:r w:rsidR="00C32D06">
        <w:t>deficits</w:t>
      </w:r>
      <w:r w:rsidR="0096439E">
        <w:t xml:space="preserve"> constitute a risk to its </w:t>
      </w:r>
      <w:r w:rsidR="00463FFD">
        <w:t xml:space="preserve">current and future </w:t>
      </w:r>
      <w:r w:rsidR="0096439E">
        <w:t>practitioners</w:t>
      </w:r>
      <w:r w:rsidR="00463FFD">
        <w:t>,</w:t>
      </w:r>
      <w:r w:rsidR="0096439E">
        <w:t xml:space="preserve"> and to the parties </w:t>
      </w:r>
      <w:r w:rsidR="00B15C27">
        <w:t xml:space="preserve">that </w:t>
      </w:r>
      <w:r w:rsidR="0096439E">
        <w:t>they aim to serve</w:t>
      </w:r>
      <w:r w:rsidR="008D412A">
        <w:t xml:space="preserve">. </w:t>
      </w:r>
    </w:p>
    <w:p w14:paraId="75EEC695" w14:textId="77777777" w:rsidR="00877F9C" w:rsidRDefault="009A020D" w:rsidP="0096439E">
      <w:pPr>
        <w:spacing w:line="480" w:lineRule="auto"/>
        <w:ind w:firstLine="720"/>
      </w:pPr>
      <w:r>
        <w:t xml:space="preserve">I </w:t>
      </w:r>
      <w:r w:rsidR="00083A29">
        <w:t>have argued</w:t>
      </w:r>
      <w:r w:rsidR="00120A4B">
        <w:t xml:space="preserve"> that the work of practicing healthcare ethicists need not</w:t>
      </w:r>
      <w:r w:rsidR="008E122F">
        <w:t xml:space="preserve"> be </w:t>
      </w:r>
      <w:r w:rsidR="009E4212">
        <w:t xml:space="preserve">construed </w:t>
      </w:r>
      <w:r w:rsidR="00364AA9">
        <w:t xml:space="preserve">as </w:t>
      </w:r>
      <w:r w:rsidR="008E122F">
        <w:t>compromised and ineffectual;</w:t>
      </w:r>
      <w:r w:rsidR="00120A4B">
        <w:t xml:space="preserve"> p</w:t>
      </w:r>
      <w:r w:rsidR="008E122F">
        <w:t>oliticised and undemocratic;</w:t>
      </w:r>
      <w:r w:rsidR="00120A4B">
        <w:t xml:space="preserve"> or </w:t>
      </w:r>
      <w:r w:rsidR="0096439E">
        <w:t>ir</w:t>
      </w:r>
      <w:r w:rsidR="00634A4E">
        <w:t xml:space="preserve">redeemably </w:t>
      </w:r>
      <w:r w:rsidR="00120A4B">
        <w:t>incoherent in the context of value pluralism. Although I believe each of</w:t>
      </w:r>
      <w:r w:rsidR="003C40A2">
        <w:t xml:space="preserve"> these critiques</w:t>
      </w:r>
      <w:r w:rsidR="00120A4B">
        <w:t xml:space="preserve"> </w:t>
      </w:r>
      <w:r w:rsidR="009B6A74">
        <w:t>to be misguided</w:t>
      </w:r>
      <w:r w:rsidR="00120A4B">
        <w:t xml:space="preserve">, I </w:t>
      </w:r>
      <w:r w:rsidR="003C40A2">
        <w:t xml:space="preserve">have </w:t>
      </w:r>
      <w:r w:rsidR="008E122F">
        <w:t>acknowledge</w:t>
      </w:r>
      <w:r w:rsidR="003C40A2">
        <w:t>d</w:t>
      </w:r>
      <w:r w:rsidR="00120A4B">
        <w:t xml:space="preserve"> the </w:t>
      </w:r>
      <w:r w:rsidR="008E122F">
        <w:t>worries that may motivate them,</w:t>
      </w:r>
      <w:r w:rsidR="00634A4E">
        <w:t xml:space="preserve"> and </w:t>
      </w:r>
      <w:r w:rsidR="008E122F">
        <w:t xml:space="preserve">have attempted to render them in more </w:t>
      </w:r>
      <w:r w:rsidR="00634A4E">
        <w:t>plausible</w:t>
      </w:r>
      <w:r w:rsidR="008E122F">
        <w:t xml:space="preserve"> </w:t>
      </w:r>
      <w:r w:rsidR="00C83EDB">
        <w:t xml:space="preserve">and </w:t>
      </w:r>
      <w:r w:rsidR="00B15C27">
        <w:t xml:space="preserve">specific </w:t>
      </w:r>
      <w:r w:rsidR="008E122F">
        <w:t>form</w:t>
      </w:r>
      <w:r w:rsidR="00364AA9">
        <w:t>s</w:t>
      </w:r>
      <w:r w:rsidR="008E122F">
        <w:t xml:space="preserve"> in order to better understand their significance and </w:t>
      </w:r>
      <w:r w:rsidR="00AF0EE9">
        <w:t xml:space="preserve">to </w:t>
      </w:r>
      <w:r w:rsidR="00C32D06">
        <w:t>estimate their force</w:t>
      </w:r>
      <w:r w:rsidR="009B6A74">
        <w:t>.</w:t>
      </w:r>
    </w:p>
    <w:p w14:paraId="644530DF" w14:textId="77777777" w:rsidR="00735421" w:rsidRDefault="00735421" w:rsidP="0096439E">
      <w:pPr>
        <w:spacing w:line="480" w:lineRule="auto"/>
        <w:ind w:firstLine="720"/>
      </w:pPr>
    </w:p>
    <w:p w14:paraId="4D70C6D5" w14:textId="77777777" w:rsidR="009B6A74" w:rsidRPr="00877F9C" w:rsidRDefault="00877F9C" w:rsidP="00877F9C">
      <w:pPr>
        <w:spacing w:line="480" w:lineRule="auto"/>
        <w:rPr>
          <w:i/>
        </w:rPr>
      </w:pPr>
      <w:r>
        <w:rPr>
          <w:i/>
        </w:rPr>
        <w:t xml:space="preserve">Hard cases, </w:t>
      </w:r>
      <w:r w:rsidR="00D45C9D">
        <w:rPr>
          <w:i/>
        </w:rPr>
        <w:t>p</w:t>
      </w:r>
      <w:r>
        <w:rPr>
          <w:i/>
        </w:rPr>
        <w:t xml:space="preserve">hilosophizing, and the </w:t>
      </w:r>
      <w:r w:rsidR="00D45C9D">
        <w:rPr>
          <w:i/>
        </w:rPr>
        <w:t>p</w:t>
      </w:r>
      <w:r>
        <w:rPr>
          <w:i/>
        </w:rPr>
        <w:t xml:space="preserve">ractice of </w:t>
      </w:r>
      <w:r w:rsidRPr="00877F9C">
        <w:rPr>
          <w:i/>
        </w:rPr>
        <w:t>PHEs</w:t>
      </w:r>
      <w:r>
        <w:rPr>
          <w:i/>
        </w:rPr>
        <w:t xml:space="preserve"> </w:t>
      </w:r>
      <w:r w:rsidRPr="00877F9C">
        <w:rPr>
          <w:i/>
        </w:rPr>
        <w:t xml:space="preserve"> </w:t>
      </w:r>
      <w:r w:rsidR="00120A4B" w:rsidRPr="00877F9C">
        <w:rPr>
          <w:i/>
        </w:rPr>
        <w:t xml:space="preserve"> </w:t>
      </w:r>
    </w:p>
    <w:p w14:paraId="7A88C1D3" w14:textId="77777777" w:rsidR="00464C55" w:rsidRDefault="00463FFD" w:rsidP="00165BD7">
      <w:pPr>
        <w:spacing w:line="480" w:lineRule="auto"/>
        <w:ind w:firstLine="720"/>
      </w:pPr>
      <w:r>
        <w:t>Healthcare e</w:t>
      </w:r>
      <w:r w:rsidR="00464C55">
        <w:t xml:space="preserve">thics consultation can be demanding work, and I have introduced a typology of hard cases to illustrate </w:t>
      </w:r>
      <w:r w:rsidR="004433C2">
        <w:t xml:space="preserve">some of the reasons why </w:t>
      </w:r>
      <w:r w:rsidR="00D45BEE">
        <w:t>this can be</w:t>
      </w:r>
      <w:r>
        <w:t xml:space="preserve"> so</w:t>
      </w:r>
      <w:r w:rsidR="00464C55">
        <w:t>. Altho</w:t>
      </w:r>
      <w:r w:rsidR="00803DC5">
        <w:t xml:space="preserve">ugh the way that I use the language </w:t>
      </w:r>
      <w:r w:rsidR="00165BD7">
        <w:t>o</w:t>
      </w:r>
      <w:r w:rsidR="00803DC5">
        <w:t xml:space="preserve">f </w:t>
      </w:r>
      <w:r w:rsidR="00464C55">
        <w:t xml:space="preserve">emotive and </w:t>
      </w:r>
      <w:r w:rsidR="00803DC5">
        <w:t xml:space="preserve">morally distressing </w:t>
      </w:r>
      <w:r w:rsidR="00464C55">
        <w:t>cases is new, my hope is that the content to which they refer will have an intuitive appeal</w:t>
      </w:r>
      <w:r w:rsidR="0096439E">
        <w:t>,</w:t>
      </w:r>
      <w:r w:rsidR="00464C55">
        <w:t xml:space="preserve"> and that PHEs will recognise that there is an established literature that (although not written with them in mind) is apt and useful in sustaining resiliency and protecting independence when either</w:t>
      </w:r>
      <w:r w:rsidR="00C237D3">
        <w:t>,</w:t>
      </w:r>
      <w:r w:rsidR="00464C55">
        <w:t xml:space="preserve"> or both</w:t>
      </w:r>
      <w:r w:rsidR="00C237D3">
        <w:t>,</w:t>
      </w:r>
      <w:r w:rsidR="00464C55">
        <w:t xml:space="preserve"> are threatened by </w:t>
      </w:r>
      <w:r w:rsidR="00D45BEE">
        <w:t>a PHE’s history</w:t>
      </w:r>
      <w:r w:rsidR="00C237D3">
        <w:t xml:space="preserve"> or </w:t>
      </w:r>
      <w:r w:rsidR="00464C55">
        <w:t>disposition</w:t>
      </w:r>
      <w:r w:rsidR="00363E47">
        <w:t>,</w:t>
      </w:r>
      <w:r w:rsidR="00464C55">
        <w:t xml:space="preserve"> or the </w:t>
      </w:r>
      <w:r w:rsidR="00C237D3">
        <w:t>structures</w:t>
      </w:r>
      <w:r w:rsidR="00363E47">
        <w:t xml:space="preserve"> </w:t>
      </w:r>
      <w:r w:rsidR="00D45BEE">
        <w:t xml:space="preserve">within which she </w:t>
      </w:r>
      <w:r w:rsidR="00D45BEE">
        <w:lastRenderedPageBreak/>
        <w:t>works</w:t>
      </w:r>
      <w:r w:rsidR="00165BD7">
        <w:t xml:space="preserve">. </w:t>
      </w:r>
      <w:r w:rsidR="00464C55">
        <w:t xml:space="preserve">In addition, I have repurposed Hart’s analysis of hard cases to elucidate the features </w:t>
      </w:r>
      <w:r w:rsidR="00285082">
        <w:t xml:space="preserve">of </w:t>
      </w:r>
      <w:r w:rsidR="00D45BEE">
        <w:t>a specific type of hard case</w:t>
      </w:r>
      <w:r w:rsidR="00464C55">
        <w:t xml:space="preserve">, that is, </w:t>
      </w:r>
      <w:r w:rsidR="00D45BEE">
        <w:t>the penumbral case</w:t>
      </w:r>
      <w:r w:rsidR="00464C55">
        <w:t>, which can benefit from systematic efforts to di</w:t>
      </w:r>
      <w:r w:rsidR="00D45BEE">
        <w:t>stinguish that which is</w:t>
      </w:r>
      <w:r w:rsidR="00464C55">
        <w:t xml:space="preserve"> settled (and largely </w:t>
      </w:r>
      <w:r w:rsidR="000F42E6">
        <w:t>not open to debate</w:t>
      </w:r>
      <w:r w:rsidR="00D45BEE">
        <w:t>) from the questions which remain</w:t>
      </w:r>
      <w:r w:rsidR="00464C55">
        <w:t xml:space="preserve"> unresolved, indeterminate,</w:t>
      </w:r>
      <w:r w:rsidR="00803DC5">
        <w:t xml:space="preserve"> and</w:t>
      </w:r>
      <w:r w:rsidR="00276F0B">
        <w:t xml:space="preserve"> </w:t>
      </w:r>
      <w:r w:rsidR="00803DC5">
        <w:t>often controversial</w:t>
      </w:r>
      <w:r w:rsidR="00464C55">
        <w:t xml:space="preserve"> and in need of </w:t>
      </w:r>
      <w:r w:rsidR="00803DC5">
        <w:t xml:space="preserve">the </w:t>
      </w:r>
      <w:r w:rsidR="00464C55">
        <w:t>ethi</w:t>
      </w:r>
      <w:r w:rsidR="00803DC5">
        <w:t>cal guidance that</w:t>
      </w:r>
      <w:r w:rsidR="00285082">
        <w:t xml:space="preserve"> Kamm might describe as </w:t>
      </w:r>
      <w:r w:rsidR="00464C55">
        <w:t xml:space="preserve">philosophical </w:t>
      </w:r>
      <w:r w:rsidR="00285082">
        <w:t xml:space="preserve">in </w:t>
      </w:r>
      <w:r w:rsidR="00464C55">
        <w:t xml:space="preserve">kind. </w:t>
      </w:r>
    </w:p>
    <w:p w14:paraId="6B80C3CB" w14:textId="77777777" w:rsidR="00F07F69" w:rsidRDefault="00F07F69" w:rsidP="00165BD7">
      <w:pPr>
        <w:spacing w:line="480" w:lineRule="auto"/>
        <w:ind w:firstLine="720"/>
      </w:pPr>
    </w:p>
    <w:p w14:paraId="45E44499" w14:textId="77777777" w:rsidR="00165BD7" w:rsidRDefault="00165BD7" w:rsidP="00165BD7">
      <w:pPr>
        <w:spacing w:line="480" w:lineRule="auto"/>
      </w:pPr>
      <w:r w:rsidRPr="00F07F69">
        <w:rPr>
          <w:i/>
        </w:rPr>
        <w:t>Professionalization</w:t>
      </w:r>
      <w:r w:rsidR="00F07F69">
        <w:rPr>
          <w:i/>
        </w:rPr>
        <w:t xml:space="preserve"> and </w:t>
      </w:r>
      <w:r w:rsidR="00D45C9D">
        <w:rPr>
          <w:i/>
        </w:rPr>
        <w:t>p</w:t>
      </w:r>
      <w:r w:rsidR="00F07F69">
        <w:rPr>
          <w:i/>
        </w:rPr>
        <w:t>rofessionalization</w:t>
      </w:r>
      <w:r w:rsidRPr="00F07F69">
        <w:rPr>
          <w:i/>
        </w:rPr>
        <w:t>:</w:t>
      </w:r>
      <w:r w:rsidR="00F07F69">
        <w:rPr>
          <w:i/>
        </w:rPr>
        <w:t xml:space="preserve"> </w:t>
      </w:r>
      <w:r w:rsidR="00D45C9D">
        <w:rPr>
          <w:i/>
        </w:rPr>
        <w:t>s</w:t>
      </w:r>
      <w:r w:rsidR="00F07F69">
        <w:rPr>
          <w:i/>
        </w:rPr>
        <w:t xml:space="preserve">cepticism or </w:t>
      </w:r>
      <w:r w:rsidR="00D45C9D">
        <w:rPr>
          <w:i/>
        </w:rPr>
        <w:t>s</w:t>
      </w:r>
      <w:r w:rsidR="00F07F69">
        <w:rPr>
          <w:i/>
        </w:rPr>
        <w:t xml:space="preserve">ystemic thinking?  </w:t>
      </w:r>
      <w:r>
        <w:t xml:space="preserve">  </w:t>
      </w:r>
    </w:p>
    <w:p w14:paraId="6128732D" w14:textId="77777777" w:rsidR="005B5DC2" w:rsidRDefault="00464C55" w:rsidP="005B5DC2">
      <w:pPr>
        <w:spacing w:line="480" w:lineRule="auto"/>
        <w:ind w:firstLine="720"/>
      </w:pPr>
      <w:r>
        <w:t xml:space="preserve">I have not denied the role that a PHE’s values </w:t>
      </w:r>
      <w:r w:rsidR="00285082">
        <w:t>– including her political ideals</w:t>
      </w:r>
      <w:r>
        <w:t xml:space="preserve"> – can, and indeed must, play in </w:t>
      </w:r>
      <w:r w:rsidR="001A7482">
        <w:t>the performance of her duties. On the contrary, I have flagged the critical perspective that a fem</w:t>
      </w:r>
      <w:r w:rsidR="003B2537">
        <w:t>inist bioethics can readily supply</w:t>
      </w:r>
      <w:r w:rsidR="001A7482">
        <w:t>. Sherwin, Tronto, Walker, and others</w:t>
      </w:r>
      <w:r w:rsidR="003B2537">
        <w:t>,</w:t>
      </w:r>
      <w:r w:rsidR="001A7482">
        <w:t xml:space="preserve"> </w:t>
      </w:r>
      <w:r w:rsidR="003B2537">
        <w:t>have provided a much needed caution against complacency. They urge us</w:t>
      </w:r>
      <w:r w:rsidR="00BB6B5A">
        <w:t xml:space="preserve"> </w:t>
      </w:r>
      <w:r w:rsidR="00CB4045">
        <w:t>to question</w:t>
      </w:r>
      <w:r>
        <w:t xml:space="preserve"> settled narr</w:t>
      </w:r>
      <w:r w:rsidR="00CB4045">
        <w:t>ati</w:t>
      </w:r>
      <w:r w:rsidR="003B2537">
        <w:t xml:space="preserve">ves, and to resist </w:t>
      </w:r>
      <w:r w:rsidR="00CB4045">
        <w:t>easy answers</w:t>
      </w:r>
      <w:r w:rsidR="003B2537">
        <w:t>,</w:t>
      </w:r>
      <w:r w:rsidR="00CB4045">
        <w:t xml:space="preserve"> </w:t>
      </w:r>
      <w:r>
        <w:t xml:space="preserve">about </w:t>
      </w:r>
      <w:r w:rsidR="003B2537">
        <w:t xml:space="preserve">crucial concerns such as </w:t>
      </w:r>
      <w:r>
        <w:t>the scope of the PHE’s subject matter, the tools ava</w:t>
      </w:r>
      <w:r w:rsidR="00CB4045">
        <w:t>ilable for her analysis, and the</w:t>
      </w:r>
      <w:r>
        <w:t xml:space="preserve"> nature and extent of her responsibilities. </w:t>
      </w:r>
      <w:r w:rsidR="00CB4045">
        <w:t>Wicked problems</w:t>
      </w:r>
      <w:r w:rsidR="00375DA5">
        <w:t xml:space="preserve">, </w:t>
      </w:r>
      <w:r w:rsidR="00CB4045">
        <w:t xml:space="preserve">or </w:t>
      </w:r>
      <w:r w:rsidR="00375DA5">
        <w:t>the work</w:t>
      </w:r>
      <w:r w:rsidR="00CB4045">
        <w:t xml:space="preserve"> </w:t>
      </w:r>
      <w:r w:rsidR="00375DA5">
        <w:t xml:space="preserve">of public ethics, is a </w:t>
      </w:r>
      <w:r w:rsidR="000F42E6">
        <w:t xml:space="preserve">significant challenge </w:t>
      </w:r>
      <w:r w:rsidR="00375DA5">
        <w:t>f</w:t>
      </w:r>
      <w:r w:rsidR="000F42E6">
        <w:t>or</w:t>
      </w:r>
      <w:r w:rsidR="00375DA5">
        <w:t xml:space="preserve"> twenty-first ce</w:t>
      </w:r>
      <w:r w:rsidR="000F42E6">
        <w:t>ntury PHEs</w:t>
      </w:r>
      <w:r w:rsidR="00375DA5">
        <w:t xml:space="preserve">, and the efforts needed to tackle them </w:t>
      </w:r>
      <w:r w:rsidR="00991C4E">
        <w:t>can never</w:t>
      </w:r>
      <w:r w:rsidR="00375DA5">
        <w:t xml:space="preserve"> be purged </w:t>
      </w:r>
      <w:r w:rsidR="00126D09">
        <w:t>of politics</w:t>
      </w:r>
      <w:r w:rsidR="00F07F69">
        <w:t xml:space="preserve"> broadly-understood</w:t>
      </w:r>
      <w:r w:rsidR="00126D09">
        <w:t xml:space="preserve">. By this I mean simply </w:t>
      </w:r>
      <w:r w:rsidR="00804A43">
        <w:t xml:space="preserve">to suggest </w:t>
      </w:r>
      <w:r w:rsidR="00126D09">
        <w:t>that institutions, and the ind</w:t>
      </w:r>
      <w:r w:rsidR="001301F4">
        <w:t xml:space="preserve">ividuals they employ, are obliged </w:t>
      </w:r>
      <w:r w:rsidR="00126D09">
        <w:t xml:space="preserve">to </w:t>
      </w:r>
      <w:r w:rsidR="00804A43">
        <w:t>re-</w:t>
      </w:r>
      <w:r w:rsidR="00126D09">
        <w:t xml:space="preserve">examine </w:t>
      </w:r>
      <w:r w:rsidR="00804A43">
        <w:t>perennial</w:t>
      </w:r>
      <w:r w:rsidR="000F42E6">
        <w:t xml:space="preserve"> value-laden concern</w:t>
      </w:r>
      <w:r w:rsidR="00126D09">
        <w:t xml:space="preserve">s that are assuming </w:t>
      </w:r>
      <w:r w:rsidR="00804A43">
        <w:t>ever grea</w:t>
      </w:r>
      <w:r w:rsidR="000F42E6">
        <w:t>ter urgency. These may be expressed via</w:t>
      </w:r>
      <w:r w:rsidR="00126D09">
        <w:t xml:space="preserve"> questions such as</w:t>
      </w:r>
      <w:r w:rsidR="00804A43">
        <w:t>,</w:t>
      </w:r>
      <w:r w:rsidR="00E22D14">
        <w:t xml:space="preserve"> </w:t>
      </w:r>
      <w:r w:rsidR="00126D09">
        <w:t>Who are our clients? What</w:t>
      </w:r>
      <w:r w:rsidR="00516306">
        <w:t xml:space="preserve"> are our obligations? and, How should our healthcare systems allocate their</w:t>
      </w:r>
      <w:r w:rsidR="00CD605E">
        <w:t xml:space="preserve"> resources in </w:t>
      </w:r>
      <w:r w:rsidR="00CD605E">
        <w:lastRenderedPageBreak/>
        <w:t>light of their</w:t>
      </w:r>
      <w:r w:rsidR="00126D09">
        <w:t xml:space="preserve"> needs and </w:t>
      </w:r>
      <w:r w:rsidR="00991C4E">
        <w:t>p</w:t>
      </w:r>
      <w:r w:rsidR="00126D09">
        <w:t>references?</w:t>
      </w:r>
      <w:r w:rsidR="006542B6">
        <w:t xml:space="preserve"> </w:t>
      </w:r>
      <w:r w:rsidR="00BB6B5A">
        <w:t>Although each of th</w:t>
      </w:r>
      <w:r w:rsidR="00CD605E">
        <w:t xml:space="preserve">ese questions is controversial, and </w:t>
      </w:r>
      <w:r w:rsidR="00BB6B5A">
        <w:t xml:space="preserve">the answers they are likely to elicit complex, </w:t>
      </w:r>
      <w:r w:rsidR="00450845">
        <w:t xml:space="preserve">I have argued that </w:t>
      </w:r>
      <w:r w:rsidR="00BB6B5A">
        <w:t xml:space="preserve">the work </w:t>
      </w:r>
      <w:r w:rsidR="005B5DC2">
        <w:t xml:space="preserve">that is </w:t>
      </w:r>
      <w:r w:rsidR="00BB6B5A">
        <w:t xml:space="preserve">required to address them need not attract a sceptical </w:t>
      </w:r>
      <w:r w:rsidR="00C32D06">
        <w:t>response</w:t>
      </w:r>
      <w:r w:rsidR="005B5DC2">
        <w:t>.</w:t>
      </w:r>
    </w:p>
    <w:p w14:paraId="67D77E21" w14:textId="5180F0FA" w:rsidR="005B5DC2" w:rsidRDefault="005B5DC2" w:rsidP="005B5DC2">
      <w:pPr>
        <w:spacing w:line="480" w:lineRule="auto"/>
        <w:ind w:firstLine="720"/>
      </w:pPr>
      <w:r>
        <w:t xml:space="preserve">Progress of the professionalization of ethics has been slow, uneven, and subject to heated debate. Although the reasons for this may </w:t>
      </w:r>
      <w:r w:rsidR="00FA024A">
        <w:t xml:space="preserve">be </w:t>
      </w:r>
      <w:r>
        <w:t>best understood by anthropologists, sociologists or historians, some barriers are obvious</w:t>
      </w:r>
      <w:r w:rsidR="00E22D14">
        <w:t xml:space="preserve"> and surmountable</w:t>
      </w:r>
      <w:r>
        <w:t>, if not easily overcome. Although I have paid particular attention to the need for what Kam</w:t>
      </w:r>
      <w:r w:rsidR="00276F0B">
        <w:t xml:space="preserve">m calls “philosophizing” I have not claimed </w:t>
      </w:r>
      <w:r>
        <w:t xml:space="preserve">that the work is best done by </w:t>
      </w:r>
      <w:r w:rsidR="00BF4E97">
        <w:t>those with an entirely academic bent</w:t>
      </w:r>
      <w:r>
        <w:t xml:space="preserve">. </w:t>
      </w:r>
      <w:r w:rsidR="00BF4E97">
        <w:t>Indeed</w:t>
      </w:r>
      <w:r>
        <w:t>, I have argued that this specific feature of the work is not the largest part of the PHE’s mandate and while it is important, an</w:t>
      </w:r>
      <w:r w:rsidR="00715F40">
        <w:t>d draws on philosophical skills (</w:t>
      </w:r>
      <w:r>
        <w:t>namely r</w:t>
      </w:r>
      <w:r w:rsidR="00715F40">
        <w:t xml:space="preserve">eason giving and </w:t>
      </w:r>
      <w:r w:rsidR="004D23A6">
        <w:t>reflection</w:t>
      </w:r>
      <w:r w:rsidR="00715F40">
        <w:t xml:space="preserve">) </w:t>
      </w:r>
      <w:r>
        <w:t>these are not so esoteric that others cannot exercise them app</w:t>
      </w:r>
      <w:r w:rsidR="00E22D14">
        <w:t xml:space="preserve">ropriately and with competence </w:t>
      </w:r>
      <w:r>
        <w:t>just as ot</w:t>
      </w:r>
      <w:r w:rsidR="00E22D14">
        <w:t>her adjudicators do</w:t>
      </w:r>
      <w:r>
        <w:t>.</w:t>
      </w:r>
      <w:r w:rsidR="00081B58">
        <w:rPr>
          <w:rStyle w:val="FootnoteReference"/>
        </w:rPr>
        <w:footnoteReference w:id="208"/>
      </w:r>
      <w:r w:rsidR="00B96C77">
        <w:t xml:space="preserve"> </w:t>
      </w:r>
    </w:p>
    <w:p w14:paraId="510EB0B2" w14:textId="77777777" w:rsidR="00715F40" w:rsidRDefault="00715F40" w:rsidP="00715F40">
      <w:pPr>
        <w:spacing w:line="480" w:lineRule="auto"/>
      </w:pPr>
    </w:p>
    <w:p w14:paraId="3B9D8E68" w14:textId="77777777" w:rsidR="00715F40" w:rsidRPr="006F29E2" w:rsidRDefault="00715F40" w:rsidP="00715F40">
      <w:pPr>
        <w:spacing w:line="480" w:lineRule="auto"/>
        <w:rPr>
          <w:i/>
        </w:rPr>
      </w:pPr>
      <w:r w:rsidRPr="006F29E2">
        <w:rPr>
          <w:i/>
        </w:rPr>
        <w:t xml:space="preserve">Certification, </w:t>
      </w:r>
      <w:r w:rsidR="00D45C9D">
        <w:rPr>
          <w:i/>
        </w:rPr>
        <w:t>a</w:t>
      </w:r>
      <w:r w:rsidRPr="006F29E2">
        <w:rPr>
          <w:i/>
        </w:rPr>
        <w:t xml:space="preserve">ccreditation, and </w:t>
      </w:r>
      <w:r w:rsidR="004D098A">
        <w:rPr>
          <w:i/>
        </w:rPr>
        <w:t>p</w:t>
      </w:r>
      <w:r w:rsidRPr="006F29E2">
        <w:rPr>
          <w:i/>
        </w:rPr>
        <w:t xml:space="preserve">ublic </w:t>
      </w:r>
      <w:r w:rsidR="00D45C9D">
        <w:rPr>
          <w:i/>
        </w:rPr>
        <w:t>p</w:t>
      </w:r>
      <w:r w:rsidRPr="006F29E2">
        <w:rPr>
          <w:i/>
        </w:rPr>
        <w:t xml:space="preserve">rotection: </w:t>
      </w:r>
      <w:r w:rsidR="00407B25" w:rsidRPr="006F29E2">
        <w:rPr>
          <w:i/>
        </w:rPr>
        <w:t>McLa</w:t>
      </w:r>
      <w:r w:rsidR="00407B25">
        <w:rPr>
          <w:i/>
        </w:rPr>
        <w:t>ch</w:t>
      </w:r>
      <w:r w:rsidR="00407B25" w:rsidRPr="006F29E2">
        <w:rPr>
          <w:i/>
        </w:rPr>
        <w:t>l</w:t>
      </w:r>
      <w:r w:rsidR="00D45C9D">
        <w:rPr>
          <w:i/>
        </w:rPr>
        <w:t>i</w:t>
      </w:r>
      <w:r w:rsidR="00407B25" w:rsidRPr="006F29E2">
        <w:rPr>
          <w:i/>
        </w:rPr>
        <w:t>n</w:t>
      </w:r>
      <w:r w:rsidRPr="006F29E2">
        <w:rPr>
          <w:i/>
        </w:rPr>
        <w:t xml:space="preserve"> meets MAID  </w:t>
      </w:r>
    </w:p>
    <w:p w14:paraId="266CFB48" w14:textId="31FDBA7C" w:rsidR="00931A6C" w:rsidRDefault="006F29E2" w:rsidP="00931A6C">
      <w:pPr>
        <w:spacing w:line="480" w:lineRule="auto"/>
        <w:ind w:firstLine="720"/>
      </w:pPr>
      <w:r>
        <w:t>Critics like Scof</w:t>
      </w:r>
      <w:r w:rsidR="00925BB0">
        <w:t>ield and</w:t>
      </w:r>
      <w:r>
        <w:t xml:space="preserve"> Koch have regarded professionalization as the self-interested</w:t>
      </w:r>
      <w:r w:rsidR="00931A6C">
        <w:t xml:space="preserve"> pursuit of an é</w:t>
      </w:r>
      <w:r>
        <w:t xml:space="preserve">lite. </w:t>
      </w:r>
      <w:r w:rsidR="005A2209">
        <w:t xml:space="preserve">In the </w:t>
      </w:r>
      <w:r w:rsidR="0088425C">
        <w:t>words of the former, the defences</w:t>
      </w:r>
      <w:r w:rsidR="005A2209">
        <w:t xml:space="preserve"> of </w:t>
      </w:r>
      <w:r w:rsidR="00E22D14">
        <w:t xml:space="preserve"> clinical ethics</w:t>
      </w:r>
      <w:r w:rsidR="0088425C">
        <w:t xml:space="preserve"> are not about a practice that needs saving so much as they are attempts to “</w:t>
      </w:r>
      <w:r>
        <w:t>support th</w:t>
      </w:r>
      <w:r w:rsidR="00E22D14">
        <w:t xml:space="preserve">e way of life …[their </w:t>
      </w:r>
      <w:r w:rsidR="00251545">
        <w:t>practitioners]</w:t>
      </w:r>
      <w:r w:rsidR="0088425C">
        <w:t xml:space="preserve"> have </w:t>
      </w:r>
      <w:r>
        <w:t>grown accustomed to enjoying and the revenue-generating academic programs</w:t>
      </w:r>
      <w:r w:rsidR="00251545">
        <w:t xml:space="preserve"> </w:t>
      </w:r>
      <w:r>
        <w:t>that produce such persons.</w:t>
      </w:r>
      <w:r w:rsidR="00251545">
        <w:t>”</w:t>
      </w:r>
      <w:r w:rsidR="005A2209">
        <w:rPr>
          <w:rStyle w:val="FootnoteReference"/>
        </w:rPr>
        <w:footnoteReference w:id="209"/>
      </w:r>
      <w:r w:rsidR="001A718B">
        <w:t xml:space="preserve"> Saving the livelihood of ethicists is hardly a defensible</w:t>
      </w:r>
      <w:r w:rsidR="00867EF4">
        <w:t>,</w:t>
      </w:r>
      <w:r w:rsidR="001A718B">
        <w:t xml:space="preserve"> much less noble aim, if all (or most) of their efforts contribute little that can benefit the clients they serve</w:t>
      </w:r>
      <w:r w:rsidR="000F6CD3">
        <w:t xml:space="preserve">. </w:t>
      </w:r>
      <w:r w:rsidR="00F50AB7">
        <w:t>Fortunately, the motives of those calling for the professionalization of ethics consultation need not b</w:t>
      </w:r>
      <w:r w:rsidR="00C263FB">
        <w:t>e noble in order to achieve entirely</w:t>
      </w:r>
      <w:r w:rsidR="00F50AB7">
        <w:t xml:space="preserve"> worthy ends. Transparency, consistency, and evaluation of quality are all likely to be products of professionalization</w:t>
      </w:r>
      <w:r w:rsidR="00A4359A">
        <w:t xml:space="preserve"> and, while this may mean that the field becomes less open to the idiosyncratic interpretations of independent practitioners, the benefit to the public can more than compensat</w:t>
      </w:r>
      <w:r w:rsidR="00931A6C">
        <w:t xml:space="preserve">e for this loss. </w:t>
      </w:r>
    </w:p>
    <w:p w14:paraId="3DF0C848" w14:textId="56A152A7" w:rsidR="00F93064" w:rsidRDefault="00931A6C" w:rsidP="00F93064">
      <w:pPr>
        <w:spacing w:line="480" w:lineRule="auto"/>
        <w:ind w:firstLine="720"/>
      </w:pPr>
      <w:r>
        <w:t xml:space="preserve">The sceptical response to consultation is, as I hope that I have shown, sustained by a belief in </w:t>
      </w:r>
      <w:r w:rsidR="00925BB0">
        <w:t>the</w:t>
      </w:r>
      <w:r>
        <w:t xml:space="preserve"> imperfections </w:t>
      </w:r>
      <w:r w:rsidR="00925BB0">
        <w:t xml:space="preserve">of ethicists </w:t>
      </w:r>
      <w:r>
        <w:t xml:space="preserve">and some curious conceptions of </w:t>
      </w:r>
      <w:r w:rsidR="00226DC1">
        <w:t>influence</w:t>
      </w:r>
      <w:r w:rsidR="00925BB0">
        <w:t xml:space="preserve"> and of </w:t>
      </w:r>
      <w:r>
        <w:t>expertise.</w:t>
      </w:r>
      <w:r w:rsidR="00226DC1">
        <w:t xml:space="preserve"> As an alternative</w:t>
      </w:r>
      <w:r w:rsidR="00F93064">
        <w:t>, I h</w:t>
      </w:r>
      <w:r w:rsidR="00226DC1">
        <w:t>ave proposed</w:t>
      </w:r>
      <w:r w:rsidR="00F93064">
        <w:t xml:space="preserve"> that legal theory, especially in its efforts to understand the nature and limits of interpretation in adjudication; the relationship</w:t>
      </w:r>
      <w:r w:rsidR="00024C1B">
        <w:t xml:space="preserve"> </w:t>
      </w:r>
      <w:r w:rsidR="00F93064">
        <w:t xml:space="preserve">between law and politics; and the </w:t>
      </w:r>
      <w:r w:rsidR="00F93064">
        <w:lastRenderedPageBreak/>
        <w:t>possibility of reconciling value pluralism with democracy, provides us with a fresh way to conceive of these concerns. Although its controversies are lively</w:t>
      </w:r>
      <w:r w:rsidR="00C263FB">
        <w:t>,</w:t>
      </w:r>
      <w:r w:rsidR="00F93064">
        <w:t xml:space="preserve"> and many of its questions </w:t>
      </w:r>
      <w:r w:rsidR="00226DC1">
        <w:t xml:space="preserve">remain </w:t>
      </w:r>
      <w:r w:rsidR="00F93064">
        <w:t>unresolved, its scholars seem to acknowledge that these questions are worth</w:t>
      </w:r>
      <w:r w:rsidR="00226DC1">
        <w:t xml:space="preserve"> engaging (and western legal systems worth defending) even in the face of</w:t>
      </w:r>
      <w:r w:rsidR="00674A71">
        <w:t xml:space="preserve"> ongoing</w:t>
      </w:r>
      <w:r w:rsidR="00226DC1">
        <w:t xml:space="preserve"> academic </w:t>
      </w:r>
      <w:r w:rsidR="00674A71">
        <w:t>and political debates</w:t>
      </w:r>
      <w:r w:rsidR="00F93064">
        <w:t xml:space="preserve">.       </w:t>
      </w:r>
    </w:p>
    <w:p w14:paraId="594044CD" w14:textId="4BBEF41F" w:rsidR="00C263FB" w:rsidRDefault="009573B8" w:rsidP="00931057">
      <w:pPr>
        <w:spacing w:line="480" w:lineRule="auto"/>
        <w:ind w:firstLine="720"/>
      </w:pPr>
      <w:r>
        <w:t>PHE McLachl</w:t>
      </w:r>
      <w:r w:rsidR="004B02AD">
        <w:t>i</w:t>
      </w:r>
      <w:r>
        <w:t>n, has been introduced as a model of a realistic rather than idealistic kind.</w:t>
      </w:r>
      <w:r w:rsidR="00C263FB">
        <w:t xml:space="preserve"> Her skills, knowledge, and </w:t>
      </w:r>
      <w:r w:rsidR="00E230EB">
        <w:t xml:space="preserve">perhaps even </w:t>
      </w:r>
      <w:r w:rsidR="00ED1F3D">
        <w:t xml:space="preserve">what the Core </w:t>
      </w:r>
      <w:r w:rsidR="00E230EB">
        <w:t>Competencies document refers to as</w:t>
      </w:r>
      <w:r w:rsidR="00C263FB">
        <w:t xml:space="preserve"> attributes, are assumed to be teach</w:t>
      </w:r>
      <w:r w:rsidR="00E230EB">
        <w:t xml:space="preserve">able and amenable to evaluation through well-designed training programs that supplement the would-be consultant’s academic background with clinical experiences </w:t>
      </w:r>
      <w:r w:rsidR="00FE0399">
        <w:t>tailored specifically to the PHE’s responsibilities.</w:t>
      </w:r>
      <w:r w:rsidR="004952DE">
        <w:t xml:space="preserve"> An appropriately tailored training and mentorship program</w:t>
      </w:r>
      <w:r w:rsidR="00845302">
        <w:t>,</w:t>
      </w:r>
      <w:r w:rsidR="009324DC">
        <w:t xml:space="preserve"> </w:t>
      </w:r>
      <w:r w:rsidR="004952DE">
        <w:t xml:space="preserve">or the establishment of a regulatory </w:t>
      </w:r>
      <w:r w:rsidR="00845302">
        <w:t xml:space="preserve">college, </w:t>
      </w:r>
      <w:r w:rsidR="009324DC">
        <w:t xml:space="preserve">may not provide the guarantee of quality </w:t>
      </w:r>
      <w:r w:rsidR="00845302">
        <w:t xml:space="preserve">or transparency </w:t>
      </w:r>
      <w:r w:rsidR="009324DC">
        <w:t>that can be provide</w:t>
      </w:r>
      <w:r w:rsidR="00845302">
        <w:t>d</w:t>
      </w:r>
      <w:r w:rsidR="009324DC">
        <w:t xml:space="preserve"> by an open court, or </w:t>
      </w:r>
      <w:r w:rsidR="004D23A6">
        <w:t xml:space="preserve">of </w:t>
      </w:r>
      <w:r w:rsidR="009324DC">
        <w:t>a Supreme Court record</w:t>
      </w:r>
      <w:r w:rsidR="00777D5E">
        <w:t>,</w:t>
      </w:r>
      <w:r w:rsidR="009324DC">
        <w:t xml:space="preserve"> but it is also important to accept when the legal analogy runs out. PHE McLachlin is not always, or primarily, an adjudicator and her </w:t>
      </w:r>
      <w:r w:rsidR="00F93EB1">
        <w:t>recommendations (on the occasions when they are offered)</w:t>
      </w:r>
      <w:r w:rsidR="009324DC">
        <w:t xml:space="preserve"> </w:t>
      </w:r>
      <w:r w:rsidR="00F93EB1">
        <w:t>are</w:t>
      </w:r>
      <w:r w:rsidR="009324DC">
        <w:t xml:space="preserve"> not equivalent </w:t>
      </w:r>
      <w:r w:rsidR="00F93EB1">
        <w:t xml:space="preserve">in impact to </w:t>
      </w:r>
      <w:r w:rsidR="009324DC">
        <w:t>a binding judgement</w:t>
      </w:r>
      <w:r w:rsidR="00F93EB1">
        <w:t xml:space="preserve"> even though they may on occasion </w:t>
      </w:r>
      <w:r w:rsidR="004D23A6">
        <w:t>have</w:t>
      </w:r>
      <w:r w:rsidR="00F93EB1">
        <w:t xml:space="preserve"> significant local influence or exert force that is akin to local precedent</w:t>
      </w:r>
      <w:r w:rsidR="009324DC">
        <w:t>.</w:t>
      </w:r>
    </w:p>
    <w:p w14:paraId="119C53BA" w14:textId="03C936D8" w:rsidR="00F93EB1" w:rsidRDefault="00C263FB" w:rsidP="00C263FB">
      <w:pPr>
        <w:spacing w:line="480" w:lineRule="auto"/>
        <w:ind w:firstLine="720"/>
      </w:pPr>
      <w:r>
        <w:t>Left un</w:t>
      </w:r>
      <w:r w:rsidR="007B31BF">
        <w:t>answered</w:t>
      </w:r>
      <w:r>
        <w:t xml:space="preserve"> </w:t>
      </w:r>
      <w:r w:rsidR="007B31BF">
        <w:t>by</w:t>
      </w:r>
      <w:r w:rsidR="00F93EB1">
        <w:t xml:space="preserve"> this </w:t>
      </w:r>
      <w:r w:rsidR="007B31BF">
        <w:t>dissertation</w:t>
      </w:r>
      <w:r w:rsidR="00F93EB1">
        <w:t xml:space="preserve"> </w:t>
      </w:r>
      <w:r>
        <w:t xml:space="preserve">are </w:t>
      </w:r>
      <w:r w:rsidR="00F93EB1">
        <w:t xml:space="preserve">a number of </w:t>
      </w:r>
      <w:r>
        <w:t>pressing issues that are ripe for sustained attention: the lack of socio-economic and cultural diversity in the discipline, the place of advocacy</w:t>
      </w:r>
      <w:r w:rsidR="00845302">
        <w:t xml:space="preserve"> in response to perceived injustices</w:t>
      </w:r>
      <w:r w:rsidR="00D04648">
        <w:t xml:space="preserve"> (</w:t>
      </w:r>
      <w:r w:rsidR="0085293F">
        <w:t xml:space="preserve">which may be a part of </w:t>
      </w:r>
      <w:r w:rsidR="00D04648">
        <w:t>the project of public ethics as Sherwin describes it)</w:t>
      </w:r>
      <w:r>
        <w:t xml:space="preserve">, and the </w:t>
      </w:r>
      <w:r>
        <w:lastRenderedPageBreak/>
        <w:t>protections (</w:t>
      </w:r>
      <w:r w:rsidR="00D04648">
        <w:t>which may include</w:t>
      </w:r>
      <w:r>
        <w:t xml:space="preserve"> academic </w:t>
      </w:r>
      <w:r w:rsidR="00F93EB1">
        <w:t xml:space="preserve">freedom) that would render the topics that I have </w:t>
      </w:r>
      <w:r w:rsidR="007B31BF">
        <w:t>raised</w:t>
      </w:r>
      <w:r w:rsidR="00F93EB1">
        <w:t xml:space="preserve">, as well as </w:t>
      </w:r>
      <w:r>
        <w:t>other controversial</w:t>
      </w:r>
      <w:r w:rsidR="00F93EB1">
        <w:t xml:space="preserve"> issues</w:t>
      </w:r>
      <w:r w:rsidR="00845302">
        <w:t>,</w:t>
      </w:r>
      <w:r>
        <w:t xml:space="preserve"> safer to </w:t>
      </w:r>
      <w:r w:rsidR="00845302">
        <w:t xml:space="preserve">surface and to </w:t>
      </w:r>
      <w:r>
        <w:t>address.</w:t>
      </w:r>
    </w:p>
    <w:p w14:paraId="3544C596" w14:textId="2DAC21DD" w:rsidR="00483843" w:rsidRDefault="00F93EB1" w:rsidP="00483843">
      <w:pPr>
        <w:spacing w:line="480" w:lineRule="auto"/>
        <w:ind w:firstLine="720"/>
      </w:pPr>
      <w:r>
        <w:t>As McLachlin meets MAID</w:t>
      </w:r>
      <w:r w:rsidR="00845302">
        <w:t>,</w:t>
      </w:r>
      <w:r>
        <w:t xml:space="preserve"> and </w:t>
      </w:r>
      <w:r w:rsidR="002F294B">
        <w:t xml:space="preserve">the other </w:t>
      </w:r>
      <w:r w:rsidR="00483843">
        <w:t xml:space="preserve">pressing </w:t>
      </w:r>
      <w:r w:rsidR="002F294B">
        <w:t xml:space="preserve">ethical issues of our time, I believe that she needs </w:t>
      </w:r>
      <w:r w:rsidR="00E46C0B">
        <w:t xml:space="preserve">all of </w:t>
      </w:r>
      <w:r w:rsidR="002F294B">
        <w:t xml:space="preserve">the support </w:t>
      </w:r>
      <w:r w:rsidR="00845302">
        <w:t xml:space="preserve">and guidance </w:t>
      </w:r>
      <w:r w:rsidR="002F294B">
        <w:t>that professionalization can provide.</w:t>
      </w:r>
      <w:r w:rsidR="00C263FB">
        <w:t xml:space="preserve"> </w:t>
      </w:r>
      <w:r w:rsidR="00845302">
        <w:t>This project has not been presented as a roadmap to professionalization</w:t>
      </w:r>
      <w:r w:rsidR="00483843">
        <w:t>,</w:t>
      </w:r>
      <w:r w:rsidR="00845302">
        <w:t xml:space="preserve"> but </w:t>
      </w:r>
      <w:r w:rsidR="000A4F13">
        <w:t xml:space="preserve">it is hoped that it offers </w:t>
      </w:r>
      <w:r w:rsidR="00E70E8A">
        <w:t xml:space="preserve">fresh reasons for thinking </w:t>
      </w:r>
      <w:r w:rsidR="00483843">
        <w:t xml:space="preserve">that </w:t>
      </w:r>
      <w:r w:rsidR="00E70E8A">
        <w:t xml:space="preserve">the journey </w:t>
      </w:r>
      <w:r w:rsidR="00483843">
        <w:t xml:space="preserve">is </w:t>
      </w:r>
      <w:r w:rsidR="00A913F8">
        <w:t>well worth taking</w:t>
      </w:r>
      <w:r w:rsidR="000A4F13">
        <w:t xml:space="preserve"> and </w:t>
      </w:r>
      <w:r w:rsidR="00483843">
        <w:t xml:space="preserve">that </w:t>
      </w:r>
      <w:r w:rsidR="000A4F13">
        <w:t xml:space="preserve">some of its barriers </w:t>
      </w:r>
      <w:r w:rsidR="00A913F8">
        <w:t>are (</w:t>
      </w:r>
      <w:r w:rsidR="000A4F13">
        <w:t>relatively</w:t>
      </w:r>
      <w:r w:rsidR="00A913F8">
        <w:t>)</w:t>
      </w:r>
      <w:r w:rsidR="000A4F13">
        <w:t xml:space="preserve"> easy to overcome</w:t>
      </w:r>
      <w:r w:rsidR="00E70E8A">
        <w:t>.</w:t>
      </w:r>
      <w:r w:rsidR="00F93064">
        <w:t xml:space="preserve">  </w:t>
      </w:r>
    </w:p>
    <w:p w14:paraId="3F9BD4FB" w14:textId="50698170" w:rsidR="0031760D" w:rsidRDefault="0031760D" w:rsidP="00483843">
      <w:pPr>
        <w:spacing w:line="480" w:lineRule="auto"/>
        <w:ind w:firstLine="720"/>
      </w:pPr>
    </w:p>
    <w:p w14:paraId="2A5CDC1E" w14:textId="7A5F689B" w:rsidR="000B603C" w:rsidRDefault="00483843" w:rsidP="00483843">
      <w:r>
        <w:br w:type="page"/>
      </w:r>
    </w:p>
    <w:p w14:paraId="47752F75" w14:textId="77777777" w:rsidR="004B20CB" w:rsidRDefault="003F0D66" w:rsidP="004B20CB">
      <w:pPr>
        <w:pStyle w:val="Heading3"/>
        <w:spacing w:line="480" w:lineRule="auto"/>
        <w:jc w:val="center"/>
        <w:rPr>
          <w:rFonts w:ascii="Times New Roman" w:eastAsia="Times New Roman" w:hAnsi="Times New Roman" w:cs="Times New Roman"/>
          <w:sz w:val="24"/>
          <w:szCs w:val="24"/>
          <w:u w:val="none"/>
          <w:lang w:val="en-GB"/>
        </w:rPr>
      </w:pPr>
      <w:r>
        <w:rPr>
          <w:rFonts w:ascii="Times New Roman" w:eastAsia="Times New Roman" w:hAnsi="Times New Roman" w:cs="Times New Roman"/>
          <w:sz w:val="24"/>
          <w:szCs w:val="24"/>
          <w:u w:val="none"/>
          <w:lang w:val="en-GB"/>
        </w:rPr>
        <w:lastRenderedPageBreak/>
        <w:t>Bibliography</w:t>
      </w:r>
    </w:p>
    <w:p w14:paraId="75AA7D0F" w14:textId="77777777" w:rsidR="00AF17BF" w:rsidRDefault="001B7B1F" w:rsidP="00AF17BF">
      <w:pPr>
        <w:pStyle w:val="Heading3"/>
        <w:spacing w:after="0" w:line="240" w:lineRule="auto"/>
        <w:rPr>
          <w:rFonts w:ascii="Times New Roman" w:eastAsia="Times New Roman" w:hAnsi="Times New Roman" w:cs="Times New Roman"/>
          <w:sz w:val="24"/>
          <w:szCs w:val="24"/>
          <w:u w:val="none"/>
          <w:lang w:val="en-GB"/>
        </w:rPr>
      </w:pPr>
      <w:r w:rsidRPr="00AF17BF">
        <w:rPr>
          <w:rFonts w:ascii="Times New Roman" w:eastAsia="Times New Roman" w:hAnsi="Times New Roman" w:cs="Times New Roman"/>
          <w:i/>
          <w:sz w:val="24"/>
          <w:szCs w:val="24"/>
          <w:u w:val="none"/>
          <w:lang w:val="en-GB"/>
        </w:rPr>
        <w:t>A.B. vs Canada</w:t>
      </w:r>
      <w:r>
        <w:rPr>
          <w:rFonts w:ascii="Times New Roman" w:eastAsia="Times New Roman" w:hAnsi="Times New Roman" w:cs="Times New Roman"/>
          <w:sz w:val="24"/>
          <w:szCs w:val="24"/>
          <w:u w:val="none"/>
          <w:lang w:val="en-GB"/>
        </w:rPr>
        <w:t xml:space="preserve"> (Attorney General) 2017 ONSC 3759.</w:t>
      </w:r>
      <w:r w:rsidR="00AF17BF">
        <w:rPr>
          <w:rFonts w:ascii="Times New Roman" w:eastAsia="Times New Roman" w:hAnsi="Times New Roman" w:cs="Times New Roman"/>
          <w:sz w:val="24"/>
          <w:szCs w:val="24"/>
          <w:u w:val="none"/>
          <w:lang w:val="en-GB"/>
        </w:rPr>
        <w:t xml:space="preserve"> Accessed: 8 February</w:t>
      </w:r>
    </w:p>
    <w:p w14:paraId="288C9552" w14:textId="77777777" w:rsidR="001B7B1F" w:rsidRDefault="00AF17BF" w:rsidP="00AF17BF">
      <w:pPr>
        <w:pStyle w:val="Heading3"/>
        <w:spacing w:after="0" w:line="240" w:lineRule="auto"/>
        <w:ind w:firstLine="720"/>
        <w:rPr>
          <w:rFonts w:ascii="Times New Roman" w:eastAsia="Times New Roman" w:hAnsi="Times New Roman" w:cs="Times New Roman"/>
          <w:sz w:val="24"/>
          <w:szCs w:val="24"/>
          <w:u w:val="none"/>
          <w:lang w:val="en-GB"/>
        </w:rPr>
      </w:pPr>
      <w:r>
        <w:rPr>
          <w:rFonts w:ascii="Times New Roman" w:eastAsia="Times New Roman" w:hAnsi="Times New Roman" w:cs="Times New Roman"/>
          <w:sz w:val="24"/>
          <w:szCs w:val="24"/>
          <w:u w:val="none"/>
          <w:lang w:val="en-GB"/>
        </w:rPr>
        <w:t xml:space="preserve">2019. </w:t>
      </w:r>
      <w:hyperlink r:id="rId10" w:history="1">
        <w:r w:rsidRPr="007A7658">
          <w:rPr>
            <w:rStyle w:val="Hyperlink"/>
            <w:rFonts w:ascii="Times New Roman" w:eastAsia="Times New Roman" w:hAnsi="Times New Roman" w:cs="Times New Roman"/>
            <w:sz w:val="24"/>
            <w:szCs w:val="24"/>
            <w:lang w:val="en-GB"/>
          </w:rPr>
          <w:t>http://eol.law.dal.ca/wp-</w:t>
        </w:r>
      </w:hyperlink>
      <w:r>
        <w:rPr>
          <w:rFonts w:ascii="Times New Roman" w:eastAsia="Times New Roman" w:hAnsi="Times New Roman" w:cs="Times New Roman"/>
          <w:sz w:val="24"/>
          <w:szCs w:val="24"/>
          <w:u w:val="none"/>
          <w:lang w:val="en-GB"/>
        </w:rPr>
        <w:tab/>
      </w:r>
      <w:r w:rsidRPr="00AF17BF">
        <w:rPr>
          <w:rFonts w:ascii="Times New Roman" w:eastAsia="Times New Roman" w:hAnsi="Times New Roman" w:cs="Times New Roman"/>
          <w:sz w:val="24"/>
          <w:szCs w:val="24"/>
          <w:u w:val="none"/>
          <w:lang w:val="en-GB"/>
        </w:rPr>
        <w:t>content/uploads/2017/06/20170619152447518.pdf</w:t>
      </w:r>
      <w:r>
        <w:rPr>
          <w:rFonts w:ascii="Times New Roman" w:eastAsia="Times New Roman" w:hAnsi="Times New Roman" w:cs="Times New Roman"/>
          <w:sz w:val="24"/>
          <w:szCs w:val="24"/>
          <w:u w:val="none"/>
          <w:lang w:val="en-GB"/>
        </w:rPr>
        <w:t>.</w:t>
      </w:r>
    </w:p>
    <w:p w14:paraId="344941C8" w14:textId="77777777" w:rsidR="00AF17BF" w:rsidRPr="004B20CB" w:rsidRDefault="00AF17BF" w:rsidP="00AF17BF">
      <w:pPr>
        <w:pStyle w:val="Heading3"/>
        <w:spacing w:after="0" w:line="240" w:lineRule="auto"/>
        <w:ind w:firstLine="720"/>
        <w:rPr>
          <w:rFonts w:ascii="Times New Roman" w:eastAsia="Times New Roman" w:hAnsi="Times New Roman" w:cs="Times New Roman"/>
          <w:sz w:val="24"/>
          <w:szCs w:val="24"/>
          <w:u w:val="none"/>
          <w:lang w:val="en-GB"/>
        </w:rPr>
      </w:pPr>
    </w:p>
    <w:p w14:paraId="796D6B12" w14:textId="77777777" w:rsidR="004B20CB" w:rsidRDefault="00E83781" w:rsidP="004B20CB">
      <w:pPr>
        <w:widowControl w:val="0"/>
      </w:pPr>
      <w:r w:rsidRPr="00E83781">
        <w:t>Abdool, Rosalind</w:t>
      </w:r>
      <w:r>
        <w:t>,</w:t>
      </w:r>
      <w:r w:rsidRPr="00E83781">
        <w:t xml:space="preserve"> Michael Szego, Daniel Buchman, Leah Justason, </w:t>
      </w:r>
      <w:r w:rsidR="004B20CB">
        <w:t>Sally Bean,</w:t>
      </w:r>
    </w:p>
    <w:p w14:paraId="75B19470" w14:textId="77777777" w:rsidR="00E83781" w:rsidRDefault="00E83781" w:rsidP="004B20CB">
      <w:pPr>
        <w:widowControl w:val="0"/>
        <w:ind w:left="720"/>
      </w:pPr>
      <w:r w:rsidRPr="00E83781">
        <w:t>Ann Heesters, Hannah K</w:t>
      </w:r>
      <w:r>
        <w:t>aufman, Bob P</w:t>
      </w:r>
      <w:r w:rsidR="004B20CB">
        <w:t xml:space="preserve">arke, Frank Wagner </w:t>
      </w:r>
      <w:r>
        <w:t>and</w:t>
      </w:r>
      <w:r w:rsidRPr="00E83781">
        <w:t xml:space="preserve"> Jennifer Gibson. </w:t>
      </w:r>
      <w:r w:rsidR="000D1D80">
        <w:t>“Difficult Healthcare Transitions: Ethical Analysis and Policy R</w:t>
      </w:r>
      <w:r>
        <w:t>ec</w:t>
      </w:r>
      <w:r w:rsidR="000D1D80">
        <w:t>ommendations for Unrepresented P</w:t>
      </w:r>
      <w:r>
        <w:t xml:space="preserve">atients.” </w:t>
      </w:r>
      <w:r w:rsidRPr="004B20CB">
        <w:rPr>
          <w:i/>
        </w:rPr>
        <w:t>Nursing Ethics</w:t>
      </w:r>
      <w:r>
        <w:t xml:space="preserve"> </w:t>
      </w:r>
      <w:r w:rsidR="00F45602">
        <w:t>23, no.7 (November 2016):</w:t>
      </w:r>
      <w:r w:rsidR="00D04648">
        <w:t xml:space="preserve"> </w:t>
      </w:r>
      <w:r w:rsidR="00F45602">
        <w:t xml:space="preserve">770-783. </w:t>
      </w:r>
    </w:p>
    <w:p w14:paraId="3898731E" w14:textId="77777777" w:rsidR="000D0ECA" w:rsidRDefault="000D0ECA" w:rsidP="000D0ECA">
      <w:pPr>
        <w:widowControl w:val="0"/>
        <w:ind w:firstLine="720"/>
      </w:pPr>
    </w:p>
    <w:p w14:paraId="4B850510" w14:textId="77777777" w:rsidR="004B20CB" w:rsidRDefault="000D1D80" w:rsidP="004B20CB">
      <w:pPr>
        <w:widowControl w:val="0"/>
      </w:pPr>
      <w:r>
        <w:t>Ackerman, Terrence F. "Medical Ethics and the T</w:t>
      </w:r>
      <w:r w:rsidR="0003773E">
        <w:t>wo D</w:t>
      </w:r>
      <w:r w:rsidR="006A73A5" w:rsidRPr="002F490A">
        <w:t>ogmas o</w:t>
      </w:r>
      <w:r>
        <w:t>f L</w:t>
      </w:r>
      <w:r w:rsidR="006A73A5" w:rsidRPr="002F490A">
        <w:t>iberalism."</w:t>
      </w:r>
    </w:p>
    <w:p w14:paraId="4920155F" w14:textId="77777777" w:rsidR="000507AF" w:rsidRDefault="006A73A5" w:rsidP="004B20CB">
      <w:pPr>
        <w:widowControl w:val="0"/>
        <w:ind w:firstLine="720"/>
      </w:pPr>
      <w:r w:rsidRPr="000D0ECA">
        <w:rPr>
          <w:i/>
          <w:iCs/>
        </w:rPr>
        <w:t>Theoretical Medicine</w:t>
      </w:r>
      <w:r w:rsidRPr="002F490A">
        <w:t xml:space="preserve"> 5</w:t>
      </w:r>
      <w:r w:rsidR="00F45602">
        <w:t>, no</w:t>
      </w:r>
      <w:r w:rsidRPr="002F490A">
        <w:t xml:space="preserve">.1 (1984): 69-81. </w:t>
      </w:r>
    </w:p>
    <w:p w14:paraId="6EE0C031" w14:textId="77777777" w:rsidR="000D0ECA" w:rsidRPr="006A73A5" w:rsidRDefault="000D0ECA" w:rsidP="000D0ECA">
      <w:pPr>
        <w:widowControl w:val="0"/>
      </w:pPr>
    </w:p>
    <w:p w14:paraId="3F39FA1B" w14:textId="77777777" w:rsidR="00C32E2A" w:rsidRDefault="006A73A5" w:rsidP="003F0D66">
      <w:pPr>
        <w:widowControl w:val="0"/>
        <w:ind w:left="800" w:hanging="800"/>
      </w:pPr>
      <w:r w:rsidRPr="002F490A">
        <w:t xml:space="preserve">Adams, DM. </w:t>
      </w:r>
      <w:r w:rsidR="00BC6696" w:rsidRPr="000D1D80">
        <w:t>“</w:t>
      </w:r>
      <w:r w:rsidR="000D1D80" w:rsidRPr="000D1D80">
        <w:rPr>
          <w:iCs/>
        </w:rPr>
        <w:t>Ethics Expertise and Moral Authority: Is There a D</w:t>
      </w:r>
      <w:r w:rsidRPr="000D1D80">
        <w:rPr>
          <w:iCs/>
        </w:rPr>
        <w:t>ifference</w:t>
      </w:r>
      <w:r w:rsidRPr="00BC6696">
        <w:rPr>
          <w:i/>
          <w:iCs/>
        </w:rPr>
        <w:t>?</w:t>
      </w:r>
      <w:r w:rsidR="00BC6696" w:rsidRPr="00BC6696">
        <w:rPr>
          <w:i/>
          <w:iCs/>
        </w:rPr>
        <w:t>”</w:t>
      </w:r>
      <w:r w:rsidRPr="002F490A">
        <w:t xml:space="preserve"> </w:t>
      </w:r>
      <w:r w:rsidR="00BC6696" w:rsidRPr="00BC6696">
        <w:rPr>
          <w:i/>
        </w:rPr>
        <w:t>American Journal of Bioethics.</w:t>
      </w:r>
      <w:r w:rsidR="00BC6696" w:rsidRPr="00BC6696">
        <w:t xml:space="preserve"> </w:t>
      </w:r>
      <w:r w:rsidR="004B20CB">
        <w:t xml:space="preserve">13.2 (2013): 27-8. </w:t>
      </w:r>
    </w:p>
    <w:p w14:paraId="2E3CC3A3" w14:textId="77777777" w:rsidR="000507AF" w:rsidRPr="006A73A5" w:rsidRDefault="000507AF" w:rsidP="003F0D66">
      <w:pPr>
        <w:widowControl w:val="0"/>
        <w:ind w:left="800" w:hanging="800"/>
      </w:pPr>
    </w:p>
    <w:p w14:paraId="6C2A1848" w14:textId="77777777" w:rsidR="00C32E2A" w:rsidRDefault="006A73A5" w:rsidP="003F0D66">
      <w:pPr>
        <w:widowControl w:val="0"/>
        <w:ind w:left="800" w:hanging="800"/>
      </w:pPr>
      <w:r w:rsidRPr="002F490A">
        <w:t>Agich, George J.</w:t>
      </w:r>
      <w:r w:rsidR="000D1D80">
        <w:t xml:space="preserve"> "Expertise in Clinical Ethics C</w:t>
      </w:r>
      <w:r w:rsidRPr="002F490A">
        <w:t xml:space="preserve">onsultation." </w:t>
      </w:r>
      <w:r w:rsidRPr="002F490A">
        <w:rPr>
          <w:i/>
          <w:iCs/>
        </w:rPr>
        <w:t>HEC Forum</w:t>
      </w:r>
      <w:r w:rsidR="004B20CB">
        <w:t xml:space="preserve"> 6.6 (1994): 379-383. </w:t>
      </w:r>
    </w:p>
    <w:p w14:paraId="25F27AB8" w14:textId="77777777" w:rsidR="000507AF" w:rsidRPr="006A73A5" w:rsidRDefault="000507AF" w:rsidP="003F0D66">
      <w:pPr>
        <w:widowControl w:val="0"/>
        <w:ind w:left="800" w:hanging="800"/>
      </w:pPr>
    </w:p>
    <w:p w14:paraId="625AA25C" w14:textId="77777777" w:rsidR="00C32E2A" w:rsidRPr="006A73A5" w:rsidRDefault="000D1D80" w:rsidP="003F0D66">
      <w:pPr>
        <w:widowControl w:val="0"/>
        <w:ind w:left="800" w:hanging="800"/>
      </w:pPr>
      <w:r>
        <w:t>Andereck, William S. "The Clinical Ethics Consultant: Verifying the Qualifications of a New Type of Practitioner in a Community H</w:t>
      </w:r>
      <w:r w:rsidR="006A73A5" w:rsidRPr="002F490A">
        <w:t xml:space="preserve">ospital." </w:t>
      </w:r>
      <w:r w:rsidR="006A73A5" w:rsidRPr="002F490A">
        <w:rPr>
          <w:i/>
          <w:iCs/>
        </w:rPr>
        <w:t>Journal of Healthcare Management</w:t>
      </w:r>
      <w:r w:rsidR="00DE692D">
        <w:t xml:space="preserve"> 57.4 (2012): 264-273. </w:t>
      </w:r>
    </w:p>
    <w:p w14:paraId="4A138222" w14:textId="77777777" w:rsidR="000507AF" w:rsidRDefault="000507AF" w:rsidP="003F0D66">
      <w:pPr>
        <w:widowControl w:val="0"/>
        <w:ind w:left="800" w:hanging="800"/>
      </w:pPr>
    </w:p>
    <w:p w14:paraId="24BDF018" w14:textId="77777777" w:rsidR="007470D7" w:rsidRPr="00E14FFD" w:rsidRDefault="006A73A5" w:rsidP="003F0D66">
      <w:pPr>
        <w:widowControl w:val="0"/>
        <w:ind w:left="800" w:hanging="800"/>
      </w:pPr>
      <w:r w:rsidRPr="002F490A">
        <w:t xml:space="preserve">Andre, Judith. </w:t>
      </w:r>
      <w:r w:rsidR="00BC6696">
        <w:rPr>
          <w:i/>
          <w:iCs/>
        </w:rPr>
        <w:t>Bioethics as P</w:t>
      </w:r>
      <w:r w:rsidRPr="002F490A">
        <w:rPr>
          <w:i/>
          <w:iCs/>
        </w:rPr>
        <w:t>ractice</w:t>
      </w:r>
      <w:r w:rsidRPr="002F490A">
        <w:t>. Chapel Hill: University of No</w:t>
      </w:r>
      <w:r w:rsidR="00DE692D">
        <w:t>rth Carolina Press, 2002.</w:t>
      </w:r>
    </w:p>
    <w:p w14:paraId="69741C9A" w14:textId="7776D45D" w:rsidR="00C32E2A" w:rsidRPr="007F0263" w:rsidRDefault="00DE692D" w:rsidP="003F0D66">
      <w:pPr>
        <w:widowControl w:val="0"/>
        <w:ind w:left="800" w:hanging="800"/>
      </w:pPr>
      <w:r w:rsidRPr="007F0263">
        <w:t xml:space="preserve"> </w:t>
      </w:r>
    </w:p>
    <w:p w14:paraId="0D64E507" w14:textId="77777777" w:rsidR="00611453" w:rsidRDefault="007470D7" w:rsidP="007C553C">
      <w:pPr>
        <w:pStyle w:val="FootnoteText"/>
      </w:pPr>
      <w:r w:rsidRPr="004A7C61">
        <w:t xml:space="preserve">Angrist, Misha. </w:t>
      </w:r>
      <w:r w:rsidR="00611453" w:rsidRPr="004A7C61">
        <w:t>“</w:t>
      </w:r>
      <w:r w:rsidRPr="007C553C">
        <w:t xml:space="preserve">A Conversation with writer and troublemaker Carl Elliott,” </w:t>
      </w:r>
    </w:p>
    <w:p w14:paraId="2AD093BF" w14:textId="2A68A683" w:rsidR="007470D7" w:rsidRPr="007C553C" w:rsidRDefault="00611453" w:rsidP="007C553C">
      <w:pPr>
        <w:pStyle w:val="FootnoteText"/>
      </w:pPr>
      <w:r>
        <w:tab/>
      </w:r>
      <w:r w:rsidRPr="007C553C">
        <w:t xml:space="preserve">Part I, </w:t>
      </w:r>
      <w:r w:rsidRPr="007C553C">
        <w:rPr>
          <w:i/>
        </w:rPr>
        <w:t>PLOS Medicine/GenomeBoy</w:t>
      </w:r>
      <w:r>
        <w:t xml:space="preserve"> (12.02.2011). O</w:t>
      </w:r>
      <w:r w:rsidRPr="00E14FFD">
        <w:t>nline</w:t>
      </w:r>
      <w:r>
        <w:tab/>
      </w:r>
      <w:hyperlink r:id="rId11" w:history="1">
        <w:r w:rsidRPr="007C553C">
          <w:rPr>
            <w:rStyle w:val="Hyperlink"/>
          </w:rPr>
          <w:t>https://www.geneticsandsociety.org/article/conversation-writer-and-</w:t>
        </w:r>
        <w:r w:rsidRPr="00E14FFD">
          <w:rPr>
            <w:rStyle w:val="Hyperlink"/>
          </w:rPr>
          <w:tab/>
        </w:r>
        <w:r w:rsidRPr="007C553C">
          <w:rPr>
            <w:rStyle w:val="Hyperlink"/>
          </w:rPr>
          <w:t>troublemaker-carl-elliott-parts-i-ii</w:t>
        </w:r>
      </w:hyperlink>
      <w:r w:rsidR="007470D7" w:rsidRPr="007C553C">
        <w:t>. Accessed: 27 April 2018.</w:t>
      </w:r>
    </w:p>
    <w:p w14:paraId="35E3EE6A" w14:textId="77777777" w:rsidR="007470D7" w:rsidRDefault="007470D7" w:rsidP="003F0D66">
      <w:pPr>
        <w:widowControl w:val="0"/>
        <w:ind w:left="800" w:hanging="800"/>
      </w:pPr>
    </w:p>
    <w:p w14:paraId="3B046317" w14:textId="207EA746" w:rsidR="00C32E2A" w:rsidRDefault="000D1D80" w:rsidP="003F0D66">
      <w:pPr>
        <w:widowControl w:val="0"/>
        <w:ind w:left="800" w:hanging="800"/>
      </w:pPr>
      <w:r>
        <w:t>Ankeny, Rachel A. "How H</w:t>
      </w:r>
      <w:r w:rsidR="006A73A5" w:rsidRPr="002F490A">
        <w:t>istory</w:t>
      </w:r>
      <w:r>
        <w:t xml:space="preserve"> and Philosophy of Science and Medicine Could Save the Life of B</w:t>
      </w:r>
      <w:r w:rsidR="006A73A5" w:rsidRPr="002F490A">
        <w:t xml:space="preserve">ioethics." </w:t>
      </w:r>
      <w:r w:rsidR="006A73A5" w:rsidRPr="002F490A">
        <w:rPr>
          <w:i/>
          <w:iCs/>
        </w:rPr>
        <w:t>The Journal of Medicine and Philosophy</w:t>
      </w:r>
      <w:r w:rsidR="00DE692D">
        <w:t xml:space="preserve"> 28.1 (2003): 115-125. </w:t>
      </w:r>
    </w:p>
    <w:p w14:paraId="325A3662" w14:textId="77777777" w:rsidR="0065084D" w:rsidRDefault="0065084D" w:rsidP="003F0D66">
      <w:pPr>
        <w:widowControl w:val="0"/>
        <w:ind w:left="800" w:hanging="800"/>
      </w:pPr>
    </w:p>
    <w:p w14:paraId="49E51CF3" w14:textId="6B3F73EA" w:rsidR="00A557D7" w:rsidRPr="00CE11B1" w:rsidRDefault="00A557D7" w:rsidP="003F0D66">
      <w:pPr>
        <w:widowControl w:val="0"/>
        <w:ind w:left="800" w:hanging="800"/>
      </w:pPr>
      <w:r w:rsidRPr="00CE11B1">
        <w:t>Appelbaum, P.</w:t>
      </w:r>
      <w:r w:rsidRPr="00CE11B1">
        <w:rPr>
          <w:rStyle w:val="HTMLCite"/>
          <w:i w:val="0"/>
          <w:color w:val="222222"/>
          <w:shd w:val="clear" w:color="auto" w:fill="FFFFFF"/>
        </w:rPr>
        <w:t>S</w:t>
      </w:r>
      <w:r w:rsidR="00CE11B1">
        <w:rPr>
          <w:rStyle w:val="HTMLCite"/>
          <w:i w:val="0"/>
          <w:color w:val="222222"/>
          <w:shd w:val="clear" w:color="auto" w:fill="FFFFFF"/>
        </w:rPr>
        <w:t>, L</w:t>
      </w:r>
      <w:r w:rsidR="00D04648">
        <w:rPr>
          <w:rStyle w:val="HTMLCite"/>
          <w:i w:val="0"/>
          <w:color w:val="222222"/>
          <w:shd w:val="clear" w:color="auto" w:fill="FFFFFF"/>
        </w:rPr>
        <w:t>.</w:t>
      </w:r>
      <w:r w:rsidR="00CE11B1">
        <w:rPr>
          <w:rStyle w:val="HTMLCite"/>
          <w:i w:val="0"/>
          <w:color w:val="222222"/>
          <w:shd w:val="clear" w:color="auto" w:fill="FFFFFF"/>
        </w:rPr>
        <w:t xml:space="preserve"> H</w:t>
      </w:r>
      <w:r w:rsidR="00D04648">
        <w:rPr>
          <w:rStyle w:val="HTMLCite"/>
          <w:i w:val="0"/>
          <w:color w:val="222222"/>
          <w:shd w:val="clear" w:color="auto" w:fill="FFFFFF"/>
        </w:rPr>
        <w:t>.</w:t>
      </w:r>
      <w:r w:rsidR="00CE11B1">
        <w:rPr>
          <w:rStyle w:val="HTMLCite"/>
          <w:i w:val="0"/>
          <w:color w:val="222222"/>
          <w:shd w:val="clear" w:color="auto" w:fill="FFFFFF"/>
        </w:rPr>
        <w:t xml:space="preserve"> </w:t>
      </w:r>
      <w:r w:rsidRPr="00CE11B1">
        <w:rPr>
          <w:rStyle w:val="HTMLCite"/>
          <w:i w:val="0"/>
          <w:color w:val="222222"/>
          <w:shd w:val="clear" w:color="auto" w:fill="FFFFFF"/>
        </w:rPr>
        <w:t xml:space="preserve">Roth, </w:t>
      </w:r>
      <w:r w:rsidR="00CE11B1">
        <w:rPr>
          <w:rStyle w:val="HTMLCite"/>
          <w:i w:val="0"/>
          <w:color w:val="222222"/>
          <w:shd w:val="clear" w:color="auto" w:fill="FFFFFF"/>
        </w:rPr>
        <w:t>C</w:t>
      </w:r>
      <w:r w:rsidR="00D04648">
        <w:rPr>
          <w:rStyle w:val="HTMLCite"/>
          <w:i w:val="0"/>
          <w:color w:val="222222"/>
          <w:shd w:val="clear" w:color="auto" w:fill="FFFFFF"/>
        </w:rPr>
        <w:t>.</w:t>
      </w:r>
      <w:r w:rsidR="00CE11B1">
        <w:rPr>
          <w:rStyle w:val="HTMLCite"/>
          <w:i w:val="0"/>
          <w:color w:val="222222"/>
          <w:shd w:val="clear" w:color="auto" w:fill="FFFFFF"/>
        </w:rPr>
        <w:t>W</w:t>
      </w:r>
      <w:r w:rsidR="00D04648">
        <w:rPr>
          <w:rStyle w:val="HTMLCite"/>
          <w:i w:val="0"/>
          <w:color w:val="222222"/>
          <w:shd w:val="clear" w:color="auto" w:fill="FFFFFF"/>
        </w:rPr>
        <w:t>.</w:t>
      </w:r>
      <w:r w:rsidR="00CE11B1">
        <w:rPr>
          <w:rStyle w:val="HTMLCite"/>
          <w:i w:val="0"/>
          <w:color w:val="222222"/>
          <w:shd w:val="clear" w:color="auto" w:fill="FFFFFF"/>
        </w:rPr>
        <w:t xml:space="preserve"> </w:t>
      </w:r>
      <w:r w:rsidRPr="00CE11B1">
        <w:rPr>
          <w:rStyle w:val="HTMLCite"/>
          <w:i w:val="0"/>
          <w:color w:val="222222"/>
          <w:shd w:val="clear" w:color="auto" w:fill="FFFFFF"/>
        </w:rPr>
        <w:t xml:space="preserve">Lidz, </w:t>
      </w:r>
      <w:r w:rsidR="00CE11B1">
        <w:rPr>
          <w:rStyle w:val="HTMLCite"/>
          <w:i w:val="0"/>
          <w:color w:val="222222"/>
          <w:shd w:val="clear" w:color="auto" w:fill="FFFFFF"/>
        </w:rPr>
        <w:t>P</w:t>
      </w:r>
      <w:r w:rsidR="00D04648">
        <w:rPr>
          <w:rStyle w:val="HTMLCite"/>
          <w:i w:val="0"/>
          <w:color w:val="222222"/>
          <w:shd w:val="clear" w:color="auto" w:fill="FFFFFF"/>
        </w:rPr>
        <w:t>.</w:t>
      </w:r>
      <w:r w:rsidR="00CE11B1">
        <w:rPr>
          <w:rStyle w:val="HTMLCite"/>
          <w:i w:val="0"/>
          <w:color w:val="222222"/>
          <w:shd w:val="clear" w:color="auto" w:fill="FFFFFF"/>
        </w:rPr>
        <w:t xml:space="preserve"> </w:t>
      </w:r>
      <w:r w:rsidR="00CE11B1" w:rsidRPr="00CE11B1">
        <w:rPr>
          <w:rStyle w:val="HTMLCite"/>
          <w:i w:val="0"/>
          <w:color w:val="222222"/>
          <w:shd w:val="clear" w:color="auto" w:fill="FFFFFF"/>
        </w:rPr>
        <w:t>Benson</w:t>
      </w:r>
      <w:r w:rsidR="00CE11B1">
        <w:rPr>
          <w:rStyle w:val="HTMLCite"/>
          <w:i w:val="0"/>
          <w:color w:val="222222"/>
          <w:shd w:val="clear" w:color="auto" w:fill="FFFFFF"/>
        </w:rPr>
        <w:t>,</w:t>
      </w:r>
      <w:r w:rsidR="00CE11B1" w:rsidRPr="00CE11B1">
        <w:rPr>
          <w:rStyle w:val="HTMLCite"/>
          <w:i w:val="0"/>
          <w:color w:val="222222"/>
          <w:shd w:val="clear" w:color="auto" w:fill="FFFFFF"/>
        </w:rPr>
        <w:t xml:space="preserve"> and</w:t>
      </w:r>
      <w:r w:rsidR="000D1D80">
        <w:rPr>
          <w:rStyle w:val="HTMLCite"/>
          <w:i w:val="0"/>
          <w:color w:val="222222"/>
          <w:shd w:val="clear" w:color="auto" w:fill="FFFFFF"/>
        </w:rPr>
        <w:t xml:space="preserve"> W</w:t>
      </w:r>
      <w:r w:rsidR="00D04648">
        <w:rPr>
          <w:rStyle w:val="HTMLCite"/>
          <w:i w:val="0"/>
          <w:color w:val="222222"/>
          <w:shd w:val="clear" w:color="auto" w:fill="FFFFFF"/>
        </w:rPr>
        <w:t>.</w:t>
      </w:r>
      <w:r w:rsidR="000D1D80">
        <w:rPr>
          <w:rStyle w:val="HTMLCite"/>
          <w:i w:val="0"/>
          <w:color w:val="222222"/>
          <w:shd w:val="clear" w:color="auto" w:fill="FFFFFF"/>
        </w:rPr>
        <w:t xml:space="preserve"> Winslade.</w:t>
      </w:r>
      <w:r w:rsidR="003A2718">
        <w:rPr>
          <w:rStyle w:val="HTMLCite"/>
          <w:i w:val="0"/>
          <w:color w:val="222222"/>
          <w:shd w:val="clear" w:color="auto" w:fill="FFFFFF"/>
        </w:rPr>
        <w:t xml:space="preserve"> </w:t>
      </w:r>
      <w:r w:rsidR="000D1D80">
        <w:rPr>
          <w:rStyle w:val="HTMLCite"/>
          <w:i w:val="0"/>
          <w:color w:val="222222"/>
          <w:shd w:val="clear" w:color="auto" w:fill="FFFFFF"/>
        </w:rPr>
        <w:t>"False hopes and Best D</w:t>
      </w:r>
      <w:r w:rsidRPr="00CE11B1">
        <w:rPr>
          <w:rStyle w:val="HTMLCite"/>
          <w:i w:val="0"/>
          <w:color w:val="222222"/>
          <w:shd w:val="clear" w:color="auto" w:fill="FFFFFF"/>
        </w:rPr>
        <w:t xml:space="preserve">ata: Consent </w:t>
      </w:r>
      <w:r w:rsidR="000D1D80">
        <w:rPr>
          <w:rStyle w:val="HTMLCite"/>
          <w:i w:val="0"/>
          <w:color w:val="222222"/>
          <w:shd w:val="clear" w:color="auto" w:fill="FFFFFF"/>
        </w:rPr>
        <w:t>to Research and the Therapeutic M</w:t>
      </w:r>
      <w:r w:rsidR="00DE692D">
        <w:rPr>
          <w:rStyle w:val="HTMLCite"/>
          <w:i w:val="0"/>
          <w:color w:val="222222"/>
          <w:shd w:val="clear" w:color="auto" w:fill="FFFFFF"/>
        </w:rPr>
        <w:t xml:space="preserve">isconception.” </w:t>
      </w:r>
      <w:r w:rsidRPr="00CE11B1">
        <w:rPr>
          <w:rStyle w:val="HTMLCite"/>
          <w:color w:val="222222"/>
          <w:shd w:val="clear" w:color="auto" w:fill="FFFFFF"/>
        </w:rPr>
        <w:t xml:space="preserve">The Hastings Center </w:t>
      </w:r>
      <w:r w:rsidR="00CE11B1">
        <w:rPr>
          <w:rStyle w:val="HTMLCite"/>
          <w:color w:val="222222"/>
          <w:shd w:val="clear" w:color="auto" w:fill="FFFFFF"/>
        </w:rPr>
        <w:t>R</w:t>
      </w:r>
      <w:r w:rsidRPr="00CE11B1">
        <w:rPr>
          <w:rStyle w:val="HTMLCite"/>
          <w:color w:val="222222"/>
          <w:shd w:val="clear" w:color="auto" w:fill="FFFFFF"/>
        </w:rPr>
        <w:t>eport</w:t>
      </w:r>
      <w:r w:rsidRPr="00CE11B1">
        <w:rPr>
          <w:rStyle w:val="HTMLCite"/>
          <w:i w:val="0"/>
          <w:color w:val="222222"/>
          <w:shd w:val="clear" w:color="auto" w:fill="FFFFFF"/>
        </w:rPr>
        <w:t> </w:t>
      </w:r>
      <w:r w:rsidRPr="00CE11B1">
        <w:rPr>
          <w:rStyle w:val="HTMLCite"/>
          <w:bCs/>
          <w:i w:val="0"/>
          <w:color w:val="222222"/>
          <w:shd w:val="clear" w:color="auto" w:fill="FFFFFF"/>
        </w:rPr>
        <w:t>17</w:t>
      </w:r>
      <w:r w:rsidR="00CE11B1">
        <w:rPr>
          <w:rStyle w:val="HTMLCite"/>
          <w:i w:val="0"/>
          <w:color w:val="222222"/>
          <w:shd w:val="clear" w:color="auto" w:fill="FFFFFF"/>
        </w:rPr>
        <w:t>.</w:t>
      </w:r>
      <w:r w:rsidRPr="00CE11B1">
        <w:rPr>
          <w:rStyle w:val="HTMLCite"/>
          <w:i w:val="0"/>
          <w:color w:val="222222"/>
          <w:shd w:val="clear" w:color="auto" w:fill="FFFFFF"/>
        </w:rPr>
        <w:t xml:space="preserve">2 </w:t>
      </w:r>
      <w:r w:rsidRPr="00CE11B1">
        <w:rPr>
          <w:iCs/>
          <w:color w:val="222222"/>
          <w:shd w:val="clear" w:color="auto" w:fill="FFFFFF"/>
        </w:rPr>
        <w:t>(1987):</w:t>
      </w:r>
      <w:r w:rsidR="00DE692D">
        <w:rPr>
          <w:rStyle w:val="HTMLCite"/>
          <w:i w:val="0"/>
          <w:color w:val="222222"/>
          <w:shd w:val="clear" w:color="auto" w:fill="FFFFFF"/>
        </w:rPr>
        <w:t xml:space="preserve"> 20–24. </w:t>
      </w:r>
    </w:p>
    <w:p w14:paraId="75947DD3" w14:textId="77777777" w:rsidR="0065084D" w:rsidRDefault="0065084D" w:rsidP="003F0D66">
      <w:pPr>
        <w:widowControl w:val="0"/>
        <w:ind w:left="800" w:hanging="800"/>
      </w:pPr>
    </w:p>
    <w:p w14:paraId="5CAC08E7" w14:textId="77777777" w:rsidR="00C32E2A" w:rsidRPr="006A73A5" w:rsidRDefault="006A73A5" w:rsidP="003F0D66">
      <w:pPr>
        <w:widowControl w:val="0"/>
        <w:ind w:left="800" w:hanging="800"/>
      </w:pPr>
      <w:r w:rsidRPr="002F490A">
        <w:t xml:space="preserve">Arras, J D, and T H Murray. "In Defence of Clinical Bioethics." </w:t>
      </w:r>
      <w:r w:rsidRPr="002F490A">
        <w:rPr>
          <w:i/>
          <w:iCs/>
        </w:rPr>
        <w:t>Journal of Medical Ethics</w:t>
      </w:r>
      <w:r w:rsidR="00DE692D">
        <w:t xml:space="preserve"> 8.3 (1982): 122-127. </w:t>
      </w:r>
    </w:p>
    <w:p w14:paraId="4EDE6C7F" w14:textId="77777777" w:rsidR="0065084D" w:rsidRDefault="0065084D" w:rsidP="003F0D66">
      <w:pPr>
        <w:widowControl w:val="0"/>
        <w:ind w:left="800" w:hanging="800"/>
      </w:pPr>
    </w:p>
    <w:p w14:paraId="45F5112A" w14:textId="77777777" w:rsidR="00C32E2A" w:rsidRDefault="006A73A5" w:rsidP="003F0D66">
      <w:pPr>
        <w:widowControl w:val="0"/>
        <w:ind w:left="800" w:hanging="800"/>
      </w:pPr>
      <w:r w:rsidRPr="002F490A">
        <w:t>Arras,</w:t>
      </w:r>
      <w:r w:rsidR="000D1D80">
        <w:t xml:space="preserve"> John D. "The Hedgehog and the Borg: Common Morality in B</w:t>
      </w:r>
      <w:r w:rsidRPr="002F490A">
        <w:t xml:space="preserve">ioethics." </w:t>
      </w:r>
      <w:r w:rsidRPr="002F490A">
        <w:rPr>
          <w:i/>
          <w:iCs/>
        </w:rPr>
        <w:t>Theoretical Medicine and Bioethics</w:t>
      </w:r>
      <w:r w:rsidR="00DE692D">
        <w:t xml:space="preserve"> 30.1 (2009): 11-30. </w:t>
      </w:r>
    </w:p>
    <w:p w14:paraId="65A0479B" w14:textId="77777777" w:rsidR="0065084D" w:rsidRDefault="0065084D" w:rsidP="003F0D66">
      <w:pPr>
        <w:widowControl w:val="0"/>
        <w:ind w:left="800" w:hanging="800"/>
      </w:pPr>
    </w:p>
    <w:p w14:paraId="50E7ECDC" w14:textId="77777777" w:rsidR="00196BF2" w:rsidRDefault="00196BF2" w:rsidP="003F0D66">
      <w:pPr>
        <w:widowControl w:val="0"/>
        <w:ind w:left="800" w:hanging="800"/>
      </w:pPr>
      <w:r>
        <w:t>American Society for Bioethics &amp; Humanities' Core Compet</w:t>
      </w:r>
      <w:r w:rsidR="00DE692D">
        <w:t>encies Update Task Force</w:t>
      </w:r>
      <w:r>
        <w:t xml:space="preserve">. </w:t>
      </w:r>
      <w:r w:rsidRPr="00BC6696">
        <w:rPr>
          <w:i/>
        </w:rPr>
        <w:t>Core Competencies for Health Care Ethics Consultation: The Report of the American Society for Bioethics and Humanities</w:t>
      </w:r>
      <w:r>
        <w:t xml:space="preserve"> (2nd Ed.). Glenview, IL: American Society for Bioethics &amp; Humanities</w:t>
      </w:r>
      <w:r w:rsidR="00DE692D">
        <w:t>, 2011</w:t>
      </w:r>
      <w:r>
        <w:t>.</w:t>
      </w:r>
    </w:p>
    <w:p w14:paraId="6C768ECF" w14:textId="77777777" w:rsidR="0065084D" w:rsidRDefault="0065084D" w:rsidP="003F0D66">
      <w:pPr>
        <w:widowControl w:val="0"/>
        <w:ind w:left="800" w:hanging="800"/>
      </w:pPr>
    </w:p>
    <w:p w14:paraId="1B5181B4" w14:textId="77777777" w:rsidR="00196BF2" w:rsidRPr="006A73A5" w:rsidRDefault="00196BF2" w:rsidP="003F0D66">
      <w:pPr>
        <w:widowControl w:val="0"/>
        <w:ind w:left="800" w:hanging="800"/>
      </w:pPr>
      <w:r>
        <w:t>American Society fo</w:t>
      </w:r>
      <w:r w:rsidR="00DE692D">
        <w:t>r Bioethics &amp; Humanities</w:t>
      </w:r>
      <w:r>
        <w:t xml:space="preserve">. </w:t>
      </w:r>
      <w:r w:rsidRPr="00BC6696">
        <w:rPr>
          <w:i/>
        </w:rPr>
        <w:t>Improving Competence in Clinical Ethics Consultation: An Education Guide.</w:t>
      </w:r>
      <w:r>
        <w:t xml:space="preserve"> Glenview, IL: American Society for Bioethics &amp; Humanities</w:t>
      </w:r>
      <w:r w:rsidR="00DE692D">
        <w:t>, 2009</w:t>
      </w:r>
      <w:r>
        <w:t>.</w:t>
      </w:r>
    </w:p>
    <w:p w14:paraId="20E99C73" w14:textId="77777777" w:rsidR="0065084D" w:rsidRDefault="0065084D" w:rsidP="003F0D66">
      <w:pPr>
        <w:widowControl w:val="0"/>
        <w:ind w:left="800" w:hanging="800"/>
      </w:pPr>
    </w:p>
    <w:p w14:paraId="3D23BB3F" w14:textId="77777777" w:rsidR="00C32E2A" w:rsidRPr="006A73A5" w:rsidRDefault="006A73A5" w:rsidP="003F0D66">
      <w:pPr>
        <w:widowControl w:val="0"/>
        <w:ind w:left="800" w:hanging="800"/>
      </w:pPr>
      <w:r w:rsidRPr="002F490A">
        <w:t xml:space="preserve">Aulisio, Mark P. "Meeting the Need: Ethics Consultation in Healthcare Today." </w:t>
      </w:r>
      <w:r w:rsidR="00DE692D">
        <w:t xml:space="preserve">In </w:t>
      </w:r>
      <w:r w:rsidRPr="002F490A">
        <w:rPr>
          <w:i/>
          <w:iCs/>
        </w:rPr>
        <w:t>Ethics Consultation from Theory to Practice</w:t>
      </w:r>
      <w:r w:rsidR="00DE692D">
        <w:rPr>
          <w:i/>
          <w:iCs/>
        </w:rPr>
        <w:t xml:space="preserve">, </w:t>
      </w:r>
      <w:r w:rsidR="00DE692D" w:rsidRPr="00DE692D">
        <w:rPr>
          <w:iCs/>
        </w:rPr>
        <w:t>Eds</w:t>
      </w:r>
      <w:r w:rsidRPr="00DE692D">
        <w:t>.</w:t>
      </w:r>
      <w:r w:rsidRPr="002F490A">
        <w:t xml:space="preserve"> </w:t>
      </w:r>
      <w:r w:rsidR="00DE692D">
        <w:t>Mark P. Aulisio</w:t>
      </w:r>
      <w:r w:rsidR="00DE692D" w:rsidRPr="002F490A">
        <w:t xml:space="preserve">, Robert M. Arnold, and Stuart J. </w:t>
      </w:r>
      <w:r w:rsidR="00DE692D" w:rsidRPr="00DC40F0">
        <w:t>Younger</w:t>
      </w:r>
      <w:r w:rsidR="00DE692D" w:rsidRPr="002F490A">
        <w:t xml:space="preserve">. </w:t>
      </w:r>
      <w:r w:rsidRPr="002F490A">
        <w:t>Baltimore: Johns Hopkins Univ</w:t>
      </w:r>
      <w:r w:rsidR="00DE692D">
        <w:t xml:space="preserve">ersity Press, 2003. 3-22. </w:t>
      </w:r>
    </w:p>
    <w:p w14:paraId="1ED34711" w14:textId="77777777" w:rsidR="0065084D" w:rsidRDefault="0065084D" w:rsidP="003F0D66">
      <w:pPr>
        <w:widowControl w:val="0"/>
        <w:ind w:left="800" w:hanging="800"/>
      </w:pPr>
    </w:p>
    <w:p w14:paraId="2A5A0F39" w14:textId="77777777" w:rsidR="002147E2" w:rsidRDefault="006A73A5" w:rsidP="003F0D66">
      <w:pPr>
        <w:widowControl w:val="0"/>
        <w:ind w:left="800" w:hanging="800"/>
      </w:pPr>
      <w:r w:rsidRPr="002F490A">
        <w:t xml:space="preserve">Aulisio, Mark P., Robert M. Arnold, and Stuart J. </w:t>
      </w:r>
      <w:r w:rsidR="00DC40F0" w:rsidRPr="00DC40F0">
        <w:t>Younger</w:t>
      </w:r>
      <w:r w:rsidRPr="002F490A">
        <w:t xml:space="preserve">. </w:t>
      </w:r>
      <w:r w:rsidRPr="002F490A">
        <w:rPr>
          <w:i/>
          <w:iCs/>
        </w:rPr>
        <w:t>Ethic</w:t>
      </w:r>
      <w:r w:rsidR="000D1D80">
        <w:rPr>
          <w:i/>
          <w:iCs/>
        </w:rPr>
        <w:t>s consultation: from Theory to P</w:t>
      </w:r>
      <w:r w:rsidRPr="002F490A">
        <w:rPr>
          <w:i/>
          <w:iCs/>
        </w:rPr>
        <w:t>ractice</w:t>
      </w:r>
      <w:r w:rsidRPr="002F490A">
        <w:t>. Baltimore: Johns Hopkin</w:t>
      </w:r>
      <w:r w:rsidR="00DE692D">
        <w:t>s University Press, 2003.</w:t>
      </w:r>
    </w:p>
    <w:p w14:paraId="5C06D273" w14:textId="77777777" w:rsidR="002147E2" w:rsidRDefault="002147E2" w:rsidP="002147E2">
      <w:pPr>
        <w:widowControl w:val="0"/>
      </w:pPr>
    </w:p>
    <w:p w14:paraId="0CC47054" w14:textId="77777777" w:rsidR="00C32E2A" w:rsidRDefault="002147E2" w:rsidP="003F0D66">
      <w:pPr>
        <w:widowControl w:val="0"/>
        <w:ind w:left="800" w:hanging="800"/>
      </w:pPr>
      <w:r w:rsidRPr="002147E2">
        <w:t>Baker, Robert, Ken Kipnis, Stuart J.  Youngner, and Nancy Dubler. "Fine-Tuning the Future</w:t>
      </w:r>
      <w:r w:rsidRPr="000B5561">
        <w:rPr>
          <w:i/>
        </w:rPr>
        <w:t>." Hastings Center Report</w:t>
      </w:r>
      <w:r w:rsidRPr="002147E2">
        <w:t xml:space="preserve"> 40.3 (2010): 6-8. </w:t>
      </w:r>
      <w:r w:rsidR="00DE692D">
        <w:t xml:space="preserve"> </w:t>
      </w:r>
    </w:p>
    <w:p w14:paraId="6716053B" w14:textId="77777777" w:rsidR="002147E2" w:rsidRDefault="002147E2" w:rsidP="003F0D66">
      <w:pPr>
        <w:widowControl w:val="0"/>
        <w:ind w:left="800" w:hanging="800"/>
      </w:pPr>
    </w:p>
    <w:p w14:paraId="52D3838C" w14:textId="77777777" w:rsidR="002147E2" w:rsidRDefault="000D1D80" w:rsidP="002147E2">
      <w:pPr>
        <w:widowControl w:val="0"/>
        <w:ind w:left="800" w:hanging="800"/>
      </w:pPr>
      <w:r>
        <w:t>Baker, Robert. "In Defense of B</w:t>
      </w:r>
      <w:r w:rsidR="002147E2" w:rsidRPr="002147E2">
        <w:t xml:space="preserve">ioethics." </w:t>
      </w:r>
      <w:r w:rsidR="002147E2" w:rsidRPr="000B5561">
        <w:rPr>
          <w:i/>
        </w:rPr>
        <w:t>The Journal of Law, Medicine &amp; Ethics</w:t>
      </w:r>
      <w:r w:rsidR="002147E2" w:rsidRPr="002147E2">
        <w:t xml:space="preserve"> 37.1 (2009): 83-92.</w:t>
      </w:r>
    </w:p>
    <w:p w14:paraId="176A66E8" w14:textId="77777777" w:rsidR="002147E2" w:rsidRDefault="002147E2" w:rsidP="002147E2">
      <w:pPr>
        <w:widowControl w:val="0"/>
        <w:ind w:left="800" w:hanging="800"/>
      </w:pPr>
    </w:p>
    <w:p w14:paraId="67FA8BF9" w14:textId="77777777" w:rsidR="002147E2" w:rsidRPr="002147E2" w:rsidRDefault="002147E2" w:rsidP="002147E2">
      <w:pPr>
        <w:widowControl w:val="0"/>
        <w:ind w:left="800" w:hanging="800"/>
      </w:pPr>
      <w:r w:rsidRPr="002147E2">
        <w:t>Baker, Robert, and Laur</w:t>
      </w:r>
      <w:r w:rsidR="000D1D80">
        <w:t>ence B. McCullough. "Medical Ethics' Appropriation of Moral Philosophy: The Case of the Sympathetic and the Unsympathetic P</w:t>
      </w:r>
      <w:r w:rsidRPr="002147E2">
        <w:t xml:space="preserve">hysician." </w:t>
      </w:r>
      <w:r w:rsidRPr="000B5561">
        <w:rPr>
          <w:i/>
        </w:rPr>
        <w:t>Kennedy Institute of Ethics Journal</w:t>
      </w:r>
      <w:r w:rsidRPr="002147E2">
        <w:t xml:space="preserve"> 17.1 (2007): 3-22.</w:t>
      </w:r>
    </w:p>
    <w:p w14:paraId="11D8CA6B" w14:textId="77777777" w:rsidR="0065084D" w:rsidRDefault="0065084D" w:rsidP="002147E2">
      <w:pPr>
        <w:widowControl w:val="0"/>
      </w:pPr>
    </w:p>
    <w:p w14:paraId="44DA211F" w14:textId="77777777" w:rsidR="002147E2" w:rsidRDefault="00A61747" w:rsidP="003F0D66">
      <w:pPr>
        <w:widowControl w:val="0"/>
        <w:ind w:left="800" w:hanging="800"/>
      </w:pPr>
      <w:r>
        <w:t>Baker, Robert. Response to Commentators on “A Draft Model A</w:t>
      </w:r>
      <w:r w:rsidR="006A73A5" w:rsidRPr="002F490A">
        <w:t>ggregat</w:t>
      </w:r>
      <w:r>
        <w:t>ed Code of Ethics for B</w:t>
      </w:r>
      <w:r w:rsidR="006A73A5" w:rsidRPr="002F490A">
        <w:t xml:space="preserve">ioethicists." </w:t>
      </w:r>
      <w:r w:rsidR="006A73A5" w:rsidRPr="002F490A">
        <w:rPr>
          <w:i/>
          <w:iCs/>
        </w:rPr>
        <w:t>The American Journal of Bioethics</w:t>
      </w:r>
      <w:r w:rsidR="00DE692D">
        <w:t xml:space="preserve"> 5.5 (2005): W12-W13.</w:t>
      </w:r>
    </w:p>
    <w:p w14:paraId="7F356937" w14:textId="77777777" w:rsidR="002147E2" w:rsidRDefault="002147E2" w:rsidP="003F0D66">
      <w:pPr>
        <w:widowControl w:val="0"/>
        <w:ind w:left="800" w:hanging="800"/>
      </w:pPr>
    </w:p>
    <w:p w14:paraId="3F1263B5" w14:textId="77777777" w:rsidR="0065084D" w:rsidRDefault="00A61747" w:rsidP="002147E2">
      <w:pPr>
        <w:widowControl w:val="0"/>
        <w:ind w:left="800" w:hanging="800"/>
      </w:pPr>
      <w:r>
        <w:t>Baker, Robert. "A Draft M</w:t>
      </w:r>
      <w:r w:rsidR="002147E2" w:rsidRPr="002147E2">
        <w:t>odel</w:t>
      </w:r>
      <w:r>
        <w:t xml:space="preserve"> Aggregated Code of Ethics for B</w:t>
      </w:r>
      <w:r w:rsidR="002147E2" w:rsidRPr="002147E2">
        <w:t xml:space="preserve">ioethicists." </w:t>
      </w:r>
      <w:r w:rsidR="002147E2" w:rsidRPr="000B5561">
        <w:rPr>
          <w:i/>
        </w:rPr>
        <w:t>The American Journal of Bioethics</w:t>
      </w:r>
      <w:r w:rsidR="002147E2" w:rsidRPr="002147E2">
        <w:t xml:space="preserve"> 5.5 (2005): 33-41. </w:t>
      </w:r>
      <w:r w:rsidR="00DE692D">
        <w:t xml:space="preserve"> </w:t>
      </w:r>
    </w:p>
    <w:p w14:paraId="3F87F2FE" w14:textId="77777777" w:rsidR="00F55528" w:rsidRDefault="00F55528" w:rsidP="00F55528">
      <w:pPr>
        <w:widowControl w:val="0"/>
        <w:ind w:left="800" w:hanging="800"/>
      </w:pPr>
    </w:p>
    <w:p w14:paraId="5D81C4C0" w14:textId="77777777" w:rsidR="00F55528" w:rsidRPr="006A73A5" w:rsidRDefault="00F55528" w:rsidP="00325F5C">
      <w:pPr>
        <w:widowControl w:val="0"/>
        <w:ind w:left="800" w:hanging="800"/>
      </w:pPr>
      <w:r>
        <w:t>Battin</w:t>
      </w:r>
      <w:r w:rsidR="00325F5C">
        <w:t>, M. P.</w:t>
      </w:r>
      <w:r>
        <w:t xml:space="preserve"> et al., “Legal Physician Assisted Dying in Oregon and the Netherlands: Evidence Concerning the Impact on Patients in ‘</w:t>
      </w:r>
      <w:r w:rsidR="00325F5C">
        <w:t xml:space="preserve">Vulnerable’ Groups,” </w:t>
      </w:r>
      <w:r w:rsidR="00325F5C" w:rsidRPr="00325F5C">
        <w:rPr>
          <w:i/>
        </w:rPr>
        <w:t>Journal of</w:t>
      </w:r>
      <w:r w:rsidR="00325F5C">
        <w:t xml:space="preserve"> </w:t>
      </w:r>
      <w:r w:rsidR="00325F5C" w:rsidRPr="00325F5C">
        <w:rPr>
          <w:i/>
        </w:rPr>
        <w:t>Medical Ethics</w:t>
      </w:r>
      <w:r w:rsidR="00325F5C">
        <w:t xml:space="preserve"> 33.</w:t>
      </w:r>
      <w:r>
        <w:t>10 (2007): 591-97.</w:t>
      </w:r>
    </w:p>
    <w:p w14:paraId="5665E8B8" w14:textId="77777777" w:rsidR="0065084D" w:rsidRDefault="0065084D" w:rsidP="003F0D66">
      <w:pPr>
        <w:widowControl w:val="0"/>
        <w:ind w:left="800" w:hanging="800"/>
      </w:pPr>
    </w:p>
    <w:p w14:paraId="1E9DB50F" w14:textId="77777777" w:rsidR="00C32E2A" w:rsidRPr="006A73A5" w:rsidRDefault="006A73A5" w:rsidP="003F0D66">
      <w:pPr>
        <w:widowControl w:val="0"/>
        <w:ind w:left="800" w:hanging="800"/>
      </w:pPr>
      <w:r w:rsidRPr="002F490A">
        <w:t xml:space="preserve">Baylis, </w:t>
      </w:r>
      <w:r w:rsidR="00CE5019" w:rsidRPr="002F490A">
        <w:t>Fran</w:t>
      </w:r>
      <w:r w:rsidR="00CE5019">
        <w:t>ç</w:t>
      </w:r>
      <w:r w:rsidR="00CE5019" w:rsidRPr="002F490A">
        <w:t>oise</w:t>
      </w:r>
      <w:r w:rsidR="00A61747">
        <w:t>. "The Olivieri Debacle: Where Were the Heroes of B</w:t>
      </w:r>
      <w:r w:rsidRPr="002F490A">
        <w:t xml:space="preserve">ioethics?" </w:t>
      </w:r>
      <w:r w:rsidRPr="002F490A">
        <w:rPr>
          <w:i/>
          <w:iCs/>
        </w:rPr>
        <w:lastRenderedPageBreak/>
        <w:t>Journal of Medical Ethics</w:t>
      </w:r>
      <w:r w:rsidR="00DE692D">
        <w:t xml:space="preserve"> 30.1 (200</w:t>
      </w:r>
      <w:r w:rsidR="00FA17C4">
        <w:t>4</w:t>
      </w:r>
      <w:r w:rsidR="00DE692D">
        <w:t xml:space="preserve">): 44-49. </w:t>
      </w:r>
    </w:p>
    <w:p w14:paraId="2337CE9A" w14:textId="77777777" w:rsidR="0065084D" w:rsidRDefault="0065084D" w:rsidP="003F0D66">
      <w:pPr>
        <w:widowControl w:val="0"/>
        <w:ind w:left="800" w:hanging="800"/>
      </w:pPr>
    </w:p>
    <w:p w14:paraId="2EFDAEBB" w14:textId="77777777" w:rsidR="00C32E2A" w:rsidRPr="006A73A5" w:rsidRDefault="006A73A5" w:rsidP="003F0D66">
      <w:pPr>
        <w:widowControl w:val="0"/>
        <w:ind w:left="800" w:hanging="800"/>
      </w:pPr>
      <w:r w:rsidRPr="002F490A">
        <w:t>Baylis, Fran</w:t>
      </w:r>
      <w:r w:rsidR="00CE5019">
        <w:t>ç</w:t>
      </w:r>
      <w:r w:rsidRPr="002F490A">
        <w:t>oise, Jeanne Des</w:t>
      </w:r>
      <w:r w:rsidR="00325F5C">
        <w:t xml:space="preserve"> </w:t>
      </w:r>
      <w:r w:rsidRPr="002F490A">
        <w:t xml:space="preserve">Brisay, Benjamin Freedman, Larry Lowenstein, </w:t>
      </w:r>
      <w:r w:rsidR="00A61747">
        <w:t>and Susan Sherwin. "A Re</w:t>
      </w:r>
      <w:r w:rsidRPr="002F490A">
        <w:t xml:space="preserve">ply to Giles R. Scofield, J.D." </w:t>
      </w:r>
      <w:r w:rsidRPr="002F490A">
        <w:rPr>
          <w:i/>
          <w:iCs/>
        </w:rPr>
        <w:t>HEC Forum</w:t>
      </w:r>
      <w:r w:rsidR="00FA17C4">
        <w:t xml:space="preserve"> 6.6 (1994): 371-376. </w:t>
      </w:r>
    </w:p>
    <w:p w14:paraId="55250C08" w14:textId="77777777" w:rsidR="0065084D" w:rsidRDefault="0065084D" w:rsidP="003F0D66">
      <w:pPr>
        <w:widowControl w:val="0"/>
        <w:ind w:left="800" w:hanging="800"/>
      </w:pPr>
    </w:p>
    <w:p w14:paraId="094B6F6B" w14:textId="77777777" w:rsidR="00C32E2A" w:rsidRPr="006A73A5" w:rsidRDefault="00CE5019" w:rsidP="003F0D66">
      <w:pPr>
        <w:widowControl w:val="0"/>
        <w:ind w:left="800" w:hanging="800"/>
      </w:pPr>
      <w:r>
        <w:t xml:space="preserve">Baylis, </w:t>
      </w:r>
      <w:r w:rsidRPr="002F490A">
        <w:t>Fran</w:t>
      </w:r>
      <w:r>
        <w:t>ç</w:t>
      </w:r>
      <w:r w:rsidRPr="002F490A">
        <w:t>oise</w:t>
      </w:r>
      <w:r w:rsidR="006A73A5" w:rsidRPr="002F490A">
        <w:t xml:space="preserve">. </w:t>
      </w:r>
      <w:r w:rsidR="006A73A5" w:rsidRPr="002F490A">
        <w:rPr>
          <w:i/>
          <w:iCs/>
        </w:rPr>
        <w:t xml:space="preserve">The </w:t>
      </w:r>
      <w:r w:rsidR="00BC6696">
        <w:rPr>
          <w:i/>
          <w:iCs/>
        </w:rPr>
        <w:t>H</w:t>
      </w:r>
      <w:r w:rsidR="006A73A5" w:rsidRPr="002F490A">
        <w:rPr>
          <w:i/>
          <w:iCs/>
        </w:rPr>
        <w:t xml:space="preserve">ealth </w:t>
      </w:r>
      <w:r w:rsidR="00BC6696">
        <w:rPr>
          <w:i/>
          <w:iCs/>
        </w:rPr>
        <w:t>C</w:t>
      </w:r>
      <w:r w:rsidR="006A73A5" w:rsidRPr="002F490A">
        <w:rPr>
          <w:i/>
          <w:iCs/>
        </w:rPr>
        <w:t xml:space="preserve">are </w:t>
      </w:r>
      <w:r w:rsidR="00BC6696">
        <w:rPr>
          <w:i/>
          <w:iCs/>
        </w:rPr>
        <w:t>E</w:t>
      </w:r>
      <w:r w:rsidR="006A73A5" w:rsidRPr="002F490A">
        <w:rPr>
          <w:i/>
          <w:iCs/>
        </w:rPr>
        <w:t xml:space="preserve">thics </w:t>
      </w:r>
      <w:r w:rsidR="00BC6696">
        <w:rPr>
          <w:i/>
          <w:iCs/>
        </w:rPr>
        <w:t>C</w:t>
      </w:r>
      <w:r w:rsidR="006A73A5" w:rsidRPr="002F490A">
        <w:rPr>
          <w:i/>
          <w:iCs/>
        </w:rPr>
        <w:t>onsultant</w:t>
      </w:r>
      <w:r w:rsidR="006A73A5" w:rsidRPr="002F490A">
        <w:t xml:space="preserve">. Totowa, </w:t>
      </w:r>
      <w:r w:rsidR="00FA17C4">
        <w:t xml:space="preserve">N.J.: Humana Press, 1994. </w:t>
      </w:r>
    </w:p>
    <w:p w14:paraId="2DFE0D8D" w14:textId="77777777" w:rsidR="0065084D" w:rsidRDefault="0065084D" w:rsidP="003F0D66">
      <w:pPr>
        <w:widowControl w:val="0"/>
        <w:ind w:left="800" w:hanging="800"/>
      </w:pPr>
    </w:p>
    <w:p w14:paraId="065A9E1D" w14:textId="77777777" w:rsidR="00C32E2A" w:rsidRDefault="006A73A5" w:rsidP="003F0D66">
      <w:pPr>
        <w:widowControl w:val="0"/>
        <w:ind w:left="800" w:hanging="800"/>
      </w:pPr>
      <w:r w:rsidRPr="002F490A">
        <w:t xml:space="preserve">Bean, Sally. "Navigating the Murky Intersection between Clinical and Organizational Ethics: A Hybrid Case Taxonomy." </w:t>
      </w:r>
      <w:r w:rsidRPr="002F490A">
        <w:rPr>
          <w:i/>
          <w:iCs/>
        </w:rPr>
        <w:t>Bioethics</w:t>
      </w:r>
      <w:r w:rsidR="00FA17C4">
        <w:t xml:space="preserve"> 25.6 (2011): 320-325. </w:t>
      </w:r>
    </w:p>
    <w:p w14:paraId="5D706160" w14:textId="77777777" w:rsidR="00811969" w:rsidRDefault="00811969" w:rsidP="00811969"/>
    <w:p w14:paraId="3B548B79" w14:textId="77777777" w:rsidR="00A669D0" w:rsidRDefault="00483843" w:rsidP="00A669D0">
      <w:r>
        <w:t xml:space="preserve">Beauchamp, Tom L. </w:t>
      </w:r>
      <w:r w:rsidRPr="00483843">
        <w:rPr>
          <w:i/>
        </w:rPr>
        <w:t>Standing on Principles: Collected E</w:t>
      </w:r>
      <w:r w:rsidR="00811969" w:rsidRPr="00483843">
        <w:rPr>
          <w:i/>
        </w:rPr>
        <w:t>ssays</w:t>
      </w:r>
      <w:r>
        <w:t xml:space="preserve">. New </w:t>
      </w:r>
    </w:p>
    <w:p w14:paraId="35777481" w14:textId="77777777" w:rsidR="00811969" w:rsidRPr="00811969" w:rsidRDefault="00483843" w:rsidP="00A669D0">
      <w:pPr>
        <w:ind w:firstLine="720"/>
      </w:pPr>
      <w:r>
        <w:t>York:</w:t>
      </w:r>
      <w:r w:rsidR="00A669D0">
        <w:t xml:space="preserve"> Oxford</w:t>
      </w:r>
      <w:r>
        <w:t xml:space="preserve"> </w:t>
      </w:r>
      <w:r w:rsidR="00811969" w:rsidRPr="00811969">
        <w:t xml:space="preserve">University Press, 2010. </w:t>
      </w:r>
    </w:p>
    <w:p w14:paraId="42BD40A5" w14:textId="77777777" w:rsidR="0065084D" w:rsidRDefault="0065084D" w:rsidP="00811969">
      <w:pPr>
        <w:widowControl w:val="0"/>
      </w:pPr>
    </w:p>
    <w:p w14:paraId="7165D43A" w14:textId="77777777" w:rsidR="00C32E2A" w:rsidRPr="006A73A5" w:rsidRDefault="006A73A5" w:rsidP="003F0D66">
      <w:pPr>
        <w:widowControl w:val="0"/>
        <w:ind w:left="800" w:hanging="800"/>
      </w:pPr>
      <w:r w:rsidRPr="002F490A">
        <w:t xml:space="preserve">Beauchamp, Tom L., and LeRoy Walters. </w:t>
      </w:r>
      <w:r w:rsidR="00483843">
        <w:rPr>
          <w:i/>
          <w:iCs/>
        </w:rPr>
        <w:t>Contemporary Issues in B</w:t>
      </w:r>
      <w:r w:rsidRPr="002F490A">
        <w:rPr>
          <w:i/>
          <w:iCs/>
        </w:rPr>
        <w:t>ioethics</w:t>
      </w:r>
      <w:r w:rsidRPr="002F490A">
        <w:t xml:space="preserve">. 2nd ed. Belmont, Calif.: Wadsworth </w:t>
      </w:r>
      <w:r w:rsidR="00FA17C4">
        <w:t xml:space="preserve">Pub. Co., 1982. </w:t>
      </w:r>
    </w:p>
    <w:p w14:paraId="6A8BB08D" w14:textId="77777777" w:rsidR="0065084D" w:rsidRDefault="0065084D" w:rsidP="003F0D66">
      <w:pPr>
        <w:widowControl w:val="0"/>
        <w:ind w:left="800" w:hanging="800"/>
      </w:pPr>
    </w:p>
    <w:p w14:paraId="0C00F841" w14:textId="739D57D5" w:rsidR="00C32E2A" w:rsidRPr="006A73A5" w:rsidRDefault="006A73A5" w:rsidP="003F0D66">
      <w:pPr>
        <w:widowControl w:val="0"/>
        <w:ind w:left="800" w:hanging="800"/>
      </w:pPr>
      <w:r w:rsidRPr="002F490A">
        <w:t xml:space="preserve">Beauchamp, Tom L., and James F. Childress. </w:t>
      </w:r>
      <w:r w:rsidR="00BC6696">
        <w:rPr>
          <w:i/>
          <w:iCs/>
        </w:rPr>
        <w:t>Principles of B</w:t>
      </w:r>
      <w:r w:rsidRPr="002F490A">
        <w:rPr>
          <w:i/>
          <w:iCs/>
        </w:rPr>
        <w:t xml:space="preserve">iomedical </w:t>
      </w:r>
      <w:r w:rsidR="00BC6696">
        <w:rPr>
          <w:i/>
          <w:iCs/>
        </w:rPr>
        <w:t>E</w:t>
      </w:r>
      <w:r w:rsidRPr="002F490A">
        <w:rPr>
          <w:i/>
          <w:iCs/>
        </w:rPr>
        <w:t>thics</w:t>
      </w:r>
      <w:r w:rsidRPr="002F490A">
        <w:t xml:space="preserve">. </w:t>
      </w:r>
      <w:r w:rsidR="005F2729">
        <w:t>5</w:t>
      </w:r>
      <w:r w:rsidRPr="002F490A">
        <w:t>th ed</w:t>
      </w:r>
      <w:r w:rsidR="00F12772">
        <w:t>ition</w:t>
      </w:r>
      <w:r w:rsidRPr="002F490A">
        <w:t>. New York: Oxfor</w:t>
      </w:r>
      <w:r w:rsidR="00FA17C4">
        <w:t xml:space="preserve">d University Press, </w:t>
      </w:r>
      <w:r w:rsidR="005F2729">
        <w:t>2001</w:t>
      </w:r>
      <w:r w:rsidR="00FA17C4">
        <w:t xml:space="preserve">. </w:t>
      </w:r>
    </w:p>
    <w:p w14:paraId="1C407FBA" w14:textId="77777777" w:rsidR="0065084D" w:rsidRDefault="0065084D" w:rsidP="003F0D66">
      <w:pPr>
        <w:widowControl w:val="0"/>
        <w:ind w:left="800" w:hanging="800"/>
      </w:pPr>
    </w:p>
    <w:p w14:paraId="7170B931" w14:textId="77777777" w:rsidR="00C32E2A" w:rsidRPr="006A73A5" w:rsidRDefault="00A669D0" w:rsidP="003F0D66">
      <w:pPr>
        <w:widowControl w:val="0"/>
        <w:ind w:left="800" w:hanging="800"/>
      </w:pPr>
      <w:r>
        <w:t>Beauchamp, Tom L. "History and T</w:t>
      </w:r>
      <w:r w:rsidR="006A73A5" w:rsidRPr="002F490A">
        <w:t>heory in ‘Applied Ethics.’”</w:t>
      </w:r>
      <w:r w:rsidR="006A73A5" w:rsidRPr="002F490A">
        <w:rPr>
          <w:i/>
          <w:iCs/>
        </w:rPr>
        <w:t xml:space="preserve"> Kennedy Institute of Ethics Journal</w:t>
      </w:r>
      <w:r w:rsidR="006A73A5" w:rsidRPr="002F490A">
        <w:t xml:space="preserve"> 17.</w:t>
      </w:r>
      <w:r w:rsidR="00FA17C4">
        <w:t xml:space="preserve">1 (2007): 55-64. </w:t>
      </w:r>
    </w:p>
    <w:p w14:paraId="0C7D769A" w14:textId="77777777" w:rsidR="0065084D" w:rsidRDefault="0065084D" w:rsidP="003F0D66">
      <w:pPr>
        <w:widowControl w:val="0"/>
        <w:ind w:left="800" w:hanging="800"/>
      </w:pPr>
    </w:p>
    <w:p w14:paraId="443BB7B4" w14:textId="77777777" w:rsidR="00196BF2" w:rsidRPr="002A10C2" w:rsidRDefault="002A10C2" w:rsidP="003F0D66">
      <w:pPr>
        <w:widowControl w:val="0"/>
        <w:ind w:left="800" w:hanging="800"/>
      </w:pPr>
      <w:r>
        <w:rPr>
          <w:lang w:val="en-US"/>
        </w:rPr>
        <w:t>Bero, L.A. and Quinn Grundy. “Why Hav</w:t>
      </w:r>
      <w:r w:rsidR="00A669D0">
        <w:rPr>
          <w:lang w:val="en-US"/>
        </w:rPr>
        <w:t>ing a Nonfinancial Interest is N</w:t>
      </w:r>
      <w:r>
        <w:rPr>
          <w:lang w:val="en-US"/>
        </w:rPr>
        <w:t xml:space="preserve">ot a Conflict of Interest.” </w:t>
      </w:r>
      <w:r w:rsidRPr="00FA17C4">
        <w:rPr>
          <w:i/>
          <w:lang w:val="en-US"/>
        </w:rPr>
        <w:t>PLOS Biology</w:t>
      </w:r>
      <w:r>
        <w:rPr>
          <w:lang w:val="en-US"/>
        </w:rPr>
        <w:t xml:space="preserve"> (</w:t>
      </w:r>
      <w:r w:rsidR="00A669D0">
        <w:rPr>
          <w:lang w:val="en-US"/>
        </w:rPr>
        <w:t xml:space="preserve">2016) December 21: 1-8. Online: </w:t>
      </w:r>
      <w:r w:rsidR="002F74C1">
        <w:rPr>
          <w:lang w:val="en-US"/>
        </w:rPr>
        <w:t>Accessed: 8 February 2019.</w:t>
      </w:r>
      <w:r>
        <w:rPr>
          <w:lang w:val="en-US"/>
        </w:rPr>
        <w:t xml:space="preserve">  </w:t>
      </w:r>
    </w:p>
    <w:p w14:paraId="4203525A" w14:textId="77777777" w:rsidR="0065084D" w:rsidRDefault="0065084D" w:rsidP="003F0D66">
      <w:pPr>
        <w:widowControl w:val="0"/>
        <w:ind w:left="800" w:hanging="800"/>
      </w:pPr>
    </w:p>
    <w:p w14:paraId="147B17FF" w14:textId="77777777" w:rsidR="00C32E2A" w:rsidRDefault="006A73A5" w:rsidP="003F0D66">
      <w:pPr>
        <w:widowControl w:val="0"/>
        <w:ind w:left="800" w:hanging="800"/>
      </w:pPr>
      <w:r w:rsidRPr="002F490A">
        <w:t>Bishop, Jeffrey P. Joseph B. Fa</w:t>
      </w:r>
      <w:r w:rsidR="00A669D0">
        <w:t>nning, and Mark J. Bliton. "Of Goals and Goods and Floundering About: A Dissensus Report on Clinical Ethics C</w:t>
      </w:r>
      <w:r w:rsidRPr="002F490A">
        <w:t xml:space="preserve">onsultation." </w:t>
      </w:r>
      <w:r w:rsidRPr="002F490A">
        <w:rPr>
          <w:i/>
          <w:iCs/>
        </w:rPr>
        <w:t>HEC Forum</w:t>
      </w:r>
      <w:r w:rsidR="00FA17C4">
        <w:t xml:space="preserve"> 21.3 (2009): 275-291. </w:t>
      </w:r>
    </w:p>
    <w:p w14:paraId="5154482F" w14:textId="77777777" w:rsidR="0065084D" w:rsidRDefault="0065084D" w:rsidP="003F0D66">
      <w:pPr>
        <w:widowControl w:val="0"/>
        <w:ind w:left="800" w:hanging="800"/>
      </w:pPr>
    </w:p>
    <w:p w14:paraId="296215E8" w14:textId="77777777" w:rsidR="001D4176" w:rsidRPr="006A73A5" w:rsidRDefault="00327D33" w:rsidP="003F0D66">
      <w:pPr>
        <w:widowControl w:val="0"/>
        <w:ind w:left="800" w:hanging="800"/>
      </w:pPr>
      <w:r>
        <w:t>Boat</w:t>
      </w:r>
      <w:r w:rsidR="001D4176">
        <w:t>right, J</w:t>
      </w:r>
      <w:r>
        <w:t xml:space="preserve">ohn R. </w:t>
      </w:r>
      <w:r w:rsidR="00BC6696">
        <w:t>“</w:t>
      </w:r>
      <w:r>
        <w:t>Conflict of Interest: A Response to Michael Davis.</w:t>
      </w:r>
      <w:r w:rsidR="00BC6696">
        <w:t>”</w:t>
      </w:r>
      <w:r>
        <w:t xml:space="preserve"> </w:t>
      </w:r>
      <w:r w:rsidRPr="00327D33">
        <w:rPr>
          <w:i/>
        </w:rPr>
        <w:t xml:space="preserve">Business and Professional Ethics Journal </w:t>
      </w:r>
      <w:r>
        <w:t>12.4 (1993): 43-46.</w:t>
      </w:r>
    </w:p>
    <w:p w14:paraId="32EF2F29" w14:textId="77777777" w:rsidR="0065084D" w:rsidRDefault="0065084D" w:rsidP="003F0D66">
      <w:pPr>
        <w:widowControl w:val="0"/>
        <w:ind w:left="800" w:hanging="800"/>
      </w:pPr>
    </w:p>
    <w:p w14:paraId="1CF1157C" w14:textId="77777777" w:rsidR="006971A9" w:rsidRDefault="006A73A5" w:rsidP="003F0D66">
      <w:pPr>
        <w:widowControl w:val="0"/>
        <w:ind w:left="800" w:hanging="800"/>
      </w:pPr>
      <w:r w:rsidRPr="002F490A">
        <w:t xml:space="preserve">Boetzkes, Elisabeth A. </w:t>
      </w:r>
      <w:r w:rsidR="00A669D0">
        <w:rPr>
          <w:i/>
          <w:iCs/>
        </w:rPr>
        <w:t>Readings in Health Care E</w:t>
      </w:r>
      <w:r w:rsidRPr="002F490A">
        <w:rPr>
          <w:i/>
          <w:iCs/>
        </w:rPr>
        <w:t>thics</w:t>
      </w:r>
      <w:r w:rsidRPr="002F490A">
        <w:t>. 2nd ed. Peterborough, Ont</w:t>
      </w:r>
      <w:r w:rsidR="00FA17C4">
        <w:t xml:space="preserve">.: Broadview Press, 2012. </w:t>
      </w:r>
    </w:p>
    <w:p w14:paraId="67D1E480" w14:textId="77777777" w:rsidR="0065084D" w:rsidRDefault="0065084D" w:rsidP="003F0D66">
      <w:pPr>
        <w:widowControl w:val="0"/>
        <w:ind w:left="800" w:hanging="800"/>
      </w:pPr>
    </w:p>
    <w:p w14:paraId="7A37F403" w14:textId="77777777" w:rsidR="006971A9" w:rsidRPr="006A73A5" w:rsidRDefault="006971A9" w:rsidP="003F0D66">
      <w:pPr>
        <w:widowControl w:val="0"/>
        <w:ind w:left="800" w:hanging="800"/>
      </w:pPr>
      <w:r>
        <w:t xml:space="preserve">Bosch, X, et al. </w:t>
      </w:r>
      <w:r w:rsidR="00BC6696">
        <w:t>“</w:t>
      </w:r>
      <w:r>
        <w:t>Financial, Nonfinancial and Editors' Conflicts of Interest in High-Impact Biomedical Journals.</w:t>
      </w:r>
      <w:r w:rsidR="00BC6696">
        <w:t>”</w:t>
      </w:r>
      <w:r w:rsidR="00FA17C4">
        <w:t xml:space="preserve"> </w:t>
      </w:r>
      <w:r w:rsidRPr="00BC6696">
        <w:rPr>
          <w:i/>
        </w:rPr>
        <w:t>European Journal of Clinical Investigation</w:t>
      </w:r>
      <w:r w:rsidR="00FA17C4">
        <w:t xml:space="preserve"> 43.</w:t>
      </w:r>
      <w:r>
        <w:t>7</w:t>
      </w:r>
      <w:r w:rsidR="00FA17C4">
        <w:t xml:space="preserve"> 9 (2013</w:t>
      </w:r>
      <w:r>
        <w:t>): 660–667</w:t>
      </w:r>
      <w:r w:rsidR="00FA17C4">
        <w:t>.</w:t>
      </w:r>
    </w:p>
    <w:p w14:paraId="4F991E69" w14:textId="77777777" w:rsidR="0065084D" w:rsidRDefault="0065084D" w:rsidP="003F0D66">
      <w:pPr>
        <w:widowControl w:val="0"/>
        <w:ind w:left="800" w:hanging="800"/>
      </w:pPr>
    </w:p>
    <w:p w14:paraId="40307DC8" w14:textId="77777777" w:rsidR="00C32E2A" w:rsidRPr="006A73A5" w:rsidRDefault="00A669D0" w:rsidP="003F0D66">
      <w:pPr>
        <w:widowControl w:val="0"/>
        <w:ind w:left="800" w:hanging="800"/>
      </w:pPr>
      <w:r>
        <w:t>Bosk, CL. "Professional Ethicist Available: Logical, Secular, F</w:t>
      </w:r>
      <w:r w:rsidR="006A73A5" w:rsidRPr="002F490A">
        <w:t xml:space="preserve">riendly." </w:t>
      </w:r>
      <w:r w:rsidR="006A73A5" w:rsidRPr="002F490A">
        <w:rPr>
          <w:i/>
          <w:iCs/>
        </w:rPr>
        <w:t>Daedalus</w:t>
      </w:r>
      <w:r w:rsidR="006A73A5" w:rsidRPr="002F490A">
        <w:t xml:space="preserve"> </w:t>
      </w:r>
      <w:r w:rsidR="00FA17C4">
        <w:lastRenderedPageBreak/>
        <w:t xml:space="preserve">128.4 (1999): 47-68. </w:t>
      </w:r>
    </w:p>
    <w:p w14:paraId="1F56411E" w14:textId="77777777" w:rsidR="0065084D" w:rsidRDefault="0065084D" w:rsidP="003F0D66">
      <w:pPr>
        <w:widowControl w:val="0"/>
        <w:ind w:left="800" w:hanging="800"/>
      </w:pPr>
    </w:p>
    <w:p w14:paraId="4B0CDF1C" w14:textId="77777777" w:rsidR="00ED6C08" w:rsidRDefault="00A669D0" w:rsidP="003F0D66">
      <w:pPr>
        <w:widowControl w:val="0"/>
        <w:ind w:left="800" w:hanging="800"/>
      </w:pPr>
      <w:r>
        <w:t>Bowman, Kerry. "What are the L</w:t>
      </w:r>
      <w:r w:rsidR="006A73A5" w:rsidRPr="002F490A">
        <w:t>imits</w:t>
      </w:r>
      <w:r>
        <w:t xml:space="preserve"> of Bioethics in a Culturally Pluralistic S</w:t>
      </w:r>
      <w:r w:rsidR="006A73A5" w:rsidRPr="002F490A">
        <w:t xml:space="preserve">ociety?" </w:t>
      </w:r>
      <w:r w:rsidR="006A73A5" w:rsidRPr="002F490A">
        <w:rPr>
          <w:i/>
          <w:iCs/>
        </w:rPr>
        <w:t>The Journal of Law, Medicine &amp; Ethics</w:t>
      </w:r>
      <w:r w:rsidR="00FA17C4">
        <w:t xml:space="preserve"> 32.4 (2004): 664-669.</w:t>
      </w:r>
    </w:p>
    <w:p w14:paraId="47D80C63" w14:textId="77777777" w:rsidR="00C242C5" w:rsidRDefault="00C242C5" w:rsidP="003F0D66">
      <w:pPr>
        <w:widowControl w:val="0"/>
        <w:ind w:left="800" w:hanging="800"/>
      </w:pPr>
    </w:p>
    <w:p w14:paraId="46601C4A" w14:textId="77777777" w:rsidR="00ED6C08" w:rsidRDefault="00C242C5" w:rsidP="003F0D66">
      <w:pPr>
        <w:widowControl w:val="0"/>
        <w:ind w:left="800" w:hanging="800"/>
      </w:pPr>
      <w:r>
        <w:t xml:space="preserve">Brody, Howard. “Clarifying Conflict of Interest.” </w:t>
      </w:r>
      <w:r w:rsidRPr="00A669D0">
        <w:rPr>
          <w:i/>
        </w:rPr>
        <w:t>The American Journal of</w:t>
      </w:r>
      <w:r>
        <w:t xml:space="preserve"> </w:t>
      </w:r>
      <w:r w:rsidRPr="00A669D0">
        <w:rPr>
          <w:i/>
        </w:rPr>
        <w:t>Bioethics</w:t>
      </w:r>
      <w:r>
        <w:t xml:space="preserve"> 11.1 (2011): 23-28.</w:t>
      </w:r>
    </w:p>
    <w:p w14:paraId="702A130E" w14:textId="77777777" w:rsidR="00C242C5" w:rsidRDefault="00C242C5" w:rsidP="003F0D66">
      <w:pPr>
        <w:widowControl w:val="0"/>
        <w:ind w:left="800" w:hanging="800"/>
      </w:pPr>
    </w:p>
    <w:p w14:paraId="1929E791" w14:textId="77777777" w:rsidR="00C32E2A" w:rsidRDefault="00ED6C08" w:rsidP="003F0D66">
      <w:pPr>
        <w:widowControl w:val="0"/>
        <w:ind w:left="800" w:hanging="800"/>
      </w:pPr>
      <w:r>
        <w:t xml:space="preserve">Buchman, Sandy. </w:t>
      </w:r>
      <w:r w:rsidR="00A669D0">
        <w:t>“Why I Decided to P</w:t>
      </w:r>
      <w:r w:rsidR="00024C5E" w:rsidRPr="00024C5E">
        <w:t>rov</w:t>
      </w:r>
      <w:r w:rsidR="00A669D0">
        <w:t>ide Assisted Dying: It is Truly Patient Centred C</w:t>
      </w:r>
      <w:r w:rsidR="00024C5E" w:rsidRPr="00024C5E">
        <w:t xml:space="preserve">are.”  </w:t>
      </w:r>
      <w:r w:rsidR="00024C5E" w:rsidRPr="00024C5E">
        <w:rPr>
          <w:i/>
        </w:rPr>
        <w:t>British Medical Journal</w:t>
      </w:r>
      <w:r w:rsidR="00024C5E" w:rsidRPr="00024C5E">
        <w:t xml:space="preserve"> 364 (2019): 1412. </w:t>
      </w:r>
    </w:p>
    <w:p w14:paraId="77A5534E" w14:textId="77777777" w:rsidR="007A67C8" w:rsidRDefault="007A67C8" w:rsidP="003F0D66">
      <w:pPr>
        <w:widowControl w:val="0"/>
        <w:ind w:left="800" w:hanging="800"/>
      </w:pPr>
    </w:p>
    <w:p w14:paraId="485D6BC8" w14:textId="4F27E7D5" w:rsidR="00942900" w:rsidRPr="00F94851" w:rsidRDefault="007A67C8" w:rsidP="00F94851">
      <w:pPr>
        <w:widowControl w:val="0"/>
        <w:ind w:left="800" w:hanging="800"/>
      </w:pPr>
      <w:r w:rsidRPr="00F94851">
        <w:t xml:space="preserve">Bruce, Courtenay R., Trevor M. Bibler, Adam M. Pena, and Betsy Kusin. “A Qualitative Exploration of a Clinical Ethicist’s Role and Contributions </w:t>
      </w:r>
      <w:r w:rsidR="003A2718" w:rsidRPr="00F94851">
        <w:t>during</w:t>
      </w:r>
      <w:r w:rsidRPr="00F94851">
        <w:t xml:space="preserve"> Family Meetings.” </w:t>
      </w:r>
      <w:r w:rsidRPr="00F94851">
        <w:rPr>
          <w:i/>
        </w:rPr>
        <w:t>HEC Forum</w:t>
      </w:r>
      <w:r w:rsidRPr="00F94851">
        <w:t xml:space="preserve"> 28.4 (2016) 283-299.</w:t>
      </w:r>
    </w:p>
    <w:p w14:paraId="4CA2276F" w14:textId="77777777" w:rsidR="00942900" w:rsidRPr="00F94851" w:rsidRDefault="00942900" w:rsidP="00F94851">
      <w:pPr>
        <w:widowControl w:val="0"/>
        <w:ind w:left="800" w:hanging="800"/>
      </w:pPr>
    </w:p>
    <w:p w14:paraId="5DE65DDD" w14:textId="09CD2E12" w:rsidR="00942900" w:rsidRPr="00F94851" w:rsidRDefault="00942900" w:rsidP="00F94851">
      <w:pPr>
        <w:widowControl w:val="0"/>
        <w:ind w:left="800" w:hanging="800"/>
      </w:pPr>
      <w:r w:rsidRPr="00F94851">
        <w:rPr>
          <w:lang w:val="en-US"/>
        </w:rPr>
        <w:t xml:space="preserve">Cannistra, </w:t>
      </w:r>
      <w:r w:rsidR="00F94851" w:rsidRPr="00F94851">
        <w:rPr>
          <w:lang w:val="en-US"/>
        </w:rPr>
        <w:t xml:space="preserve">Stephen A. </w:t>
      </w:r>
      <w:r w:rsidRPr="00F94851">
        <w:rPr>
          <w:lang w:val="en-US"/>
        </w:rPr>
        <w:t xml:space="preserve">“The Ethics of Early Stopping Rules: Who is Protecting Whom?” </w:t>
      </w:r>
      <w:r w:rsidRPr="00F94851">
        <w:rPr>
          <w:i/>
          <w:iCs/>
          <w:lang w:val="en-US"/>
        </w:rPr>
        <w:t>Journal of Clinical Oncology</w:t>
      </w:r>
      <w:r w:rsidRPr="00F94851">
        <w:rPr>
          <w:lang w:val="en-US"/>
        </w:rPr>
        <w:t xml:space="preserve"> </w:t>
      </w:r>
      <w:r w:rsidR="00F94851" w:rsidRPr="00F94851">
        <w:rPr>
          <w:lang w:val="en-US"/>
        </w:rPr>
        <w:t>22.9 (</w:t>
      </w:r>
      <w:r w:rsidRPr="00F94851">
        <w:rPr>
          <w:lang w:val="en-US"/>
        </w:rPr>
        <w:t>2002</w:t>
      </w:r>
      <w:r w:rsidR="00F94851" w:rsidRPr="00F94851">
        <w:rPr>
          <w:lang w:val="en-US"/>
        </w:rPr>
        <w:t>)</w:t>
      </w:r>
      <w:r w:rsidRPr="00F94851">
        <w:rPr>
          <w:lang w:val="en-US"/>
        </w:rPr>
        <w:t xml:space="preserve"> 1542-1545. </w:t>
      </w:r>
    </w:p>
    <w:p w14:paraId="071E1407" w14:textId="198E289E" w:rsidR="00B70580" w:rsidRPr="00F94851" w:rsidRDefault="007A67C8" w:rsidP="003F0D66">
      <w:pPr>
        <w:widowControl w:val="0"/>
        <w:ind w:left="800" w:hanging="800"/>
      </w:pPr>
      <w:r w:rsidRPr="00F94851">
        <w:t xml:space="preserve">   </w:t>
      </w:r>
    </w:p>
    <w:p w14:paraId="27F3018C" w14:textId="24A67FC7" w:rsidR="00C32E2A" w:rsidRDefault="006A73A5" w:rsidP="003F0D66">
      <w:pPr>
        <w:widowControl w:val="0"/>
        <w:ind w:left="800" w:hanging="800"/>
      </w:pPr>
      <w:r w:rsidRPr="00F94851">
        <w:t>Carrese, J</w:t>
      </w:r>
      <w:r w:rsidR="007C553C">
        <w:t xml:space="preserve">. </w:t>
      </w:r>
      <w:r w:rsidRPr="00F94851">
        <w:t>A</w:t>
      </w:r>
      <w:r w:rsidR="007C553C">
        <w:t>.</w:t>
      </w:r>
      <w:r w:rsidRPr="00F94851">
        <w:t>, P</w:t>
      </w:r>
      <w:r w:rsidR="007C553C">
        <w:t>.</w:t>
      </w:r>
      <w:r w:rsidRPr="00F94851">
        <w:t xml:space="preserve"> Goodman-Crews, A</w:t>
      </w:r>
      <w:r w:rsidR="007C553C">
        <w:t>.</w:t>
      </w:r>
      <w:r w:rsidRPr="00F94851">
        <w:t xml:space="preserve"> Heesters, M</w:t>
      </w:r>
      <w:r w:rsidR="007C553C">
        <w:t>.</w:t>
      </w:r>
      <w:r w:rsidRPr="00F94851">
        <w:t xml:space="preserve"> Jurchak , C</w:t>
      </w:r>
      <w:r w:rsidR="007C553C">
        <w:t>.</w:t>
      </w:r>
      <w:r w:rsidRPr="00F94851">
        <w:t xml:space="preserve"> Mitchell , N</w:t>
      </w:r>
      <w:r w:rsidR="007C553C">
        <w:t>.</w:t>
      </w:r>
      <w:r w:rsidRPr="00F94851">
        <w:t xml:space="preserve"> Mokwyune , K</w:t>
      </w:r>
      <w:r w:rsidR="007C553C">
        <w:t>.</w:t>
      </w:r>
      <w:r w:rsidRPr="00F94851">
        <w:t xml:space="preserve"> Parsi , T</w:t>
      </w:r>
      <w:r w:rsidR="007C553C">
        <w:t xml:space="preserve">. </w:t>
      </w:r>
      <w:r w:rsidRPr="00F94851">
        <w:t>Powell , K</w:t>
      </w:r>
      <w:r w:rsidR="007C553C">
        <w:t xml:space="preserve">. </w:t>
      </w:r>
      <w:r w:rsidRPr="00F94851">
        <w:t>E</w:t>
      </w:r>
      <w:r w:rsidR="007C553C">
        <w:t>.</w:t>
      </w:r>
      <w:r w:rsidRPr="00F94851">
        <w:t xml:space="preserve"> Powderly , T</w:t>
      </w:r>
      <w:r w:rsidR="007C553C">
        <w:t>.</w:t>
      </w:r>
      <w:r w:rsidRPr="00F94851">
        <w:t xml:space="preserve"> Rosell , W</w:t>
      </w:r>
      <w:r w:rsidR="007C553C">
        <w:t>.</w:t>
      </w:r>
      <w:r w:rsidRPr="00F94851">
        <w:t xml:space="preserve"> Shelton, A</w:t>
      </w:r>
      <w:r w:rsidR="007C553C">
        <w:t xml:space="preserve">. </w:t>
      </w:r>
      <w:r w:rsidRPr="00F94851">
        <w:t>H</w:t>
      </w:r>
      <w:r w:rsidR="007C553C">
        <w:t>.</w:t>
      </w:r>
      <w:r w:rsidRPr="00F94851">
        <w:t xml:space="preserve"> Antommaria , M</w:t>
      </w:r>
      <w:r w:rsidR="007C553C">
        <w:t xml:space="preserve">. </w:t>
      </w:r>
      <w:r w:rsidRPr="00F94851">
        <w:t>L</w:t>
      </w:r>
      <w:r w:rsidR="007C553C">
        <w:t>.</w:t>
      </w:r>
      <w:r w:rsidRPr="00F94851">
        <w:t xml:space="preserve"> Smith , J</w:t>
      </w:r>
      <w:r w:rsidR="007C553C">
        <w:t>.</w:t>
      </w:r>
      <w:r w:rsidRPr="00F94851">
        <w:t xml:space="preserve"> Spike, A</w:t>
      </w:r>
      <w:r w:rsidR="007C553C">
        <w:t>.</w:t>
      </w:r>
      <w:r w:rsidRPr="00F94851">
        <w:t>Tarzian, L</w:t>
      </w:r>
      <w:r w:rsidR="007C553C">
        <w:t>.</w:t>
      </w:r>
      <w:r w:rsidRPr="00F94851">
        <w:t>Wocial</w:t>
      </w:r>
      <w:r w:rsidRPr="002F490A">
        <w:t>,  K</w:t>
      </w:r>
      <w:r w:rsidR="007C553C">
        <w:t xml:space="preserve">. </w:t>
      </w:r>
      <w:r w:rsidRPr="002F490A">
        <w:t>A</w:t>
      </w:r>
      <w:r w:rsidR="007C553C">
        <w:t xml:space="preserve">. </w:t>
      </w:r>
      <w:r w:rsidRPr="002F490A">
        <w:t>Berkowitz, J</w:t>
      </w:r>
      <w:r w:rsidR="007C553C">
        <w:t>.</w:t>
      </w:r>
      <w:r w:rsidRPr="002F490A">
        <w:t xml:space="preserve"> Berger, J</w:t>
      </w:r>
      <w:r w:rsidR="007C553C">
        <w:t>.</w:t>
      </w:r>
      <w:r w:rsidRPr="002F490A">
        <w:t xml:space="preserve"> Carrese, B</w:t>
      </w:r>
      <w:r w:rsidR="007C553C">
        <w:t xml:space="preserve">. </w:t>
      </w:r>
      <w:r w:rsidRPr="002F490A">
        <w:t>H</w:t>
      </w:r>
      <w:r w:rsidR="007C553C">
        <w:t>.</w:t>
      </w:r>
      <w:r w:rsidRPr="002F490A">
        <w:t xml:space="preserve"> Childs , A</w:t>
      </w:r>
      <w:r w:rsidR="007C553C">
        <w:t xml:space="preserve">. </w:t>
      </w:r>
      <w:r w:rsidRPr="002F490A">
        <w:t>R</w:t>
      </w:r>
      <w:r w:rsidR="007C553C">
        <w:t>.</w:t>
      </w:r>
      <w:r w:rsidRPr="002F490A">
        <w:t xml:space="preserve"> Derse, C</w:t>
      </w:r>
      <w:r w:rsidR="007C553C">
        <w:t>.</w:t>
      </w:r>
      <w:r w:rsidRPr="002F490A">
        <w:t xml:space="preserve"> Gallag</w:t>
      </w:r>
      <w:r w:rsidR="00A669D0">
        <w:t>her, and J</w:t>
      </w:r>
      <w:r w:rsidR="007C553C">
        <w:t xml:space="preserve">. </w:t>
      </w:r>
      <w:r w:rsidR="00A669D0">
        <w:t>A</w:t>
      </w:r>
      <w:r w:rsidR="007C553C">
        <w:t>.</w:t>
      </w:r>
      <w:r w:rsidR="00A669D0">
        <w:t xml:space="preserve"> Gallagher. "HCEC Pearls and Pitfalls: Suggested Do's and Don'ts for Healthcare Ethics C</w:t>
      </w:r>
      <w:r w:rsidRPr="002F490A">
        <w:t xml:space="preserve">onsultants." </w:t>
      </w:r>
      <w:r w:rsidRPr="002F490A">
        <w:rPr>
          <w:i/>
          <w:iCs/>
        </w:rPr>
        <w:t>Journal of Clinical Ethics</w:t>
      </w:r>
      <w:r w:rsidR="00FA17C4">
        <w:t xml:space="preserve"> 23.3 (2012): 234-40. </w:t>
      </w:r>
    </w:p>
    <w:p w14:paraId="308F29C2" w14:textId="77777777" w:rsidR="00C03A9A" w:rsidRDefault="00C03A9A" w:rsidP="003F0D66">
      <w:pPr>
        <w:widowControl w:val="0"/>
        <w:ind w:left="800" w:hanging="800"/>
      </w:pPr>
    </w:p>
    <w:p w14:paraId="7F41BF67" w14:textId="77777777" w:rsidR="00C32E2A" w:rsidRPr="006A73A5" w:rsidRDefault="00C03A9A" w:rsidP="00A669D0">
      <w:pPr>
        <w:widowControl w:val="0"/>
        <w:ind w:left="800" w:hanging="800"/>
      </w:pPr>
      <w:r w:rsidRPr="00227847">
        <w:rPr>
          <w:i/>
        </w:rPr>
        <w:t>Carter V. Canada</w:t>
      </w:r>
      <w:r w:rsidRPr="00C03A9A">
        <w:t xml:space="preserve"> (Attorn</w:t>
      </w:r>
      <w:r w:rsidR="00227847">
        <w:t>ey General) - SCC Cases (Lexum)</w:t>
      </w:r>
      <w:r w:rsidRPr="00C03A9A">
        <w:t>. Scc-Csc.Lexum.Com, Last modified 2015.</w:t>
      </w:r>
      <w:r>
        <w:t xml:space="preserve"> </w:t>
      </w:r>
      <w:hyperlink r:id="rId12" w:history="1">
        <w:r w:rsidR="009B6900" w:rsidRPr="007A7658">
          <w:rPr>
            <w:rStyle w:val="Hyperlink"/>
          </w:rPr>
          <w:t>https://scc-csc.lexum.com/scc-csc/scc-csc/en/item/14637/index.do</w:t>
        </w:r>
      </w:hyperlink>
      <w:r w:rsidR="009B6900">
        <w:t>. Accessed: 1 February 2019.</w:t>
      </w:r>
      <w:r w:rsidR="00FA17C4">
        <w:t xml:space="preserve"> </w:t>
      </w:r>
    </w:p>
    <w:p w14:paraId="1858E102" w14:textId="77777777" w:rsidR="0065084D" w:rsidRDefault="0065084D" w:rsidP="003F0D66">
      <w:pPr>
        <w:widowControl w:val="0"/>
        <w:ind w:left="800" w:hanging="800"/>
      </w:pPr>
    </w:p>
    <w:p w14:paraId="24BCD6AE" w14:textId="77777777" w:rsidR="00C32E2A" w:rsidRPr="006A73A5" w:rsidRDefault="006A73A5" w:rsidP="003F0D66">
      <w:pPr>
        <w:widowControl w:val="0"/>
        <w:ind w:left="800" w:hanging="800"/>
      </w:pPr>
      <w:r w:rsidRPr="002F490A">
        <w:t xml:space="preserve">Chambers, Tod. "The Art </w:t>
      </w:r>
      <w:r w:rsidR="0006103B">
        <w:t>o</w:t>
      </w:r>
      <w:r w:rsidRPr="002F490A">
        <w:t xml:space="preserve">f Bioethics." </w:t>
      </w:r>
      <w:r w:rsidRPr="002F490A">
        <w:rPr>
          <w:i/>
          <w:iCs/>
        </w:rPr>
        <w:t>Hastings Center Report</w:t>
      </w:r>
      <w:r w:rsidR="00FA17C4">
        <w:t xml:space="preserve"> 35.2 (2005): 3-3.</w:t>
      </w:r>
    </w:p>
    <w:p w14:paraId="7B849997" w14:textId="77777777" w:rsidR="0065084D" w:rsidRDefault="0065084D" w:rsidP="003F0D66">
      <w:pPr>
        <w:widowControl w:val="0"/>
        <w:ind w:left="800" w:hanging="800"/>
      </w:pPr>
    </w:p>
    <w:p w14:paraId="29052187" w14:textId="571A1AE3" w:rsidR="00C32E2A" w:rsidRDefault="006A73A5" w:rsidP="003F0D66">
      <w:pPr>
        <w:widowControl w:val="0"/>
        <w:ind w:left="800" w:hanging="800"/>
      </w:pPr>
      <w:r w:rsidRPr="002F490A">
        <w:t>C</w:t>
      </w:r>
      <w:r w:rsidR="00263A8D">
        <w:t>haro, R. Alta. "Passing on the R</w:t>
      </w:r>
      <w:r w:rsidRPr="002F490A">
        <w:t>ight</w:t>
      </w:r>
      <w:r w:rsidR="00811969">
        <w:t>: C</w:t>
      </w:r>
      <w:r w:rsidR="00263A8D">
        <w:t xml:space="preserve">onservative Bioethics is Closer </w:t>
      </w:r>
      <w:r w:rsidR="00E74B29">
        <w:t>than</w:t>
      </w:r>
      <w:r w:rsidR="00263A8D">
        <w:t xml:space="preserve"> it A</w:t>
      </w:r>
      <w:r w:rsidRPr="002F490A">
        <w:t xml:space="preserve">ppears." </w:t>
      </w:r>
      <w:r w:rsidRPr="002F490A">
        <w:rPr>
          <w:i/>
          <w:iCs/>
        </w:rPr>
        <w:t>The Journal of Law, Medicine &amp; Ethics</w:t>
      </w:r>
      <w:r w:rsidR="00FA17C4">
        <w:t xml:space="preserve"> 32.2 (2004): 307-314. </w:t>
      </w:r>
    </w:p>
    <w:p w14:paraId="7FF9D310" w14:textId="77777777" w:rsidR="00E74B29" w:rsidRDefault="00E74B29" w:rsidP="003F0D66">
      <w:pPr>
        <w:widowControl w:val="0"/>
        <w:ind w:left="800" w:hanging="800"/>
      </w:pPr>
    </w:p>
    <w:p w14:paraId="7CAB9B7A" w14:textId="77777777" w:rsidR="00C32E2A" w:rsidRPr="006A73A5" w:rsidRDefault="006A73A5" w:rsidP="003F0D66">
      <w:pPr>
        <w:widowControl w:val="0"/>
        <w:ind w:left="800" w:hanging="800"/>
      </w:pPr>
      <w:r w:rsidRPr="002F490A">
        <w:t>Chidwick, Paula, Jennifer Bell, Eoin Connolly, Michael D. Coughlin, Andrea Frolic, Laurie Hardingham, and Ran</w:t>
      </w:r>
      <w:r w:rsidR="00263A8D">
        <w:t>di Zlotnik Shaul. "Exploring a Model Role Description for E</w:t>
      </w:r>
      <w:r w:rsidRPr="002F490A">
        <w:t xml:space="preserve">thicists." </w:t>
      </w:r>
      <w:r w:rsidRPr="002F490A">
        <w:rPr>
          <w:i/>
          <w:iCs/>
        </w:rPr>
        <w:t>HEC Forum</w:t>
      </w:r>
      <w:r w:rsidR="00FA17C4">
        <w:t xml:space="preserve"> 22.1 (2010): 31-40. </w:t>
      </w:r>
    </w:p>
    <w:p w14:paraId="5E789439" w14:textId="77777777" w:rsidR="0065084D" w:rsidRDefault="0065084D" w:rsidP="003F0D66">
      <w:pPr>
        <w:widowControl w:val="0"/>
        <w:ind w:left="800" w:hanging="800"/>
      </w:pPr>
    </w:p>
    <w:p w14:paraId="3026F22D" w14:textId="77777777" w:rsidR="00E74B29" w:rsidRDefault="006A73A5" w:rsidP="003F0D66">
      <w:pPr>
        <w:widowControl w:val="0"/>
        <w:ind w:left="800" w:hanging="800"/>
      </w:pPr>
      <w:r w:rsidRPr="002F490A">
        <w:t xml:space="preserve">Childs, Brian H. "Credentialing Clinical Ethics Consultants: Lessons To Be Learned." </w:t>
      </w:r>
      <w:r w:rsidRPr="002F490A">
        <w:rPr>
          <w:i/>
          <w:iCs/>
        </w:rPr>
        <w:t>HEC Forum</w:t>
      </w:r>
      <w:r w:rsidR="00FA17C4">
        <w:t xml:space="preserve"> 21.3 (2009): 231-240.</w:t>
      </w:r>
    </w:p>
    <w:p w14:paraId="1C175C4E" w14:textId="77777777" w:rsidR="00E74B29" w:rsidRDefault="00E74B29" w:rsidP="003F0D66">
      <w:pPr>
        <w:widowControl w:val="0"/>
        <w:ind w:left="800" w:hanging="800"/>
      </w:pPr>
    </w:p>
    <w:p w14:paraId="52DB471E" w14:textId="6F140FE6" w:rsidR="00C32E2A" w:rsidRPr="006A73A5" w:rsidRDefault="00E74B29" w:rsidP="003F0D66">
      <w:pPr>
        <w:widowControl w:val="0"/>
        <w:ind w:left="800" w:hanging="800"/>
      </w:pPr>
      <w:r w:rsidRPr="00E74B29">
        <w:t xml:space="preserve">Cho, Mildred K., Sara L. Tobin, Henry T. Greely, Jennifer McCormick, Angie Boyce, and David Magnus. “Strangers at the Benchside: Research Ethics </w:t>
      </w:r>
      <w:r w:rsidRPr="00E74B29">
        <w:lastRenderedPageBreak/>
        <w:t xml:space="preserve">Consultation.” </w:t>
      </w:r>
      <w:r w:rsidRPr="004B02AD">
        <w:rPr>
          <w:i/>
        </w:rPr>
        <w:t>American Journal of Bioethics</w:t>
      </w:r>
      <w:r w:rsidRPr="00E74B29">
        <w:t xml:space="preserve"> 8.3 (2008): 4–13.</w:t>
      </w:r>
      <w:r w:rsidR="00FA17C4">
        <w:t xml:space="preserve"> </w:t>
      </w:r>
    </w:p>
    <w:p w14:paraId="41441FC4" w14:textId="77777777" w:rsidR="0065084D" w:rsidRDefault="0065084D" w:rsidP="003F0D66">
      <w:pPr>
        <w:widowControl w:val="0"/>
        <w:ind w:left="800" w:hanging="800"/>
      </w:pPr>
    </w:p>
    <w:p w14:paraId="6D83822F" w14:textId="04F477D7" w:rsidR="00D92B03" w:rsidRDefault="006A73A5" w:rsidP="003F0D66">
      <w:pPr>
        <w:widowControl w:val="0"/>
        <w:ind w:left="800" w:hanging="800"/>
      </w:pPr>
      <w:r w:rsidRPr="002F490A">
        <w:t>Cline, Cheryl, Ann Heesters, Barbara Secker, and</w:t>
      </w:r>
      <w:r w:rsidR="00263A8D">
        <w:t xml:space="preserve"> Frolic Andrea. "Education for Ethics Practice: Tailoring Curricula to Local Needs and O</w:t>
      </w:r>
      <w:r w:rsidRPr="002F490A">
        <w:t xml:space="preserve">bjectives." </w:t>
      </w:r>
      <w:r w:rsidRPr="002F490A">
        <w:rPr>
          <w:i/>
          <w:iCs/>
        </w:rPr>
        <w:t>HEC Forum</w:t>
      </w:r>
      <w:r w:rsidRPr="002F490A">
        <w:t xml:space="preserve"> </w:t>
      </w:r>
      <w:r w:rsidR="00332F84">
        <w:t>24.3 (2012): 227-43.</w:t>
      </w:r>
    </w:p>
    <w:p w14:paraId="27317CFC" w14:textId="77777777" w:rsidR="00E9271E" w:rsidRDefault="00E9271E" w:rsidP="00E9271E">
      <w:pPr>
        <w:widowControl w:val="0"/>
        <w:ind w:left="800" w:hanging="800"/>
      </w:pPr>
    </w:p>
    <w:p w14:paraId="3094942F" w14:textId="54FFA97B" w:rsidR="00E9271E" w:rsidRDefault="00E9271E" w:rsidP="00E9271E">
      <w:pPr>
        <w:widowControl w:val="0"/>
        <w:ind w:left="800" w:hanging="800"/>
      </w:pPr>
      <w:r>
        <w:t xml:space="preserve">Cohen, G.A. “Facts and Principles.” </w:t>
      </w:r>
      <w:r w:rsidRPr="00D92B03">
        <w:rPr>
          <w:i/>
        </w:rPr>
        <w:t xml:space="preserve">Philosophy &amp; Public Affairs </w:t>
      </w:r>
      <w:r>
        <w:t>31.3 (Summer 2003):</w:t>
      </w:r>
      <w:r w:rsidRPr="00D92B03">
        <w:t xml:space="preserve"> pp. 211-245</w:t>
      </w:r>
      <w:r>
        <w:t>.</w:t>
      </w:r>
    </w:p>
    <w:p w14:paraId="69263910" w14:textId="434D61C4" w:rsidR="00C32E2A" w:rsidRDefault="00C32E2A" w:rsidP="00E9271E">
      <w:pPr>
        <w:widowControl w:val="0"/>
      </w:pPr>
    </w:p>
    <w:p w14:paraId="7A67FB8B" w14:textId="77777777" w:rsidR="009712DF" w:rsidRDefault="009712DF" w:rsidP="003F0D66">
      <w:pPr>
        <w:widowControl w:val="0"/>
        <w:ind w:left="800" w:hanging="800"/>
      </w:pPr>
      <w:r>
        <w:t xml:space="preserve">Cohen, I. Glenn, Holly Fernandez Lynch, Effy Vayena, and Urs Gasser (Eds.). </w:t>
      </w:r>
      <w:r w:rsidRPr="009712DF">
        <w:rPr>
          <w:i/>
        </w:rPr>
        <w:t>Big Data, Health Law, and Bioethics.</w:t>
      </w:r>
      <w:r>
        <w:t xml:space="preserve"> New York: Cambridge University Press, 2018.</w:t>
      </w:r>
    </w:p>
    <w:p w14:paraId="1A6F0D43" w14:textId="77777777" w:rsidR="00D92B03" w:rsidRDefault="00D92B03" w:rsidP="00332F84">
      <w:pPr>
        <w:widowControl w:val="0"/>
        <w:ind w:left="800" w:hanging="800"/>
      </w:pPr>
    </w:p>
    <w:p w14:paraId="315C8CC5" w14:textId="77777777" w:rsidR="00332F84" w:rsidRPr="00D15893" w:rsidRDefault="00332F84" w:rsidP="00332F84">
      <w:pPr>
        <w:widowControl w:val="0"/>
        <w:ind w:left="800" w:hanging="800"/>
        <w:rPr>
          <w:i/>
        </w:rPr>
      </w:pPr>
      <w:r>
        <w:t>Council of Canadian Academies.</w:t>
      </w:r>
      <w:r w:rsidR="00D15893">
        <w:t xml:space="preserve"> </w:t>
      </w:r>
      <w:r w:rsidR="00D15893" w:rsidRPr="00D15893">
        <w:t>The Expert Panel Working Group on Advance Requests for MAID</w:t>
      </w:r>
      <w:r w:rsidR="00D15893">
        <w:t xml:space="preserve">. </w:t>
      </w:r>
      <w:r w:rsidRPr="00D15893">
        <w:rPr>
          <w:i/>
        </w:rPr>
        <w:t>The State of Knowledge on Advance Requests</w:t>
      </w:r>
    </w:p>
    <w:p w14:paraId="46913BB4" w14:textId="77777777" w:rsidR="00332F84" w:rsidRPr="006A73A5" w:rsidRDefault="00D15893" w:rsidP="00D15893">
      <w:pPr>
        <w:widowControl w:val="0"/>
        <w:ind w:left="800" w:hanging="800"/>
      </w:pPr>
      <w:r w:rsidRPr="00D15893">
        <w:rPr>
          <w:i/>
        </w:rPr>
        <w:tab/>
      </w:r>
      <w:r w:rsidR="00332F84" w:rsidRPr="00D15893">
        <w:rPr>
          <w:i/>
        </w:rPr>
        <w:t>for Medical Assistance in Dying.</w:t>
      </w:r>
      <w:r>
        <w:t xml:space="preserve"> Ottawa, ON: </w:t>
      </w:r>
      <w:r w:rsidRPr="00D15893">
        <w:t>Council of Canadian Academies</w:t>
      </w:r>
      <w:r>
        <w:t>, 2018.</w:t>
      </w:r>
    </w:p>
    <w:p w14:paraId="4CAC55EF" w14:textId="77777777" w:rsidR="0065084D" w:rsidRDefault="0065084D" w:rsidP="0065084D">
      <w:pPr>
        <w:widowControl w:val="0"/>
        <w:ind w:left="800" w:hanging="800"/>
        <w:jc w:val="center"/>
        <w:rPr>
          <w:i/>
          <w:iCs/>
        </w:rPr>
      </w:pPr>
    </w:p>
    <w:p w14:paraId="0A69A119" w14:textId="77777777" w:rsidR="00AB0623" w:rsidRDefault="006A73A5" w:rsidP="003F0D66">
      <w:pPr>
        <w:widowControl w:val="0"/>
        <w:ind w:left="800" w:hanging="800"/>
      </w:pPr>
      <w:r w:rsidRPr="002F490A">
        <w:t>Crosthw</w:t>
      </w:r>
      <w:r w:rsidR="00263A8D">
        <w:t>aite, Jan. "Moral expertise: A Problem in the Professional Ethics of Professional E</w:t>
      </w:r>
      <w:r w:rsidRPr="002F490A">
        <w:t xml:space="preserve">thicists." </w:t>
      </w:r>
      <w:r w:rsidRPr="002F490A">
        <w:rPr>
          <w:i/>
          <w:iCs/>
        </w:rPr>
        <w:t>Bioethics</w:t>
      </w:r>
      <w:r w:rsidR="00FA17C4">
        <w:t xml:space="preserve"> 9.4 (1995): 361-379.</w:t>
      </w:r>
    </w:p>
    <w:p w14:paraId="1155E572" w14:textId="77777777" w:rsidR="00AB0623" w:rsidRDefault="00AB0623" w:rsidP="003F0D66">
      <w:pPr>
        <w:widowControl w:val="0"/>
        <w:ind w:left="800" w:hanging="800"/>
      </w:pPr>
    </w:p>
    <w:p w14:paraId="27500415" w14:textId="77777777" w:rsidR="00C32E2A" w:rsidRDefault="00AB0623" w:rsidP="003F0D66">
      <w:pPr>
        <w:widowControl w:val="0"/>
        <w:ind w:left="800" w:hanging="800"/>
      </w:pPr>
      <w:r>
        <w:t xml:space="preserve">Cummins, Deborah. “The Professional Status of Bioethics Consultation.” </w:t>
      </w:r>
      <w:r w:rsidRPr="00606D54">
        <w:rPr>
          <w:i/>
        </w:rPr>
        <w:t>Theoretical Medicine</w:t>
      </w:r>
      <w:r>
        <w:t xml:space="preserve"> 23</w:t>
      </w:r>
      <w:r w:rsidR="009A594F">
        <w:t>.1</w:t>
      </w:r>
      <w:r>
        <w:t xml:space="preserve"> (2002): 19-43.   </w:t>
      </w:r>
      <w:r w:rsidR="00FA17C4">
        <w:t xml:space="preserve"> </w:t>
      </w:r>
    </w:p>
    <w:p w14:paraId="43B95FE9" w14:textId="77777777" w:rsidR="0065084D" w:rsidRDefault="0065084D" w:rsidP="003F0D66">
      <w:pPr>
        <w:widowControl w:val="0"/>
        <w:ind w:left="800" w:hanging="800"/>
      </w:pPr>
    </w:p>
    <w:p w14:paraId="39A15605" w14:textId="77777777" w:rsidR="00FC39F9" w:rsidRDefault="00FC39F9" w:rsidP="003F0D66">
      <w:pPr>
        <w:widowControl w:val="0"/>
        <w:ind w:left="800" w:hanging="800"/>
      </w:pPr>
      <w:r w:rsidRPr="001240AE">
        <w:rPr>
          <w:i/>
        </w:rPr>
        <w:t>Cuthbertson vs Rasouli</w:t>
      </w:r>
      <w:r>
        <w:t xml:space="preserve"> </w:t>
      </w:r>
      <w:r w:rsidR="00303A9C" w:rsidRPr="00303A9C">
        <w:t>2013 SCC 53, [2013] 3 S.C.R. 341</w:t>
      </w:r>
      <w:r w:rsidR="00303A9C">
        <w:t>.</w:t>
      </w:r>
      <w:r>
        <w:t xml:space="preserve"> </w:t>
      </w:r>
      <w:hyperlink r:id="rId13" w:history="1">
        <w:r w:rsidR="00303A9C" w:rsidRPr="007A7658">
          <w:rPr>
            <w:rStyle w:val="Hyperlink"/>
          </w:rPr>
          <w:t>https://scc-csc.lexum.com/scc-csc/scc-csc/en/item/13290/index.do</w:t>
        </w:r>
      </w:hyperlink>
      <w:r w:rsidR="00303A9C">
        <w:t>. Accessed: 12 February 2019.</w:t>
      </w:r>
    </w:p>
    <w:p w14:paraId="7D6DD8A0" w14:textId="77777777" w:rsidR="00FC39F9" w:rsidRDefault="00FC39F9" w:rsidP="003F0D66">
      <w:pPr>
        <w:widowControl w:val="0"/>
        <w:ind w:left="800" w:hanging="800"/>
      </w:pPr>
    </w:p>
    <w:p w14:paraId="7A1C7805" w14:textId="77777777" w:rsidR="00375BE8" w:rsidRDefault="00375BE8" w:rsidP="003F0D66">
      <w:pPr>
        <w:widowControl w:val="0"/>
        <w:ind w:left="800" w:hanging="800"/>
      </w:pPr>
      <w:r>
        <w:t>d'Agincourt</w:t>
      </w:r>
      <w:r w:rsidR="00B70580">
        <w:t xml:space="preserve"> </w:t>
      </w:r>
      <w:r>
        <w:t>-</w:t>
      </w:r>
      <w:r w:rsidR="00B70580">
        <w:t xml:space="preserve"> </w:t>
      </w:r>
      <w:r w:rsidR="00263A8D">
        <w:t>Canning, Lori. "Not in Isolation: How History can Inform the Debate on P</w:t>
      </w:r>
      <w:r>
        <w:t xml:space="preserve">rofessionalization." </w:t>
      </w:r>
      <w:r w:rsidRPr="00BC6696">
        <w:rPr>
          <w:i/>
        </w:rPr>
        <w:t>HEC Forum</w:t>
      </w:r>
      <w:r w:rsidR="00FA17C4">
        <w:t xml:space="preserve"> 24.3 (2012): 165-70. </w:t>
      </w:r>
    </w:p>
    <w:p w14:paraId="3135486F" w14:textId="77777777" w:rsidR="0065084D" w:rsidRDefault="0065084D" w:rsidP="003F0D66">
      <w:pPr>
        <w:widowControl w:val="0"/>
        <w:ind w:left="800" w:hanging="800"/>
      </w:pPr>
    </w:p>
    <w:p w14:paraId="6428A476" w14:textId="77777777" w:rsidR="001148A6" w:rsidRPr="006A73A5" w:rsidRDefault="001148A6" w:rsidP="003F0D66">
      <w:pPr>
        <w:widowControl w:val="0"/>
        <w:ind w:left="800" w:hanging="800"/>
      </w:pPr>
      <w:r>
        <w:t>Dana, Jason and George Loewenstein</w:t>
      </w:r>
      <w:r w:rsidRPr="001148A6">
        <w:t xml:space="preserve"> “A Social Science Perspective on Gifts to Physicians from Industry.” </w:t>
      </w:r>
      <w:r w:rsidR="0006103B" w:rsidRPr="0006103B">
        <w:rPr>
          <w:i/>
        </w:rPr>
        <w:t>Journal of the American Medical Association</w:t>
      </w:r>
      <w:r w:rsidR="0006103B">
        <w:rPr>
          <w:i/>
        </w:rPr>
        <w:t xml:space="preserve"> </w:t>
      </w:r>
      <w:r w:rsidR="0006103B">
        <w:t xml:space="preserve">290.2 (2003): 252-255. </w:t>
      </w:r>
      <w:r w:rsidRPr="001148A6">
        <w:t>Online:</w:t>
      </w:r>
      <w:r w:rsidR="00FA17C4">
        <w:t xml:space="preserve"> </w:t>
      </w:r>
      <w:r w:rsidRPr="001148A6">
        <w:t xml:space="preserve">https://pdfs.semanticscholar.org/8b05/8d01e582e4bb06ac333b4bc740d6f29a104d.pdf. Accessed: April 20, 2018.  </w:t>
      </w:r>
    </w:p>
    <w:p w14:paraId="063A306B" w14:textId="77777777" w:rsidR="0065084D" w:rsidRDefault="0065084D" w:rsidP="003F0D66">
      <w:pPr>
        <w:widowControl w:val="0"/>
        <w:ind w:left="800" w:hanging="800"/>
      </w:pPr>
    </w:p>
    <w:p w14:paraId="01601B6B" w14:textId="77777777" w:rsidR="00C32E2A" w:rsidRPr="006A73A5" w:rsidRDefault="006A73A5" w:rsidP="003F0D66">
      <w:pPr>
        <w:widowControl w:val="0"/>
        <w:ind w:left="800" w:hanging="800"/>
      </w:pPr>
      <w:r w:rsidRPr="002F490A">
        <w:t>Davis, Micha</w:t>
      </w:r>
      <w:r w:rsidR="00263A8D">
        <w:t>el. "Comments on Baker's Draft Model Aggregated Code of Ethics for B</w:t>
      </w:r>
      <w:r w:rsidRPr="002F490A">
        <w:t xml:space="preserve">ioethicists." </w:t>
      </w:r>
      <w:r w:rsidRPr="002F490A">
        <w:rPr>
          <w:i/>
          <w:iCs/>
        </w:rPr>
        <w:t>The American Journal of Bioethics</w:t>
      </w:r>
      <w:r w:rsidRPr="002F490A">
        <w:t xml:space="preserve"> 5.5 (2005): 57-59. </w:t>
      </w:r>
    </w:p>
    <w:p w14:paraId="5F08813B" w14:textId="77777777" w:rsidR="0065084D" w:rsidRDefault="0065084D" w:rsidP="003F0D66">
      <w:pPr>
        <w:widowControl w:val="0"/>
        <w:ind w:left="800" w:hanging="800"/>
      </w:pPr>
    </w:p>
    <w:p w14:paraId="64529876" w14:textId="77777777" w:rsidR="00C32E2A" w:rsidRDefault="0065084D" w:rsidP="003F0D66">
      <w:pPr>
        <w:widowControl w:val="0"/>
        <w:ind w:left="800" w:hanging="800"/>
      </w:pPr>
      <w:r>
        <w:t xml:space="preserve">Dawson, A. </w:t>
      </w:r>
      <w:r w:rsidR="006A73A5" w:rsidRPr="002F490A">
        <w:t>"IAB Pre</w:t>
      </w:r>
      <w:r w:rsidR="00263A8D">
        <w:t>sidential address: Con</w:t>
      </w:r>
      <w:r w:rsidR="0003773E">
        <w:t>textual, Social, Critical: How W</w:t>
      </w:r>
      <w:r w:rsidR="00263A8D">
        <w:t>e Ought to Think A</w:t>
      </w:r>
      <w:r w:rsidR="006A73A5" w:rsidRPr="002F490A">
        <w:t>b</w:t>
      </w:r>
      <w:r w:rsidR="00263A8D">
        <w:t>out the Future of B</w:t>
      </w:r>
      <w:r w:rsidR="006A73A5" w:rsidRPr="002F490A">
        <w:t xml:space="preserve">ioethics." </w:t>
      </w:r>
      <w:r w:rsidR="006A73A5" w:rsidRPr="002F490A">
        <w:rPr>
          <w:i/>
          <w:iCs/>
        </w:rPr>
        <w:t>Bioethics</w:t>
      </w:r>
      <w:r w:rsidR="006A73A5" w:rsidRPr="002F490A">
        <w:t xml:space="preserve"> 27.6 (2013): 291-296. </w:t>
      </w:r>
    </w:p>
    <w:p w14:paraId="4FAFDEFA" w14:textId="77777777" w:rsidR="00EB5E76" w:rsidRDefault="00EB5E76" w:rsidP="00EB5E76">
      <w:pPr>
        <w:widowControl w:val="0"/>
        <w:ind w:left="800" w:hanging="800"/>
      </w:pPr>
    </w:p>
    <w:p w14:paraId="2909FD2E" w14:textId="77777777" w:rsidR="00EB5E76" w:rsidRDefault="00EB5E76" w:rsidP="00EB5E76">
      <w:pPr>
        <w:widowControl w:val="0"/>
        <w:ind w:left="800" w:hanging="800"/>
      </w:pPr>
      <w:r>
        <w:lastRenderedPageBreak/>
        <w:t>Dawson, A. “</w:t>
      </w:r>
      <w:r w:rsidR="00263A8D">
        <w:t>The Future of Bioethics: Three Dogmas and a Cup of H</w:t>
      </w:r>
      <w:r>
        <w:t xml:space="preserve">emlock.” </w:t>
      </w:r>
      <w:r w:rsidRPr="00BC6696">
        <w:rPr>
          <w:i/>
        </w:rPr>
        <w:t>Bioethics</w:t>
      </w:r>
      <w:r>
        <w:t xml:space="preserve"> 24.5 (2010): 218-225.</w:t>
      </w:r>
    </w:p>
    <w:p w14:paraId="7F4297D0" w14:textId="77777777" w:rsidR="004E5204" w:rsidRDefault="004E5204" w:rsidP="00EB5E76">
      <w:pPr>
        <w:widowControl w:val="0"/>
        <w:ind w:left="800" w:hanging="800"/>
      </w:pPr>
    </w:p>
    <w:p w14:paraId="38C6F90E" w14:textId="77777777" w:rsidR="004E5204" w:rsidRPr="006A73A5" w:rsidRDefault="004E5204" w:rsidP="00EB5E76">
      <w:pPr>
        <w:widowControl w:val="0"/>
        <w:ind w:left="800" w:hanging="800"/>
      </w:pPr>
      <w:r>
        <w:t>Devolder, Ka</w:t>
      </w:r>
      <w:r w:rsidR="00263A8D">
        <w:t>trien and Thomas Douglas. “The Epistemic Costs of Compromise in B</w:t>
      </w:r>
      <w:r>
        <w:t xml:space="preserve">ioethics.” </w:t>
      </w:r>
      <w:r w:rsidRPr="004E5204">
        <w:rPr>
          <w:i/>
        </w:rPr>
        <w:t>Bioethics</w:t>
      </w:r>
      <w:r>
        <w:t xml:space="preserve"> 32.2 (2018): 111-118. </w:t>
      </w:r>
      <w:hyperlink r:id="rId14" w:history="1">
        <w:r w:rsidRPr="007A7658">
          <w:rPr>
            <w:rStyle w:val="Hyperlink"/>
          </w:rPr>
          <w:t>https://onlinelibrary.wiley.com/doi/abs/10.1111/bioe.12418</w:t>
        </w:r>
      </w:hyperlink>
      <w:r>
        <w:t>. Accessed: 30 January 2019.</w:t>
      </w:r>
    </w:p>
    <w:p w14:paraId="444D568B" w14:textId="77777777" w:rsidR="0065084D" w:rsidRDefault="0065084D" w:rsidP="003F0D66">
      <w:pPr>
        <w:widowControl w:val="0"/>
        <w:ind w:left="800" w:hanging="800"/>
      </w:pPr>
    </w:p>
    <w:p w14:paraId="65FDDEC5" w14:textId="77777777" w:rsidR="00375BE8" w:rsidRDefault="00375BE8" w:rsidP="003F0D66">
      <w:pPr>
        <w:widowControl w:val="0"/>
        <w:ind w:left="800" w:hanging="800"/>
      </w:pPr>
      <w:r w:rsidRPr="00375BE8">
        <w:t>de Vries, Raymond G., and Charles L. Bosk. "The Bioethics of Business: Rethinking the Relationship between Bioethics Consultants and</w:t>
      </w:r>
      <w:r w:rsidR="00BC6696">
        <w:t xml:space="preserve"> Corporate Clients</w:t>
      </w:r>
      <w:r w:rsidRPr="00375BE8">
        <w:t xml:space="preserve">." </w:t>
      </w:r>
      <w:r w:rsidRPr="00BC6696">
        <w:rPr>
          <w:i/>
        </w:rPr>
        <w:t>The Hastings Center Report</w:t>
      </w:r>
      <w:r w:rsidR="00FA17C4">
        <w:t xml:space="preserve"> 34.5 (2004): 28-32. </w:t>
      </w:r>
    </w:p>
    <w:p w14:paraId="57582852" w14:textId="77777777" w:rsidR="00375D3E" w:rsidRDefault="00375D3E" w:rsidP="003F0D66">
      <w:pPr>
        <w:widowControl w:val="0"/>
        <w:ind w:left="800" w:hanging="800"/>
      </w:pPr>
    </w:p>
    <w:p w14:paraId="6C0FBC2F" w14:textId="77777777" w:rsidR="00375D3E" w:rsidRPr="00C635D3" w:rsidRDefault="00375D3E" w:rsidP="003F0D66">
      <w:pPr>
        <w:widowControl w:val="0"/>
        <w:ind w:left="800" w:hanging="800"/>
      </w:pPr>
      <w:r>
        <w:t>Dickens, Bernard and Rebecca Cooke. “</w:t>
      </w:r>
      <w:r w:rsidR="00263A8D">
        <w:t>Conscientious Commitment to Women's H</w:t>
      </w:r>
      <w:r w:rsidRPr="00375D3E">
        <w:t>ealth</w:t>
      </w:r>
      <w:r>
        <w:t xml:space="preserve">.” </w:t>
      </w:r>
      <w:r w:rsidRPr="00375D3E">
        <w:rPr>
          <w:i/>
        </w:rPr>
        <w:t>Obstetrics and Gynaecology</w:t>
      </w:r>
      <w:r>
        <w:t xml:space="preserve"> </w:t>
      </w:r>
      <w:r w:rsidR="0031239E">
        <w:t xml:space="preserve">113.2 (2011): 163-166. </w:t>
      </w:r>
      <w:hyperlink r:id="rId15" w:history="1">
        <w:r w:rsidRPr="007A7658">
          <w:rPr>
            <w:rStyle w:val="Hyperlink"/>
          </w:rPr>
          <w:t>https://obgyn.onlinelibrary.wiley.com/doi/abs/10.1016/j.ijgo.2011.02.002</w:t>
        </w:r>
      </w:hyperlink>
      <w:r>
        <w:t xml:space="preserve">. Accessed: 12 February 2019. </w:t>
      </w:r>
    </w:p>
    <w:p w14:paraId="32B35495" w14:textId="77777777" w:rsidR="00EB5E76" w:rsidRDefault="00EB5E76" w:rsidP="003F0D66">
      <w:pPr>
        <w:pStyle w:val="FootnoteText"/>
        <w:rPr>
          <w:lang w:val="en-GB"/>
        </w:rPr>
      </w:pPr>
    </w:p>
    <w:p w14:paraId="24C09533" w14:textId="77777777" w:rsidR="003F03CD" w:rsidRDefault="00263A8D" w:rsidP="003F03CD">
      <w:pPr>
        <w:pStyle w:val="FootnoteText"/>
        <w:rPr>
          <w:lang w:val="en-GB"/>
        </w:rPr>
      </w:pPr>
      <w:r>
        <w:rPr>
          <w:lang w:val="en-GB"/>
        </w:rPr>
        <w:t>Dolgin, Elie. “Human-Subjects R</w:t>
      </w:r>
      <w:r w:rsidR="006A73A5" w:rsidRPr="00086787">
        <w:rPr>
          <w:lang w:val="en-GB"/>
        </w:rPr>
        <w:t xml:space="preserve">esearch: The Ethics Squad.” </w:t>
      </w:r>
      <w:r w:rsidR="006A73A5" w:rsidRPr="00086787">
        <w:rPr>
          <w:i/>
          <w:iCs/>
          <w:lang w:val="en-GB"/>
        </w:rPr>
        <w:t xml:space="preserve">Nature </w:t>
      </w:r>
      <w:r w:rsidR="006A73A5" w:rsidRPr="00086787">
        <w:rPr>
          <w:lang w:val="en-GB"/>
        </w:rPr>
        <w:t>514.7523</w:t>
      </w:r>
    </w:p>
    <w:p w14:paraId="0B287A6E" w14:textId="77777777" w:rsidR="00C32E2A" w:rsidRDefault="006A73A5" w:rsidP="003F03CD">
      <w:pPr>
        <w:pStyle w:val="FootnoteText"/>
        <w:ind w:left="720"/>
        <w:rPr>
          <w:lang w:val="en-GB"/>
        </w:rPr>
      </w:pPr>
      <w:r w:rsidRPr="00086787">
        <w:rPr>
          <w:lang w:val="en-GB"/>
        </w:rPr>
        <w:t>(2015)</w:t>
      </w:r>
      <w:r w:rsidRPr="00086787">
        <w:rPr>
          <w:i/>
          <w:iCs/>
          <w:lang w:val="en-GB"/>
        </w:rPr>
        <w:t>.</w:t>
      </w:r>
      <w:r w:rsidR="00E83781">
        <w:rPr>
          <w:i/>
          <w:iCs/>
          <w:lang w:val="en-GB"/>
        </w:rPr>
        <w:t xml:space="preserve"> </w:t>
      </w:r>
      <w:r w:rsidR="00EB5E76">
        <w:rPr>
          <w:lang w:val="en-GB"/>
        </w:rPr>
        <w:t xml:space="preserve">Online: </w:t>
      </w:r>
      <w:hyperlink r:id="rId16" w:history="1">
        <w:r w:rsidR="003F03CD" w:rsidRPr="007A7658">
          <w:rPr>
            <w:rStyle w:val="Hyperlink"/>
            <w:u w:color="0000FF"/>
            <w:lang w:val="en-GB"/>
          </w:rPr>
          <w:t>http://www.nature.com/news/human-subjects-research-the-ethics-squad-1.16186</w:t>
        </w:r>
      </w:hyperlink>
      <w:r w:rsidRPr="00086787">
        <w:rPr>
          <w:lang w:val="en-GB"/>
        </w:rPr>
        <w:t>. Accessed: 5 November 2014.</w:t>
      </w:r>
    </w:p>
    <w:p w14:paraId="2AED8A94" w14:textId="77777777" w:rsidR="002F74C1" w:rsidRDefault="002F74C1" w:rsidP="00EB5E76">
      <w:pPr>
        <w:pStyle w:val="FootnoteText"/>
        <w:ind w:left="720"/>
        <w:rPr>
          <w:lang w:val="en-GB"/>
        </w:rPr>
      </w:pPr>
    </w:p>
    <w:p w14:paraId="75EA2794" w14:textId="77777777" w:rsidR="002F74C1" w:rsidRDefault="002F74C1" w:rsidP="002F74C1">
      <w:pPr>
        <w:pStyle w:val="FootnoteText"/>
        <w:rPr>
          <w:lang w:val="en-GB"/>
        </w:rPr>
      </w:pPr>
      <w:r>
        <w:rPr>
          <w:lang w:val="en-GB"/>
        </w:rPr>
        <w:t>Downar, James, Russell Goldman, Ruxandra Pinto, Marina Englesakis,</w:t>
      </w:r>
      <w:r w:rsidRPr="002F74C1">
        <w:rPr>
          <w:lang w:val="en-GB"/>
        </w:rPr>
        <w:t xml:space="preserve"> a</w:t>
      </w:r>
      <w:r>
        <w:rPr>
          <w:lang w:val="en-GB"/>
        </w:rPr>
        <w:t>nd Neill</w:t>
      </w:r>
    </w:p>
    <w:p w14:paraId="32FD5479" w14:textId="77777777" w:rsidR="002F74C1" w:rsidRDefault="002F74C1" w:rsidP="00263A8D">
      <w:pPr>
        <w:pStyle w:val="FootnoteText"/>
        <w:ind w:left="720"/>
        <w:rPr>
          <w:lang w:val="en-GB"/>
        </w:rPr>
      </w:pPr>
      <w:r>
        <w:rPr>
          <w:lang w:val="en-GB"/>
        </w:rPr>
        <w:t>K.J. Adhikari</w:t>
      </w:r>
      <w:r w:rsidRPr="002F74C1">
        <w:rPr>
          <w:lang w:val="en-GB"/>
        </w:rPr>
        <w:t>.</w:t>
      </w:r>
      <w:r>
        <w:rPr>
          <w:lang w:val="en-GB"/>
        </w:rPr>
        <w:t xml:space="preserve"> “</w:t>
      </w:r>
      <w:r w:rsidR="00263A8D">
        <w:rPr>
          <w:lang w:val="en-GB"/>
        </w:rPr>
        <w:t>The ‘Surprise Q</w:t>
      </w:r>
      <w:r w:rsidR="00747525">
        <w:rPr>
          <w:lang w:val="en-GB"/>
        </w:rPr>
        <w:t>uestion’</w:t>
      </w:r>
      <w:r w:rsidR="00263A8D">
        <w:rPr>
          <w:lang w:val="en-GB"/>
        </w:rPr>
        <w:t xml:space="preserve"> for Predicting Death in Seriously I</w:t>
      </w:r>
      <w:r w:rsidRPr="002F74C1">
        <w:rPr>
          <w:lang w:val="en-GB"/>
        </w:rPr>
        <w:t>ll</w:t>
      </w:r>
      <w:r w:rsidR="00263A8D">
        <w:rPr>
          <w:lang w:val="en-GB"/>
        </w:rPr>
        <w:t xml:space="preserve"> Patients: A Systematic Review and Meta-A</w:t>
      </w:r>
      <w:r w:rsidRPr="002F74C1">
        <w:rPr>
          <w:lang w:val="en-GB"/>
        </w:rPr>
        <w:t>nalysis</w:t>
      </w:r>
      <w:r>
        <w:rPr>
          <w:lang w:val="en-GB"/>
        </w:rPr>
        <w:t xml:space="preserve">.” </w:t>
      </w:r>
      <w:r w:rsidRPr="002F74C1">
        <w:rPr>
          <w:i/>
          <w:lang w:val="en-GB"/>
        </w:rPr>
        <w:t xml:space="preserve">The Canadian Medical Association Journal </w:t>
      </w:r>
      <w:r>
        <w:rPr>
          <w:lang w:val="en-GB"/>
        </w:rPr>
        <w:t>189.13 (2017)</w:t>
      </w:r>
      <w:r w:rsidRPr="002F74C1">
        <w:rPr>
          <w:lang w:val="en-GB"/>
        </w:rPr>
        <w:t>: E484–E493.</w:t>
      </w:r>
      <w:r>
        <w:rPr>
          <w:lang w:val="en-GB"/>
        </w:rPr>
        <w:t xml:space="preserve"> Accessed: 8 February 2019.</w:t>
      </w:r>
    </w:p>
    <w:p w14:paraId="3B9E7B9A" w14:textId="77777777" w:rsidR="001B7B1F" w:rsidRDefault="001B7B1F" w:rsidP="001B7B1F">
      <w:pPr>
        <w:pStyle w:val="FootnoteText"/>
        <w:rPr>
          <w:lang w:val="en-GB"/>
        </w:rPr>
      </w:pPr>
    </w:p>
    <w:p w14:paraId="49F88E06" w14:textId="77777777" w:rsidR="0041696C" w:rsidRDefault="0041696C" w:rsidP="001B7B1F">
      <w:pPr>
        <w:pStyle w:val="FootnoteText"/>
        <w:rPr>
          <w:lang w:val="en-GB"/>
        </w:rPr>
      </w:pPr>
      <w:r>
        <w:rPr>
          <w:lang w:val="en-GB"/>
        </w:rPr>
        <w:t>Downie, Jocelyn and Kate Scallion. “Forseeably Unclear: The Meaning of the</w:t>
      </w:r>
    </w:p>
    <w:p w14:paraId="5F6D562B" w14:textId="77777777" w:rsidR="0041696C" w:rsidRDefault="00995FB5" w:rsidP="0041696C">
      <w:pPr>
        <w:pStyle w:val="FootnoteText"/>
        <w:ind w:left="720"/>
        <w:rPr>
          <w:lang w:val="en-GB"/>
        </w:rPr>
      </w:pPr>
      <w:r>
        <w:rPr>
          <w:lang w:val="en-GB"/>
        </w:rPr>
        <w:t>‘Reasonably Foreseeable’ Criterion for Access to Medical Assistance in D</w:t>
      </w:r>
      <w:r w:rsidR="0041696C">
        <w:rPr>
          <w:lang w:val="en-GB"/>
        </w:rPr>
        <w:t xml:space="preserve">ying in Canada.” Forthcoming: </w:t>
      </w:r>
      <w:r w:rsidR="0041696C" w:rsidRPr="0041696C">
        <w:rPr>
          <w:i/>
          <w:lang w:val="en-GB"/>
        </w:rPr>
        <w:t>Dalhousie Law Review</w:t>
      </w:r>
      <w:r w:rsidR="0041696C">
        <w:rPr>
          <w:lang w:val="en-GB"/>
        </w:rPr>
        <w:t xml:space="preserve">. </w:t>
      </w:r>
      <w:hyperlink r:id="rId17" w:history="1">
        <w:r w:rsidR="0041696C" w:rsidRPr="00095FD4">
          <w:rPr>
            <w:rStyle w:val="Hyperlink"/>
            <w:lang w:val="en-GB"/>
          </w:rPr>
          <w:t>http://eol.law.dal.ca/wp-content/uploads/2018/07/Foreseeably-Unclear_SSRN.pdf</w:t>
        </w:r>
      </w:hyperlink>
      <w:r w:rsidR="0041696C">
        <w:rPr>
          <w:lang w:val="en-GB"/>
        </w:rPr>
        <w:t xml:space="preserve">. Accessed: 24 March 2019. </w:t>
      </w:r>
    </w:p>
    <w:p w14:paraId="008F8F3C" w14:textId="77777777" w:rsidR="0041696C" w:rsidRDefault="0041696C" w:rsidP="001B7B1F">
      <w:pPr>
        <w:pStyle w:val="FootnoteText"/>
        <w:rPr>
          <w:lang w:val="en-GB"/>
        </w:rPr>
      </w:pPr>
      <w:r>
        <w:rPr>
          <w:lang w:val="en-GB"/>
        </w:rPr>
        <w:t xml:space="preserve">   </w:t>
      </w:r>
    </w:p>
    <w:p w14:paraId="1E769B95" w14:textId="77777777" w:rsidR="001B7B1F" w:rsidRPr="001B7B1F" w:rsidRDefault="008E02B5" w:rsidP="001B7B1F">
      <w:pPr>
        <w:pStyle w:val="FootnoteText"/>
        <w:rPr>
          <w:i/>
          <w:lang w:val="en-GB"/>
        </w:rPr>
      </w:pPr>
      <w:r w:rsidRPr="008E02B5">
        <w:rPr>
          <w:lang w:val="en-GB"/>
        </w:rPr>
        <w:t>Downie, Jocelyn</w:t>
      </w:r>
      <w:r>
        <w:rPr>
          <w:lang w:val="en-GB"/>
        </w:rPr>
        <w:t xml:space="preserve">. </w:t>
      </w:r>
      <w:r w:rsidR="00E55C74">
        <w:rPr>
          <w:lang w:val="en-GB"/>
        </w:rPr>
        <w:t>“</w:t>
      </w:r>
      <w:r w:rsidR="00995FB5">
        <w:rPr>
          <w:lang w:val="en-GB"/>
        </w:rPr>
        <w:t>In a N</w:t>
      </w:r>
      <w:r w:rsidR="001B7B1F">
        <w:rPr>
          <w:lang w:val="en-GB"/>
        </w:rPr>
        <w:t>utshell II: Ontario Court Decision and MAID.</w:t>
      </w:r>
      <w:r w:rsidR="00E55C74">
        <w:rPr>
          <w:lang w:val="en-GB"/>
        </w:rPr>
        <w:t>”</w:t>
      </w:r>
      <w:r w:rsidR="001B7B1F">
        <w:rPr>
          <w:lang w:val="en-GB"/>
        </w:rPr>
        <w:t xml:space="preserve"> </w:t>
      </w:r>
      <w:r w:rsidR="001B7B1F" w:rsidRPr="001B7B1F">
        <w:rPr>
          <w:i/>
          <w:lang w:val="en-GB"/>
        </w:rPr>
        <w:t>Impact</w:t>
      </w:r>
    </w:p>
    <w:p w14:paraId="473B721B" w14:textId="77777777" w:rsidR="008E02B5" w:rsidRDefault="00FC39F9" w:rsidP="001B7B1F">
      <w:pPr>
        <w:pStyle w:val="FootnoteText"/>
        <w:ind w:left="720"/>
        <w:rPr>
          <w:lang w:val="en-GB"/>
        </w:rPr>
      </w:pPr>
      <w:r>
        <w:rPr>
          <w:i/>
          <w:lang w:val="en-GB"/>
        </w:rPr>
        <w:t>Ethics</w:t>
      </w:r>
      <w:r w:rsidR="001B7B1F">
        <w:rPr>
          <w:lang w:val="en-GB"/>
        </w:rPr>
        <w:t xml:space="preserve"> </w:t>
      </w:r>
      <w:r>
        <w:rPr>
          <w:lang w:val="en-GB"/>
        </w:rPr>
        <w:t xml:space="preserve">28 July 2017. </w:t>
      </w:r>
      <w:hyperlink r:id="rId18" w:history="1">
        <w:r w:rsidR="001B7B1F" w:rsidRPr="007A7658">
          <w:rPr>
            <w:rStyle w:val="Hyperlink"/>
            <w:lang w:val="en-GB"/>
          </w:rPr>
          <w:t>https://impactethics.ca/2017/07/28/in-a-nutshell-ii-ontario-court-decision-MAID/</w:t>
        </w:r>
      </w:hyperlink>
      <w:r w:rsidR="008E02B5">
        <w:rPr>
          <w:lang w:val="en-GB"/>
        </w:rPr>
        <w:t>. Accessed: 7 February 2019.</w:t>
      </w:r>
    </w:p>
    <w:p w14:paraId="4E954605" w14:textId="77777777" w:rsidR="007B1D13" w:rsidRDefault="007B1D13" w:rsidP="001B7B1F">
      <w:pPr>
        <w:pStyle w:val="FootnoteText"/>
        <w:ind w:left="720"/>
        <w:rPr>
          <w:lang w:val="en-GB"/>
        </w:rPr>
      </w:pPr>
    </w:p>
    <w:p w14:paraId="4FAC05A2" w14:textId="77777777" w:rsidR="007B1D13" w:rsidRDefault="007B1D13" w:rsidP="007B1D13">
      <w:pPr>
        <w:pStyle w:val="FootnoteText"/>
        <w:rPr>
          <w:i/>
          <w:lang w:val="en-GB"/>
        </w:rPr>
      </w:pPr>
      <w:r>
        <w:rPr>
          <w:lang w:val="en-GB"/>
        </w:rPr>
        <w:t>Downie, Jocelyn. “The Supreme Court Decision in R</w:t>
      </w:r>
      <w:r w:rsidRPr="007B1D13">
        <w:rPr>
          <w:lang w:val="en-GB"/>
        </w:rPr>
        <w:t>asouli</w:t>
      </w:r>
      <w:r>
        <w:rPr>
          <w:lang w:val="en-GB"/>
        </w:rPr>
        <w:t xml:space="preserve">.” </w:t>
      </w:r>
      <w:r w:rsidRPr="007B1D13">
        <w:rPr>
          <w:i/>
          <w:lang w:val="en-GB"/>
        </w:rPr>
        <w:t>Impact Ethics</w:t>
      </w:r>
    </w:p>
    <w:p w14:paraId="1560ED33" w14:textId="77777777" w:rsidR="007B1D13" w:rsidRPr="008E02B5" w:rsidRDefault="007B1D13" w:rsidP="007B1D13">
      <w:pPr>
        <w:pStyle w:val="FootnoteText"/>
        <w:ind w:left="720"/>
        <w:rPr>
          <w:lang w:val="en-GB"/>
        </w:rPr>
      </w:pPr>
      <w:r w:rsidRPr="007B1D13">
        <w:rPr>
          <w:lang w:val="en-GB"/>
        </w:rPr>
        <w:t>21 October 2013.</w:t>
      </w:r>
      <w:r>
        <w:rPr>
          <w:lang w:val="en-GB"/>
        </w:rPr>
        <w:t xml:space="preserve"> </w:t>
      </w:r>
      <w:hyperlink r:id="rId19" w:history="1">
        <w:r w:rsidRPr="007A7658">
          <w:rPr>
            <w:rStyle w:val="Hyperlink"/>
            <w:lang w:val="en-GB"/>
          </w:rPr>
          <w:t>https://impactethics.ca/2013/10/21/the-supreme-court-decision-in-rasouli/</w:t>
        </w:r>
      </w:hyperlink>
      <w:r>
        <w:rPr>
          <w:lang w:val="en-GB"/>
        </w:rPr>
        <w:t>. Accessed 12 February 2019.</w:t>
      </w:r>
    </w:p>
    <w:p w14:paraId="42786CBB" w14:textId="77777777" w:rsidR="00EB5E76" w:rsidRDefault="00EB5E76" w:rsidP="003F0D66">
      <w:pPr>
        <w:widowControl w:val="0"/>
        <w:ind w:left="800" w:hanging="800"/>
      </w:pPr>
    </w:p>
    <w:p w14:paraId="20F02C69" w14:textId="77777777" w:rsidR="00C32E2A" w:rsidRPr="006A73A5" w:rsidRDefault="006A73A5" w:rsidP="003F0D66">
      <w:pPr>
        <w:widowControl w:val="0"/>
        <w:ind w:left="800" w:hanging="800"/>
      </w:pPr>
      <w:r w:rsidRPr="00086787">
        <w:t xml:space="preserve">Downie, Jocelyn. "Glass Houses: The Power of Money </w:t>
      </w:r>
      <w:r w:rsidR="00C75FC4">
        <w:t>i</w:t>
      </w:r>
      <w:r w:rsidRPr="00086787">
        <w:t xml:space="preserve">n Bioethics Research." </w:t>
      </w:r>
      <w:r w:rsidRPr="00086787">
        <w:rPr>
          <w:i/>
          <w:iCs/>
        </w:rPr>
        <w:t>International Journal of Feminist Approaches to Bioethics</w:t>
      </w:r>
      <w:r w:rsidR="00FA17C4">
        <w:t xml:space="preserve"> 2.2 (2009): 97-115. </w:t>
      </w:r>
    </w:p>
    <w:p w14:paraId="38E46FE4" w14:textId="77777777" w:rsidR="00EB5E76" w:rsidRDefault="00EB5E76" w:rsidP="00EB5E76">
      <w:pPr>
        <w:widowControl w:val="0"/>
      </w:pPr>
    </w:p>
    <w:p w14:paraId="2EA55D10" w14:textId="77777777" w:rsidR="00FA17C4" w:rsidRDefault="006A73A5" w:rsidP="00FA17C4">
      <w:pPr>
        <w:widowControl w:val="0"/>
      </w:pPr>
      <w:r w:rsidRPr="002F490A">
        <w:t>Drane, James F. "Founders of Bioethics:</w:t>
      </w:r>
      <w:r w:rsidR="00C75FC4">
        <w:t xml:space="preserve"> </w:t>
      </w:r>
      <w:r w:rsidR="00995FB5">
        <w:t>Concepts in Tension, d</w:t>
      </w:r>
      <w:r w:rsidRPr="002F490A">
        <w:t xml:space="preserve">ialogue </w:t>
      </w:r>
      <w:r w:rsidR="00FA17C4">
        <w:t>and</w:t>
      </w:r>
    </w:p>
    <w:p w14:paraId="18F0037C" w14:textId="77777777" w:rsidR="00C32E2A" w:rsidRPr="006A73A5" w:rsidRDefault="00995FB5" w:rsidP="00FA17C4">
      <w:pPr>
        <w:widowControl w:val="0"/>
        <w:ind w:firstLine="720"/>
      </w:pPr>
      <w:r>
        <w:t>D</w:t>
      </w:r>
      <w:r w:rsidR="006A73A5" w:rsidRPr="002F490A">
        <w:t xml:space="preserve">evelopment." </w:t>
      </w:r>
      <w:r w:rsidR="006A73A5" w:rsidRPr="002F490A">
        <w:rPr>
          <w:i/>
          <w:iCs/>
        </w:rPr>
        <w:t>Theoretical Medicine and Bioethics</w:t>
      </w:r>
      <w:r w:rsidR="00EB5E76">
        <w:t xml:space="preserve"> 33. 1 (2012): 1-9.</w:t>
      </w:r>
    </w:p>
    <w:p w14:paraId="4AC26943" w14:textId="77777777" w:rsidR="00EB5E76" w:rsidRDefault="00EB5E76" w:rsidP="003F0D66">
      <w:pPr>
        <w:widowControl w:val="0"/>
        <w:ind w:left="800" w:hanging="800"/>
      </w:pPr>
    </w:p>
    <w:p w14:paraId="1F4D188B" w14:textId="77777777" w:rsidR="00C32E2A" w:rsidRPr="006A73A5" w:rsidRDefault="006A73A5" w:rsidP="003F0D66">
      <w:pPr>
        <w:widowControl w:val="0"/>
        <w:ind w:left="800" w:hanging="800"/>
      </w:pPr>
      <w:r w:rsidRPr="002F490A">
        <w:t xml:space="preserve">Dubler, Nancy N., and Carol B. Liebman. </w:t>
      </w:r>
      <w:r w:rsidR="00811969">
        <w:rPr>
          <w:i/>
          <w:iCs/>
        </w:rPr>
        <w:t>Bioethics M</w:t>
      </w:r>
      <w:r w:rsidR="00995FB5">
        <w:rPr>
          <w:i/>
          <w:iCs/>
        </w:rPr>
        <w:t>ediation: a Guide to Shaping Shared S</w:t>
      </w:r>
      <w:r w:rsidRPr="002F490A">
        <w:rPr>
          <w:i/>
          <w:iCs/>
        </w:rPr>
        <w:t>olutions</w:t>
      </w:r>
      <w:r w:rsidRPr="002F490A">
        <w:t>. New York: United Hospita</w:t>
      </w:r>
      <w:r w:rsidR="00FA17C4">
        <w:t xml:space="preserve">l Fund of New York, 2004. </w:t>
      </w:r>
    </w:p>
    <w:p w14:paraId="6BB340DE" w14:textId="77777777" w:rsidR="00EB5E76" w:rsidRDefault="00EB5E76" w:rsidP="003F0D66">
      <w:pPr>
        <w:widowControl w:val="0"/>
        <w:ind w:left="800" w:hanging="800"/>
      </w:pPr>
    </w:p>
    <w:p w14:paraId="56CC8393" w14:textId="77777777" w:rsidR="00C32E2A" w:rsidRDefault="006A73A5" w:rsidP="003F0D66">
      <w:pPr>
        <w:widowControl w:val="0"/>
        <w:ind w:left="800" w:hanging="800"/>
      </w:pPr>
      <w:r w:rsidRPr="002F490A">
        <w:t>Dubler, Nancy Neveloff, and Je</w:t>
      </w:r>
      <w:r w:rsidR="00995FB5">
        <w:t>ffrey Blustein. "Credentialing E</w:t>
      </w:r>
      <w:r w:rsidRPr="002F490A">
        <w:t>thi</w:t>
      </w:r>
      <w:r w:rsidR="00995FB5">
        <w:t>cs Consultants: An Invitation to C</w:t>
      </w:r>
      <w:r w:rsidRPr="002F490A">
        <w:t xml:space="preserve">ollaboration." </w:t>
      </w:r>
      <w:r w:rsidRPr="002F490A">
        <w:rPr>
          <w:i/>
          <w:iCs/>
        </w:rPr>
        <w:t>The American Journal of Bioethics</w:t>
      </w:r>
      <w:r w:rsidR="00FA17C4">
        <w:t xml:space="preserve"> 7.2 (2007): 35-37. </w:t>
      </w:r>
    </w:p>
    <w:p w14:paraId="7EE09336" w14:textId="77777777" w:rsidR="00FA17C4" w:rsidRPr="006A73A5" w:rsidRDefault="00FA17C4" w:rsidP="003F0D66">
      <w:pPr>
        <w:widowControl w:val="0"/>
        <w:ind w:left="800" w:hanging="800"/>
      </w:pPr>
    </w:p>
    <w:p w14:paraId="087C85A4" w14:textId="77777777" w:rsidR="00C32E2A" w:rsidRDefault="006A73A5" w:rsidP="003F0D66">
      <w:pPr>
        <w:widowControl w:val="0"/>
        <w:ind w:left="800" w:hanging="800"/>
      </w:pPr>
      <w:r w:rsidRPr="002F490A">
        <w:t xml:space="preserve">Dubler, Nancy Neveloff, Mayris P. Webber, Deborah M. Swiderski, and the Faculty and the National Working Group for the Ethics Credentialing Project. "Charting The Future: Credentialing, Privileging, Quality, and Evaluation in Clinical Ethics Consultation." </w:t>
      </w:r>
      <w:r w:rsidRPr="002F490A">
        <w:rPr>
          <w:i/>
          <w:iCs/>
        </w:rPr>
        <w:t>Hastings Center Report</w:t>
      </w:r>
      <w:r w:rsidRPr="002F490A">
        <w:t xml:space="preserve"> 39.6 </w:t>
      </w:r>
      <w:r w:rsidR="00FA17C4">
        <w:t xml:space="preserve">(2009): 23-33. </w:t>
      </w:r>
    </w:p>
    <w:p w14:paraId="2C1FA458" w14:textId="77777777" w:rsidR="00F02ED2" w:rsidRDefault="00F02ED2" w:rsidP="003F0D66">
      <w:pPr>
        <w:widowControl w:val="0"/>
        <w:ind w:left="800" w:hanging="800"/>
      </w:pPr>
    </w:p>
    <w:p w14:paraId="54F08D8C" w14:textId="77777777" w:rsidR="00F02ED2" w:rsidRDefault="00F02ED2" w:rsidP="003F0D66">
      <w:pPr>
        <w:widowControl w:val="0"/>
        <w:ind w:left="800" w:hanging="800"/>
      </w:pPr>
      <w:r>
        <w:t xml:space="preserve">Dworkin, Ronald. </w:t>
      </w:r>
      <w:r w:rsidRPr="00F02ED2">
        <w:rPr>
          <w:i/>
        </w:rPr>
        <w:t>Justice in Robes</w:t>
      </w:r>
      <w:r w:rsidR="00B46E7E">
        <w:t>. Cambridge, Mass.: Belknap Press, 2006.</w:t>
      </w:r>
    </w:p>
    <w:p w14:paraId="2B731BF0" w14:textId="77777777" w:rsidR="002147E2" w:rsidRDefault="002147E2" w:rsidP="003F0D66">
      <w:pPr>
        <w:widowControl w:val="0"/>
        <w:ind w:left="800" w:hanging="800"/>
      </w:pPr>
    </w:p>
    <w:p w14:paraId="7A038520" w14:textId="77777777" w:rsidR="002147E2" w:rsidRDefault="002147E2" w:rsidP="003F0D66">
      <w:pPr>
        <w:widowControl w:val="0"/>
        <w:ind w:left="800" w:hanging="800"/>
      </w:pPr>
      <w:r w:rsidRPr="002147E2">
        <w:t>Dworkin, Ronald. Life's Dominio</w:t>
      </w:r>
      <w:r w:rsidR="00995FB5">
        <w:t>n: An Argument about Abortion, Euthanasia, and Individual F</w:t>
      </w:r>
      <w:r w:rsidRPr="002147E2">
        <w:t>reedom. New York: Knopf, 1993.</w:t>
      </w:r>
    </w:p>
    <w:p w14:paraId="74170CA4" w14:textId="77777777" w:rsidR="0036299B" w:rsidRDefault="0036299B" w:rsidP="003F0D66">
      <w:pPr>
        <w:widowControl w:val="0"/>
        <w:ind w:left="800" w:hanging="800"/>
      </w:pPr>
    </w:p>
    <w:p w14:paraId="334CDEB3" w14:textId="77777777" w:rsidR="0036299B" w:rsidRPr="00B46E7E" w:rsidRDefault="0036299B" w:rsidP="003F0D66">
      <w:pPr>
        <w:widowControl w:val="0"/>
        <w:ind w:left="800" w:hanging="800"/>
      </w:pPr>
      <w:r w:rsidRPr="0036299B">
        <w:t>Dworkin, Ronald.</w:t>
      </w:r>
      <w:r w:rsidR="00995FB5">
        <w:t xml:space="preserve"> “Objectivity and Truth: You’d Better Believe I</w:t>
      </w:r>
      <w:r w:rsidRPr="0036299B">
        <w:t xml:space="preserve">t.” </w:t>
      </w:r>
      <w:r w:rsidRPr="00A4697D">
        <w:rPr>
          <w:i/>
        </w:rPr>
        <w:t xml:space="preserve">Philosophy &amp; </w:t>
      </w:r>
      <w:r w:rsidR="009A3E7D" w:rsidRPr="00A4697D">
        <w:rPr>
          <w:i/>
        </w:rPr>
        <w:t>Public Affairs</w:t>
      </w:r>
      <w:r w:rsidR="009A3E7D">
        <w:t xml:space="preserve"> 25.</w:t>
      </w:r>
      <w:r w:rsidRPr="0036299B">
        <w:t>2 (1996): 87-139</w:t>
      </w:r>
      <w:r>
        <w:t>.</w:t>
      </w:r>
    </w:p>
    <w:p w14:paraId="27083AE4" w14:textId="77777777" w:rsidR="00EB5E76" w:rsidRDefault="00EB5E76" w:rsidP="003F0D66">
      <w:pPr>
        <w:widowControl w:val="0"/>
        <w:ind w:left="800" w:hanging="800"/>
      </w:pPr>
    </w:p>
    <w:p w14:paraId="01C809B5" w14:textId="77777777" w:rsidR="0068536F" w:rsidRPr="00A4697D" w:rsidRDefault="00A4697D" w:rsidP="0068536F">
      <w:pPr>
        <w:widowControl w:val="0"/>
        <w:ind w:left="800" w:hanging="800"/>
      </w:pPr>
      <w:r w:rsidRPr="00A4697D">
        <w:t>Dworkin, Ronald.</w:t>
      </w:r>
      <w:r>
        <w:t xml:space="preserve"> </w:t>
      </w:r>
      <w:r w:rsidR="0068536F" w:rsidRPr="0068536F">
        <w:rPr>
          <w:i/>
        </w:rPr>
        <w:t xml:space="preserve">Freedom’s Law: </w:t>
      </w:r>
      <w:r w:rsidRPr="0068536F">
        <w:rPr>
          <w:i/>
        </w:rPr>
        <w:t xml:space="preserve">The Moral Reading of the </w:t>
      </w:r>
      <w:r w:rsidR="0068536F" w:rsidRPr="0068536F">
        <w:rPr>
          <w:i/>
        </w:rPr>
        <w:t xml:space="preserve">American </w:t>
      </w:r>
      <w:r w:rsidRPr="0068536F">
        <w:rPr>
          <w:i/>
        </w:rPr>
        <w:t>Constitution</w:t>
      </w:r>
      <w:r w:rsidR="0068536F">
        <w:t xml:space="preserve">. Cambridge: Harvard University Press, 1996. </w:t>
      </w:r>
      <w:r w:rsidR="0068536F">
        <w:cr/>
      </w:r>
      <w:r w:rsidR="0068536F" w:rsidRPr="0068536F">
        <w:rPr>
          <w:i/>
        </w:rPr>
        <w:t xml:space="preserve"> </w:t>
      </w:r>
    </w:p>
    <w:p w14:paraId="7229262A" w14:textId="77777777" w:rsidR="00FA17C4" w:rsidRDefault="006A73A5" w:rsidP="003F0D66">
      <w:pPr>
        <w:widowControl w:val="0"/>
        <w:ind w:left="800" w:hanging="800"/>
      </w:pPr>
      <w:r w:rsidRPr="002F490A">
        <w:t xml:space="preserve">Dworkin, Ronald. </w:t>
      </w:r>
      <w:r w:rsidRPr="002F490A">
        <w:rPr>
          <w:i/>
          <w:iCs/>
        </w:rPr>
        <w:t xml:space="preserve">Law's </w:t>
      </w:r>
      <w:r w:rsidR="00C75FC4">
        <w:rPr>
          <w:i/>
          <w:iCs/>
        </w:rPr>
        <w:t>E</w:t>
      </w:r>
      <w:r w:rsidRPr="002F490A">
        <w:rPr>
          <w:i/>
          <w:iCs/>
        </w:rPr>
        <w:t>mpire</w:t>
      </w:r>
      <w:r w:rsidRPr="002F490A">
        <w:t xml:space="preserve">. Cambridge, Mass.: Belknap Press, 1986. </w:t>
      </w:r>
    </w:p>
    <w:p w14:paraId="2FAA090E" w14:textId="77777777" w:rsidR="00EB5E76" w:rsidRDefault="00EB5E76" w:rsidP="002147E2">
      <w:pPr>
        <w:widowControl w:val="0"/>
      </w:pPr>
    </w:p>
    <w:p w14:paraId="292A28F1" w14:textId="77777777" w:rsidR="00F02ED2" w:rsidRDefault="00F02ED2" w:rsidP="003F0D66">
      <w:pPr>
        <w:widowControl w:val="0"/>
        <w:ind w:left="800" w:hanging="800"/>
      </w:pPr>
      <w:r>
        <w:t xml:space="preserve">Dworkin, Ronald. </w:t>
      </w:r>
      <w:r w:rsidRPr="00F02ED2">
        <w:rPr>
          <w:i/>
        </w:rPr>
        <w:t>Taking Rights Seriously.</w:t>
      </w:r>
      <w:r w:rsidR="00B70580">
        <w:rPr>
          <w:i/>
        </w:rPr>
        <w:t xml:space="preserve"> </w:t>
      </w:r>
      <w:r w:rsidR="00B70580" w:rsidRPr="00B70580">
        <w:t>Cambridge, Mass.:</w:t>
      </w:r>
      <w:r w:rsidR="00B70580" w:rsidRPr="00B70580">
        <w:rPr>
          <w:i/>
        </w:rPr>
        <w:t xml:space="preserve"> </w:t>
      </w:r>
      <w:r w:rsidR="00B70580">
        <w:t xml:space="preserve">Harvard University Press, </w:t>
      </w:r>
      <w:r w:rsidR="00B70580" w:rsidRPr="00B70580">
        <w:t>1977</w:t>
      </w:r>
      <w:r w:rsidR="00227847">
        <w:t>.</w:t>
      </w:r>
    </w:p>
    <w:p w14:paraId="51716AA2" w14:textId="77777777" w:rsidR="009A3E7D" w:rsidRDefault="009A3E7D" w:rsidP="003F0D66">
      <w:pPr>
        <w:widowControl w:val="0"/>
        <w:ind w:left="800" w:hanging="800"/>
      </w:pPr>
    </w:p>
    <w:p w14:paraId="0714B4D4" w14:textId="77777777" w:rsidR="00FA17C4" w:rsidRPr="00B70580" w:rsidRDefault="005C7D48" w:rsidP="009A3E7D">
      <w:pPr>
        <w:widowControl w:val="0"/>
        <w:ind w:left="800" w:hanging="800"/>
      </w:pPr>
      <w:r>
        <w:t>Dworkin</w:t>
      </w:r>
      <w:r w:rsidR="009A3E7D">
        <w:t xml:space="preserve">, Dworkin. </w:t>
      </w:r>
      <w:r w:rsidR="008C2FD3">
        <w:t>“</w:t>
      </w:r>
      <w:r w:rsidR="009A3E7D" w:rsidRPr="009A3E7D">
        <w:t>Judicial Discretion</w:t>
      </w:r>
      <w:r w:rsidR="009A3E7D">
        <w:t>.</w:t>
      </w:r>
      <w:r w:rsidR="008C2FD3">
        <w:t>”</w:t>
      </w:r>
      <w:r w:rsidR="009A3E7D">
        <w:t xml:space="preserve"> </w:t>
      </w:r>
      <w:r w:rsidRPr="009A3E7D">
        <w:rPr>
          <w:i/>
        </w:rPr>
        <w:t>The Journal of Ph</w:t>
      </w:r>
      <w:r w:rsidR="009A3E7D" w:rsidRPr="009A3E7D">
        <w:rPr>
          <w:i/>
        </w:rPr>
        <w:t>ilosophy</w:t>
      </w:r>
      <w:r w:rsidR="009A3E7D">
        <w:t xml:space="preserve"> 60.21 (1963): </w:t>
      </w:r>
      <w:r>
        <w:t>624-638</w:t>
      </w:r>
      <w:r w:rsidR="009A3E7D">
        <w:t>.</w:t>
      </w:r>
      <w:r>
        <w:cr/>
      </w:r>
    </w:p>
    <w:p w14:paraId="4069D2AD" w14:textId="77777777" w:rsidR="00EB5E76" w:rsidRDefault="006A73A5" w:rsidP="003F0D66">
      <w:pPr>
        <w:widowControl w:val="0"/>
        <w:ind w:left="800" w:hanging="800"/>
      </w:pPr>
      <w:r w:rsidRPr="002F490A">
        <w:t xml:space="preserve">Eckenwiler, Lisa A., and Felicia Cohn. </w:t>
      </w:r>
      <w:r w:rsidRPr="002F490A">
        <w:rPr>
          <w:i/>
          <w:iCs/>
        </w:rPr>
        <w:t xml:space="preserve">The </w:t>
      </w:r>
      <w:r w:rsidR="00C75FC4">
        <w:rPr>
          <w:i/>
          <w:iCs/>
        </w:rPr>
        <w:t>E</w:t>
      </w:r>
      <w:r w:rsidRPr="002F490A">
        <w:rPr>
          <w:i/>
          <w:iCs/>
        </w:rPr>
        <w:t xml:space="preserve">thics of </w:t>
      </w:r>
      <w:r w:rsidR="00C75FC4">
        <w:rPr>
          <w:i/>
          <w:iCs/>
        </w:rPr>
        <w:t>B</w:t>
      </w:r>
      <w:r w:rsidRPr="002F490A">
        <w:rPr>
          <w:i/>
          <w:iCs/>
        </w:rPr>
        <w:t xml:space="preserve">ioethics: </w:t>
      </w:r>
      <w:r w:rsidR="00C75FC4">
        <w:rPr>
          <w:i/>
          <w:iCs/>
        </w:rPr>
        <w:t>M</w:t>
      </w:r>
      <w:r w:rsidRPr="002F490A">
        <w:rPr>
          <w:i/>
          <w:iCs/>
        </w:rPr>
        <w:t xml:space="preserve">apping the </w:t>
      </w:r>
      <w:r w:rsidR="00C75FC4">
        <w:rPr>
          <w:i/>
          <w:iCs/>
        </w:rPr>
        <w:t>M</w:t>
      </w:r>
      <w:r w:rsidRPr="002F490A">
        <w:rPr>
          <w:i/>
          <w:iCs/>
        </w:rPr>
        <w:t xml:space="preserve">oral </w:t>
      </w:r>
      <w:r w:rsidR="00C75FC4">
        <w:rPr>
          <w:i/>
          <w:iCs/>
        </w:rPr>
        <w:t>L</w:t>
      </w:r>
      <w:r w:rsidRPr="002F490A">
        <w:rPr>
          <w:i/>
          <w:iCs/>
        </w:rPr>
        <w:t>andscape</w:t>
      </w:r>
      <w:r w:rsidRPr="002F490A">
        <w:t xml:space="preserve">. Baltimore: Johns Hopkins University Press, 2007. </w:t>
      </w:r>
    </w:p>
    <w:p w14:paraId="36C41063" w14:textId="77777777" w:rsidR="00910054" w:rsidRDefault="00910054" w:rsidP="003F0D66">
      <w:pPr>
        <w:widowControl w:val="0"/>
        <w:ind w:left="800" w:hanging="800"/>
      </w:pPr>
    </w:p>
    <w:p w14:paraId="1AB58221" w14:textId="77777777" w:rsidR="00910054" w:rsidRDefault="00910054" w:rsidP="003F0D66">
      <w:pPr>
        <w:widowControl w:val="0"/>
        <w:ind w:left="800" w:hanging="800"/>
      </w:pPr>
      <w:r>
        <w:t>Eggertson, Laura. “</w:t>
      </w:r>
      <w:r w:rsidR="00995FB5">
        <w:t>Most P</w:t>
      </w:r>
      <w:r w:rsidRPr="00910054">
        <w:t>alliative</w:t>
      </w:r>
      <w:r w:rsidR="00995FB5">
        <w:t xml:space="preserve"> Physicians Want No Role in Assisted D</w:t>
      </w:r>
      <w:r w:rsidRPr="00910054">
        <w:t>eath</w:t>
      </w:r>
      <w:r>
        <w:t>.”</w:t>
      </w:r>
      <w:r w:rsidR="00987461">
        <w:t xml:space="preserve"> </w:t>
      </w:r>
      <w:r w:rsidR="00987461" w:rsidRPr="00987461">
        <w:rPr>
          <w:i/>
        </w:rPr>
        <w:t>Canadian Medical Association Journal</w:t>
      </w:r>
      <w:r w:rsidR="00987461">
        <w:t xml:space="preserve"> 187.6 (</w:t>
      </w:r>
      <w:r w:rsidR="00987461" w:rsidRPr="00987461">
        <w:t>2015</w:t>
      </w:r>
      <w:r w:rsidR="00987461">
        <w:t>)</w:t>
      </w:r>
      <w:r w:rsidR="00987461" w:rsidRPr="00987461">
        <w:t>: E177</w:t>
      </w:r>
      <w:r w:rsidR="00987461">
        <w:t xml:space="preserve">. </w:t>
      </w:r>
      <w:hyperlink r:id="rId20" w:history="1">
        <w:r w:rsidR="00987461" w:rsidRPr="003F1335">
          <w:rPr>
            <w:rStyle w:val="Hyperlink"/>
          </w:rPr>
          <w:t>http://www.cmaj.ca/content/cmaj/187/6/E177.full.pdf</w:t>
        </w:r>
      </w:hyperlink>
    </w:p>
    <w:p w14:paraId="404DEF80" w14:textId="77777777" w:rsidR="00FA17C4" w:rsidRDefault="00FA17C4" w:rsidP="003F0D66">
      <w:pPr>
        <w:widowControl w:val="0"/>
        <w:ind w:left="800" w:hanging="800"/>
      </w:pPr>
    </w:p>
    <w:p w14:paraId="08E9CE3B" w14:textId="77777777" w:rsidR="00C32E2A" w:rsidRPr="006A73A5" w:rsidRDefault="006A73A5" w:rsidP="003F0D66">
      <w:pPr>
        <w:widowControl w:val="0"/>
        <w:ind w:left="800" w:hanging="800"/>
      </w:pPr>
      <w:r w:rsidRPr="002F490A">
        <w:lastRenderedPageBreak/>
        <w:t>Ehleben, C.M., B</w:t>
      </w:r>
      <w:r w:rsidR="00747525">
        <w:t>.H. Childs, and S.L. Saltzman. “</w:t>
      </w:r>
      <w:r w:rsidRPr="002F490A">
        <w:t>Wha</w:t>
      </w:r>
      <w:r w:rsidR="00747525">
        <w:t xml:space="preserve">t is it </w:t>
      </w:r>
      <w:r w:rsidR="00995FB5">
        <w:t>Exactly that You D</w:t>
      </w:r>
      <w:r w:rsidR="00747525">
        <w:t>o? A ‘</w:t>
      </w:r>
      <w:r w:rsidR="00995FB5">
        <w:t>S</w:t>
      </w:r>
      <w:r w:rsidRPr="002F490A">
        <w:t>n</w:t>
      </w:r>
      <w:r w:rsidR="00995FB5">
        <w:t>apshot’ of an Ethicist at W</w:t>
      </w:r>
      <w:r w:rsidR="00747525">
        <w:t>ork.”</w:t>
      </w:r>
      <w:r w:rsidRPr="002F490A">
        <w:t xml:space="preserve"> </w:t>
      </w:r>
      <w:r w:rsidRPr="002F490A">
        <w:rPr>
          <w:i/>
          <w:iCs/>
        </w:rPr>
        <w:t>HEC Forum</w:t>
      </w:r>
      <w:r w:rsidRPr="002F490A">
        <w:t xml:space="preserve"> 10.1 (1998): 71-71. </w:t>
      </w:r>
    </w:p>
    <w:p w14:paraId="0C9960EA" w14:textId="77777777" w:rsidR="00EB5E76" w:rsidRDefault="00EB5E76" w:rsidP="003F0D66">
      <w:pPr>
        <w:widowControl w:val="0"/>
        <w:ind w:left="800" w:hanging="800"/>
      </w:pPr>
    </w:p>
    <w:p w14:paraId="73279C50" w14:textId="77777777" w:rsidR="00EB5E76" w:rsidRDefault="006A73A5" w:rsidP="003F0D66">
      <w:pPr>
        <w:widowControl w:val="0"/>
        <w:ind w:left="800" w:hanging="800"/>
      </w:pPr>
      <w:r w:rsidRPr="002F490A">
        <w:t xml:space="preserve">Elliott, Carl. </w:t>
      </w:r>
      <w:r w:rsidR="00995FB5">
        <w:rPr>
          <w:i/>
          <w:iCs/>
        </w:rPr>
        <w:t>White Coat, Black Hat: Adventures on the Dark Side of M</w:t>
      </w:r>
      <w:r w:rsidRPr="002F490A">
        <w:rPr>
          <w:i/>
          <w:iCs/>
        </w:rPr>
        <w:t>edicine</w:t>
      </w:r>
      <w:r w:rsidRPr="002F490A">
        <w:t xml:space="preserve">. Boston: Beacon Press, 2010. </w:t>
      </w:r>
    </w:p>
    <w:p w14:paraId="51A4A8D1" w14:textId="77777777" w:rsidR="00BB4400" w:rsidRDefault="00BB4400" w:rsidP="003F0D66">
      <w:pPr>
        <w:widowControl w:val="0"/>
        <w:ind w:left="800" w:hanging="800"/>
      </w:pPr>
    </w:p>
    <w:p w14:paraId="34ED283A" w14:textId="77777777" w:rsidR="006971A9" w:rsidRDefault="003C215A" w:rsidP="003F0D66">
      <w:pPr>
        <w:widowControl w:val="0"/>
        <w:ind w:left="800" w:hanging="800"/>
      </w:pPr>
      <w:r>
        <w:t>Elliott, Carl</w:t>
      </w:r>
      <w:r w:rsidR="006971A9">
        <w:t xml:space="preserve">. </w:t>
      </w:r>
      <w:r w:rsidR="008C2FD3">
        <w:t>“</w:t>
      </w:r>
      <w:r w:rsidR="00995FB5">
        <w:t>Throwing a B</w:t>
      </w:r>
      <w:r w:rsidR="006971A9">
        <w:t>on</w:t>
      </w:r>
      <w:r w:rsidR="00995FB5">
        <w:t>e to the W</w:t>
      </w:r>
      <w:r w:rsidR="006971A9">
        <w:t>atchdog.</w:t>
      </w:r>
      <w:r w:rsidR="008C2FD3">
        <w:t>”</w:t>
      </w:r>
      <w:r w:rsidR="006971A9">
        <w:t xml:space="preserve"> </w:t>
      </w:r>
      <w:r w:rsidR="006971A9" w:rsidRPr="006971A9">
        <w:rPr>
          <w:i/>
        </w:rPr>
        <w:t>Hastings Center Report</w:t>
      </w:r>
      <w:r w:rsidR="006971A9">
        <w:t xml:space="preserve"> </w:t>
      </w:r>
      <w:r w:rsidR="009A594F">
        <w:t>31.2 (2001): 9-12</w:t>
      </w:r>
      <w:r w:rsidR="00430923">
        <w:t>.</w:t>
      </w:r>
    </w:p>
    <w:p w14:paraId="092D0BCB" w14:textId="77777777" w:rsidR="00430923" w:rsidRDefault="00430923" w:rsidP="003F0D66">
      <w:pPr>
        <w:widowControl w:val="0"/>
        <w:ind w:left="800" w:hanging="800"/>
      </w:pPr>
    </w:p>
    <w:p w14:paraId="202A329B" w14:textId="77777777" w:rsidR="00430923" w:rsidRDefault="00430923" w:rsidP="003F0D66">
      <w:pPr>
        <w:widowControl w:val="0"/>
        <w:ind w:left="800" w:hanging="800"/>
      </w:pPr>
      <w:r>
        <w:t xml:space="preserve">Elliott, Carl. </w:t>
      </w:r>
      <w:r w:rsidR="008C2FD3">
        <w:t>“</w:t>
      </w:r>
      <w:r w:rsidR="00995FB5">
        <w:t>Pharma Buys a C</w:t>
      </w:r>
      <w:r>
        <w:t>onscience.</w:t>
      </w:r>
      <w:r w:rsidR="008C2FD3">
        <w:t>”</w:t>
      </w:r>
      <w:r>
        <w:t xml:space="preserve"> </w:t>
      </w:r>
      <w:r w:rsidR="0079081B" w:rsidRPr="0079081B">
        <w:rPr>
          <w:i/>
        </w:rPr>
        <w:t>The American Prospect</w:t>
      </w:r>
      <w:r w:rsidR="0079081B">
        <w:t xml:space="preserve"> 12.17 (</w:t>
      </w:r>
      <w:r w:rsidR="008402D3">
        <w:t>2001</w:t>
      </w:r>
      <w:r w:rsidR="0079081B">
        <w:t xml:space="preserve">): </w:t>
      </w:r>
      <w:r w:rsidR="008402D3">
        <w:t>16-20</w:t>
      </w:r>
      <w:r w:rsidR="0079081B">
        <w:t xml:space="preserve">. </w:t>
      </w:r>
    </w:p>
    <w:p w14:paraId="0DE41F35" w14:textId="77777777" w:rsidR="008402D3" w:rsidRDefault="008402D3" w:rsidP="003F0D66">
      <w:pPr>
        <w:widowControl w:val="0"/>
        <w:ind w:left="800" w:hanging="800"/>
      </w:pPr>
    </w:p>
    <w:p w14:paraId="038DDEE4" w14:textId="77777777" w:rsidR="00C32E2A" w:rsidRPr="006A73A5" w:rsidRDefault="006A73A5" w:rsidP="003F0D66">
      <w:pPr>
        <w:widowControl w:val="0"/>
        <w:ind w:left="800" w:hanging="800"/>
      </w:pPr>
      <w:r w:rsidRPr="002F490A">
        <w:t xml:space="preserve">Emmerich, Nathan. "What Would You Do? Juggling Bioethics and Ethnography." </w:t>
      </w:r>
      <w:r w:rsidRPr="002F490A">
        <w:rPr>
          <w:i/>
          <w:iCs/>
        </w:rPr>
        <w:t>Sociology of Health &amp; Illness</w:t>
      </w:r>
      <w:r w:rsidR="003C215A">
        <w:t xml:space="preserve"> 31.7 (2009): 1112-1113.</w:t>
      </w:r>
    </w:p>
    <w:p w14:paraId="74AC91DD" w14:textId="77777777" w:rsidR="00EB5E76" w:rsidRDefault="00EB5E76" w:rsidP="003F0D66">
      <w:pPr>
        <w:widowControl w:val="0"/>
        <w:ind w:left="800" w:hanging="800"/>
      </w:pPr>
    </w:p>
    <w:p w14:paraId="1B64BE9A" w14:textId="77777777" w:rsidR="00841FA2" w:rsidRDefault="00995FB5" w:rsidP="0079081B">
      <w:pPr>
        <w:widowControl w:val="0"/>
      </w:pPr>
      <w:r>
        <w:t>Engelhardt, H. Tristram. "Core Competencies for Health Care Ethics C</w:t>
      </w:r>
      <w:r w:rsidR="006A73A5" w:rsidRPr="002F490A">
        <w:t xml:space="preserve">onsultants: </w:t>
      </w:r>
    </w:p>
    <w:p w14:paraId="02F0E268" w14:textId="77777777" w:rsidR="00C32E2A" w:rsidRDefault="00995FB5" w:rsidP="00841FA2">
      <w:pPr>
        <w:widowControl w:val="0"/>
        <w:ind w:left="720"/>
      </w:pPr>
      <w:r>
        <w:t>In Search of Professional Status in a Post-Modern W</w:t>
      </w:r>
      <w:r w:rsidR="006A73A5" w:rsidRPr="002F490A">
        <w:t xml:space="preserve">orld." </w:t>
      </w:r>
      <w:r w:rsidR="006A73A5" w:rsidRPr="002F490A">
        <w:rPr>
          <w:i/>
          <w:iCs/>
        </w:rPr>
        <w:t>HEC Forum</w:t>
      </w:r>
      <w:r w:rsidR="006A73A5" w:rsidRPr="002F490A">
        <w:t xml:space="preserve"> 23.3 (2011)</w:t>
      </w:r>
      <w:r w:rsidR="003C215A">
        <w:t xml:space="preserve">: 129-145. </w:t>
      </w:r>
    </w:p>
    <w:p w14:paraId="6E2A55B1" w14:textId="77777777" w:rsidR="00841FA2" w:rsidRDefault="00841FA2" w:rsidP="0079081B">
      <w:pPr>
        <w:widowControl w:val="0"/>
      </w:pPr>
    </w:p>
    <w:p w14:paraId="6926640E" w14:textId="77777777" w:rsidR="00841FA2" w:rsidRDefault="00841FA2" w:rsidP="00841FA2">
      <w:pPr>
        <w:widowControl w:val="0"/>
        <w:ind w:left="800" w:hanging="800"/>
        <w:rPr>
          <w:lang w:val="en-US"/>
        </w:rPr>
      </w:pPr>
      <w:r>
        <w:rPr>
          <w:lang w:val="en-US"/>
        </w:rPr>
        <w:t xml:space="preserve">Engelhardt, H. Tristram. "Credentialing Strategically Ambiguous and Heterogeneous Social Skills: The Emperor Without Clothes." </w:t>
      </w:r>
      <w:r>
        <w:rPr>
          <w:i/>
          <w:iCs/>
          <w:lang w:val="en-US"/>
        </w:rPr>
        <w:t>HEC Forum</w:t>
      </w:r>
      <w:r>
        <w:rPr>
          <w:lang w:val="en-US"/>
        </w:rPr>
        <w:t xml:space="preserve"> 21.3 (2009): 293-306. </w:t>
      </w:r>
    </w:p>
    <w:p w14:paraId="00D96E7E" w14:textId="77777777" w:rsidR="00841FA2" w:rsidRDefault="00841FA2" w:rsidP="00995FB5">
      <w:pPr>
        <w:widowControl w:val="0"/>
      </w:pPr>
    </w:p>
    <w:p w14:paraId="30707F7D" w14:textId="19B23979" w:rsidR="00841FA2" w:rsidRDefault="00841FA2" w:rsidP="00841FA2">
      <w:pPr>
        <w:widowControl w:val="0"/>
        <w:ind w:left="800" w:hanging="800"/>
      </w:pPr>
      <w:r>
        <w:rPr>
          <w:lang w:val="en-US"/>
        </w:rPr>
        <w:t>Enge</w:t>
      </w:r>
      <w:r w:rsidR="00995FB5">
        <w:rPr>
          <w:lang w:val="en-US"/>
        </w:rPr>
        <w:t>lhardt, H.</w:t>
      </w:r>
      <w:r w:rsidR="00523208">
        <w:rPr>
          <w:lang w:val="en-US"/>
        </w:rPr>
        <w:t xml:space="preserve"> </w:t>
      </w:r>
      <w:r w:rsidR="00995FB5">
        <w:rPr>
          <w:lang w:val="en-US"/>
        </w:rPr>
        <w:t>Tristram. "Bioethics C</w:t>
      </w:r>
      <w:r>
        <w:rPr>
          <w:lang w:val="en-US"/>
        </w:rPr>
        <w:t>ritic</w:t>
      </w:r>
      <w:r w:rsidR="00995FB5">
        <w:rPr>
          <w:lang w:val="en-US"/>
        </w:rPr>
        <w:t>ally Reconsidered: Living After F</w:t>
      </w:r>
      <w:r>
        <w:rPr>
          <w:lang w:val="en-US"/>
        </w:rPr>
        <w:t xml:space="preserve">oundations." </w:t>
      </w:r>
      <w:r>
        <w:rPr>
          <w:i/>
          <w:iCs/>
          <w:lang w:val="en-US"/>
        </w:rPr>
        <w:t>Theo</w:t>
      </w:r>
      <w:r w:rsidR="00523208">
        <w:rPr>
          <w:i/>
          <w:iCs/>
          <w:lang w:val="en-US"/>
        </w:rPr>
        <w:t>r</w:t>
      </w:r>
      <w:r>
        <w:rPr>
          <w:i/>
          <w:iCs/>
          <w:lang w:val="en-US"/>
        </w:rPr>
        <w:t>etical Medicine and Bioethics</w:t>
      </w:r>
      <w:r>
        <w:rPr>
          <w:lang w:val="en-US"/>
        </w:rPr>
        <w:t xml:space="preserve"> 33.1 (2012): 97-105. </w:t>
      </w:r>
    </w:p>
    <w:p w14:paraId="66D79C3A" w14:textId="77777777" w:rsidR="00EB5E76" w:rsidRDefault="00EB5E76" w:rsidP="00841FA2">
      <w:pPr>
        <w:widowControl w:val="0"/>
      </w:pPr>
    </w:p>
    <w:p w14:paraId="78913CCA" w14:textId="77777777" w:rsidR="00C32E2A" w:rsidRPr="006A73A5" w:rsidRDefault="006A73A5" w:rsidP="003F0D66">
      <w:pPr>
        <w:widowControl w:val="0"/>
        <w:ind w:left="800" w:hanging="800"/>
      </w:pPr>
      <w:r w:rsidRPr="002F490A">
        <w:t>Engel</w:t>
      </w:r>
      <w:r w:rsidR="00995FB5">
        <w:t>hardt, H. Tristram. "Consensus Formation: The Creation of an I</w:t>
      </w:r>
      <w:r w:rsidRPr="002F490A">
        <w:t xml:space="preserve">deology." </w:t>
      </w:r>
      <w:r w:rsidRPr="002F490A">
        <w:rPr>
          <w:i/>
          <w:iCs/>
        </w:rPr>
        <w:t>Cambridge Quarterly of Healthcare Ethics</w:t>
      </w:r>
      <w:r w:rsidRPr="002F490A">
        <w:t xml:space="preserve"> 1</w:t>
      </w:r>
      <w:r w:rsidR="003C215A">
        <w:t xml:space="preserve">1.1 (2002): 7-16. </w:t>
      </w:r>
    </w:p>
    <w:p w14:paraId="76D60020" w14:textId="77777777" w:rsidR="00EB5E76" w:rsidRDefault="00EB5E76" w:rsidP="003F0D66">
      <w:pPr>
        <w:widowControl w:val="0"/>
        <w:ind w:left="800" w:hanging="800"/>
        <w:rPr>
          <w:lang w:val="en-US"/>
        </w:rPr>
      </w:pPr>
    </w:p>
    <w:p w14:paraId="0ACFB773" w14:textId="38C402E8" w:rsidR="007E64A8" w:rsidRDefault="00171360" w:rsidP="003F0D66">
      <w:pPr>
        <w:widowControl w:val="0"/>
        <w:ind w:left="800" w:hanging="800"/>
        <w:rPr>
          <w:lang w:val="en-US"/>
        </w:rPr>
      </w:pPr>
      <w:r>
        <w:rPr>
          <w:lang w:val="en-US"/>
        </w:rPr>
        <w:t>Engelhardt, H</w:t>
      </w:r>
      <w:r w:rsidR="006A73A5">
        <w:rPr>
          <w:lang w:val="en-US"/>
        </w:rPr>
        <w:t>.</w:t>
      </w:r>
      <w:r>
        <w:rPr>
          <w:lang w:val="en-US"/>
        </w:rPr>
        <w:t xml:space="preserve"> Tristram.</w:t>
      </w:r>
      <w:r w:rsidR="00995FB5">
        <w:rPr>
          <w:lang w:val="en-US"/>
        </w:rPr>
        <w:t xml:space="preserve"> "Confronting Moral pluralism in Posttraditional Western Societies: Bioethics Critically R</w:t>
      </w:r>
      <w:r w:rsidR="006A73A5">
        <w:rPr>
          <w:lang w:val="en-US"/>
        </w:rPr>
        <w:t xml:space="preserve">eassessed." </w:t>
      </w:r>
      <w:r w:rsidR="006A73A5">
        <w:rPr>
          <w:i/>
          <w:iCs/>
          <w:lang w:val="en-US"/>
        </w:rPr>
        <w:t>Journal of Medicine Philosophy</w:t>
      </w:r>
      <w:r w:rsidR="003C215A">
        <w:rPr>
          <w:lang w:val="en-US"/>
        </w:rPr>
        <w:t xml:space="preserve"> 36.3 (2011): 243-60.</w:t>
      </w:r>
    </w:p>
    <w:p w14:paraId="52B05725" w14:textId="77777777" w:rsidR="00BF625A" w:rsidRDefault="00BF625A" w:rsidP="003F0D66">
      <w:pPr>
        <w:widowControl w:val="0"/>
        <w:ind w:left="800" w:hanging="800"/>
        <w:rPr>
          <w:lang w:val="en-US"/>
        </w:rPr>
      </w:pPr>
    </w:p>
    <w:p w14:paraId="5DBD78F0" w14:textId="7B1307C2" w:rsidR="007E64A8" w:rsidRDefault="00BF625A" w:rsidP="003F0D66">
      <w:pPr>
        <w:widowControl w:val="0"/>
        <w:ind w:left="800" w:hanging="800"/>
        <w:rPr>
          <w:lang w:val="en-US"/>
        </w:rPr>
      </w:pPr>
      <w:r>
        <w:rPr>
          <w:lang w:val="en-US"/>
        </w:rPr>
        <w:t>Ford, Paul J. and Denise M. Dudzinski. “Specters, Traces, and Regret in Ethics Consultation.” The Journal of Clinical Ethics 16.3 (2005): 193-195.</w:t>
      </w:r>
    </w:p>
    <w:p w14:paraId="241D8AB9" w14:textId="77777777" w:rsidR="00BF625A" w:rsidRDefault="00BF625A" w:rsidP="003F0D66">
      <w:pPr>
        <w:widowControl w:val="0"/>
        <w:ind w:left="800" w:hanging="800"/>
        <w:rPr>
          <w:lang w:val="en-US"/>
        </w:rPr>
      </w:pPr>
    </w:p>
    <w:p w14:paraId="48D577F0" w14:textId="77777777" w:rsidR="00C32E2A" w:rsidRDefault="007E64A8" w:rsidP="003F0D66">
      <w:pPr>
        <w:widowControl w:val="0"/>
        <w:ind w:left="800" w:hanging="800"/>
      </w:pPr>
      <w:r>
        <w:rPr>
          <w:lang w:val="en-US"/>
        </w:rPr>
        <w:t xml:space="preserve">Fins, Joseph J., Eric Kodish, Felicia Cohn, Marion Danis, Arthur Derse, Nancy Neveloff Dubler, Barbara Goulden, Mark Kuczewski, Mary Beth Mercer, Robert A. Perlman, Martin L. Smith, Anita Tarzian and Stuart J. Younger. “A Pilot Evaluation of Portfolios for Quality Attestation of Clinical Ethics Consultants.” </w:t>
      </w:r>
      <w:r w:rsidRPr="007E64A8">
        <w:rPr>
          <w:i/>
          <w:lang w:val="en-US"/>
        </w:rPr>
        <w:t>The American Journal of Bioethics</w:t>
      </w:r>
      <w:r>
        <w:rPr>
          <w:lang w:val="en-US"/>
        </w:rPr>
        <w:t xml:space="preserve"> 16.3 (2016): 15-24.  </w:t>
      </w:r>
      <w:r w:rsidR="003C215A">
        <w:rPr>
          <w:lang w:val="en-US"/>
        </w:rPr>
        <w:t xml:space="preserve"> </w:t>
      </w:r>
    </w:p>
    <w:p w14:paraId="4067097B" w14:textId="77777777" w:rsidR="00EB5E76" w:rsidRDefault="00EB5E76" w:rsidP="00841FA2">
      <w:pPr>
        <w:widowControl w:val="0"/>
        <w:rPr>
          <w:lang w:val="en-US"/>
        </w:rPr>
      </w:pPr>
    </w:p>
    <w:p w14:paraId="4BE37E9D" w14:textId="77777777" w:rsidR="00C32E2A" w:rsidRDefault="006A73A5" w:rsidP="003F0D66">
      <w:pPr>
        <w:widowControl w:val="0"/>
        <w:ind w:left="800" w:hanging="800"/>
      </w:pPr>
      <w:r>
        <w:rPr>
          <w:lang w:val="en-US"/>
        </w:rPr>
        <w:t>Fins, J</w:t>
      </w:r>
      <w:r w:rsidR="005C7D48">
        <w:rPr>
          <w:lang w:val="en-US"/>
        </w:rPr>
        <w:t>oseph J.</w:t>
      </w:r>
      <w:r w:rsidR="00995FB5">
        <w:rPr>
          <w:lang w:val="en-US"/>
        </w:rPr>
        <w:t xml:space="preserve"> and F. Miller. "Clinical Pragmatism, Ethics Consultation, and the </w:t>
      </w:r>
      <w:r w:rsidR="00995FB5">
        <w:rPr>
          <w:lang w:val="en-US"/>
        </w:rPr>
        <w:lastRenderedPageBreak/>
        <w:t>Elderly P</w:t>
      </w:r>
      <w:r>
        <w:rPr>
          <w:lang w:val="en-US"/>
        </w:rPr>
        <w:t xml:space="preserve">atient." </w:t>
      </w:r>
      <w:r w:rsidR="00995FB5">
        <w:rPr>
          <w:i/>
          <w:iCs/>
          <w:lang w:val="en-US"/>
        </w:rPr>
        <w:t>Clinics in Geriatric M</w:t>
      </w:r>
      <w:r>
        <w:rPr>
          <w:i/>
          <w:iCs/>
          <w:lang w:val="en-US"/>
        </w:rPr>
        <w:t>edicine</w:t>
      </w:r>
      <w:r w:rsidR="003C215A">
        <w:rPr>
          <w:lang w:val="en-US"/>
        </w:rPr>
        <w:t xml:space="preserve"> 16.1 (2000): 71-81. </w:t>
      </w:r>
    </w:p>
    <w:p w14:paraId="717D1916" w14:textId="77777777" w:rsidR="00EB5E76" w:rsidRDefault="00EB5E76" w:rsidP="003F0D66">
      <w:pPr>
        <w:widowControl w:val="0"/>
        <w:ind w:left="800" w:hanging="800"/>
        <w:rPr>
          <w:lang w:val="en-US"/>
        </w:rPr>
      </w:pPr>
    </w:p>
    <w:p w14:paraId="673848D7" w14:textId="77777777" w:rsidR="00C32E2A" w:rsidRDefault="006A73A5" w:rsidP="003F0D66">
      <w:pPr>
        <w:widowControl w:val="0"/>
        <w:ind w:left="800" w:hanging="800"/>
      </w:pPr>
      <w:r>
        <w:rPr>
          <w:lang w:val="en-US"/>
        </w:rPr>
        <w:t xml:space="preserve">Fins, Joseph J. "Praxis Makes Perfect?" </w:t>
      </w:r>
      <w:r>
        <w:rPr>
          <w:i/>
          <w:iCs/>
          <w:lang w:val="en-US"/>
        </w:rPr>
        <w:t>The Hastings Center Report</w:t>
      </w:r>
      <w:r w:rsidR="003C215A">
        <w:rPr>
          <w:lang w:val="en-US"/>
        </w:rPr>
        <w:t xml:space="preserve"> 23.5 (1993): 16-19. </w:t>
      </w:r>
    </w:p>
    <w:p w14:paraId="754F5704" w14:textId="77777777" w:rsidR="00EB5E76" w:rsidRDefault="00EB5E76" w:rsidP="003F0D66">
      <w:pPr>
        <w:widowControl w:val="0"/>
        <w:ind w:left="800" w:hanging="800"/>
        <w:rPr>
          <w:lang w:val="en-US"/>
        </w:rPr>
      </w:pPr>
    </w:p>
    <w:p w14:paraId="7FCA1867" w14:textId="77777777" w:rsidR="00C32E2A" w:rsidRDefault="006A73A5" w:rsidP="003F0D66">
      <w:pPr>
        <w:widowControl w:val="0"/>
        <w:ind w:left="800" w:hanging="800"/>
      </w:pPr>
      <w:r>
        <w:rPr>
          <w:lang w:val="en-US"/>
        </w:rPr>
        <w:t>Fins, Joseph J. "Encounte</w:t>
      </w:r>
      <w:r w:rsidR="003F0D66">
        <w:rPr>
          <w:lang w:val="en-US"/>
        </w:rPr>
        <w:t>ring Diversity: Medical Ethics a</w:t>
      </w:r>
      <w:r>
        <w:rPr>
          <w:lang w:val="en-US"/>
        </w:rPr>
        <w:t xml:space="preserve">nd Pluralism." </w:t>
      </w:r>
      <w:r>
        <w:rPr>
          <w:i/>
          <w:iCs/>
          <w:lang w:val="en-US"/>
        </w:rPr>
        <w:t>Journal of Religion and Health</w:t>
      </w:r>
      <w:r w:rsidR="003C215A">
        <w:rPr>
          <w:lang w:val="en-US"/>
        </w:rPr>
        <w:t xml:space="preserve"> 33.1 (1994): 23-27. </w:t>
      </w:r>
    </w:p>
    <w:p w14:paraId="0717339D" w14:textId="77777777" w:rsidR="00EB5E76" w:rsidRDefault="00EB5E76" w:rsidP="003F0D66">
      <w:pPr>
        <w:widowControl w:val="0"/>
        <w:ind w:left="800" w:hanging="800"/>
        <w:rPr>
          <w:lang w:val="en-US"/>
        </w:rPr>
      </w:pPr>
    </w:p>
    <w:p w14:paraId="2023BBD2" w14:textId="77777777" w:rsidR="00C32E2A" w:rsidRDefault="006A73A5" w:rsidP="003F0D66">
      <w:pPr>
        <w:widowControl w:val="0"/>
        <w:ind w:left="800" w:hanging="800"/>
      </w:pPr>
      <w:r>
        <w:rPr>
          <w:lang w:val="en-US"/>
        </w:rPr>
        <w:t xml:space="preserve">Fins, Joseph J. "A Secular Chaplaincy." </w:t>
      </w:r>
      <w:r>
        <w:rPr>
          <w:i/>
          <w:iCs/>
          <w:lang w:val="en-US"/>
        </w:rPr>
        <w:t>Journal of Religion and Health</w:t>
      </w:r>
      <w:r w:rsidR="003C215A">
        <w:rPr>
          <w:lang w:val="en-US"/>
        </w:rPr>
        <w:t xml:space="preserve"> 33.4 (1994): 373-375. </w:t>
      </w:r>
    </w:p>
    <w:p w14:paraId="15E91A18" w14:textId="77777777" w:rsidR="00EB5E76" w:rsidRDefault="00EB5E76" w:rsidP="00EB5E76">
      <w:pPr>
        <w:widowControl w:val="0"/>
        <w:rPr>
          <w:lang w:val="en-US"/>
        </w:rPr>
      </w:pPr>
    </w:p>
    <w:p w14:paraId="2A9AC40A" w14:textId="77777777" w:rsidR="00732542" w:rsidRPr="00732542" w:rsidRDefault="001749C0" w:rsidP="003F0D66">
      <w:pPr>
        <w:widowControl w:val="0"/>
        <w:ind w:left="800" w:hanging="800"/>
      </w:pPr>
      <w:r>
        <w:rPr>
          <w:lang w:val="en-US"/>
        </w:rPr>
        <w:t>Froli</w:t>
      </w:r>
      <w:r w:rsidR="00A226F2">
        <w:rPr>
          <w:lang w:val="en-US"/>
        </w:rPr>
        <w:t>c, Andrea</w:t>
      </w:r>
      <w:r w:rsidR="003C215A">
        <w:rPr>
          <w:lang w:val="en-US"/>
        </w:rPr>
        <w:t xml:space="preserve"> and Paula Chidwick.</w:t>
      </w:r>
      <w:r w:rsidR="00732542" w:rsidRPr="00732542">
        <w:rPr>
          <w:lang w:val="en-US"/>
        </w:rPr>
        <w:t xml:space="preserve"> Political and Interpersonal Aspects of Bioethics Consultation. </w:t>
      </w:r>
      <w:r w:rsidR="00732542" w:rsidRPr="00732542">
        <w:rPr>
          <w:i/>
          <w:lang w:val="en-US"/>
        </w:rPr>
        <w:t>Theoretical Medicine</w:t>
      </w:r>
      <w:r w:rsidR="003C215A">
        <w:rPr>
          <w:i/>
          <w:lang w:val="en-US"/>
        </w:rPr>
        <w:t xml:space="preserve"> </w:t>
      </w:r>
      <w:r w:rsidR="003C215A" w:rsidRPr="003C215A">
        <w:rPr>
          <w:lang w:val="en-US"/>
        </w:rPr>
        <w:t>13</w:t>
      </w:r>
      <w:r w:rsidR="00732542" w:rsidRPr="00732542">
        <w:rPr>
          <w:lang w:val="en-US"/>
        </w:rPr>
        <w:t xml:space="preserve"> </w:t>
      </w:r>
      <w:r w:rsidR="003C215A">
        <w:rPr>
          <w:lang w:val="en-US"/>
        </w:rPr>
        <w:t xml:space="preserve">(1992): </w:t>
      </w:r>
      <w:r w:rsidR="00732542" w:rsidRPr="00732542">
        <w:rPr>
          <w:lang w:val="en-US"/>
        </w:rPr>
        <w:t>31-44.</w:t>
      </w:r>
    </w:p>
    <w:p w14:paraId="0E5F8BC0" w14:textId="77777777" w:rsidR="00EB5E76" w:rsidRDefault="00EB5E76" w:rsidP="003F0D66">
      <w:pPr>
        <w:widowControl w:val="0"/>
        <w:ind w:left="800" w:hanging="800"/>
        <w:rPr>
          <w:lang w:val="en-US"/>
        </w:rPr>
      </w:pPr>
    </w:p>
    <w:p w14:paraId="02810F9C" w14:textId="77777777" w:rsidR="00732542" w:rsidRPr="00732542" w:rsidRDefault="003C215A" w:rsidP="003F0D66">
      <w:pPr>
        <w:widowControl w:val="0"/>
        <w:ind w:left="800" w:hanging="800"/>
        <w:rPr>
          <w:lang w:val="en-US"/>
        </w:rPr>
      </w:pPr>
      <w:r>
        <w:rPr>
          <w:lang w:val="en-US"/>
        </w:rPr>
        <w:t>Frolic, A</w:t>
      </w:r>
      <w:r w:rsidR="00A226F2">
        <w:rPr>
          <w:lang w:val="en-US"/>
        </w:rPr>
        <w:t>ndrea</w:t>
      </w:r>
      <w:r w:rsidR="00732542" w:rsidRPr="00732542">
        <w:rPr>
          <w:lang w:val="en-US"/>
        </w:rPr>
        <w:t xml:space="preserve">. </w:t>
      </w:r>
      <w:r>
        <w:rPr>
          <w:lang w:val="en-US"/>
        </w:rPr>
        <w:t>“</w:t>
      </w:r>
      <w:r w:rsidR="00995FB5">
        <w:rPr>
          <w:lang w:val="en-US"/>
        </w:rPr>
        <w:t>Who are We When We are Doing What We are D</w:t>
      </w:r>
      <w:r w:rsidR="00732542" w:rsidRPr="00732542">
        <w:rPr>
          <w:lang w:val="en-US"/>
        </w:rPr>
        <w:t>oing?</w:t>
      </w:r>
      <w:r>
        <w:rPr>
          <w:lang w:val="en-US"/>
        </w:rPr>
        <w:t>”</w:t>
      </w:r>
      <w:r w:rsidR="00732542" w:rsidRPr="00BC6696">
        <w:rPr>
          <w:i/>
          <w:lang w:val="en-US"/>
        </w:rPr>
        <w:t xml:space="preserve"> Bioethics</w:t>
      </w:r>
      <w:r>
        <w:rPr>
          <w:lang w:val="en-US"/>
        </w:rPr>
        <w:t xml:space="preserve"> 25.7 (2011)</w:t>
      </w:r>
      <w:r w:rsidR="00732542" w:rsidRPr="00732542">
        <w:rPr>
          <w:lang w:val="en-US"/>
        </w:rPr>
        <w:t xml:space="preserve">: 370-382.  </w:t>
      </w:r>
    </w:p>
    <w:p w14:paraId="2C407265" w14:textId="77777777" w:rsidR="00EB5E76" w:rsidRDefault="00EB5E76" w:rsidP="003F0D66">
      <w:pPr>
        <w:widowControl w:val="0"/>
        <w:ind w:left="800" w:hanging="800"/>
        <w:rPr>
          <w:lang w:val="en-US"/>
        </w:rPr>
      </w:pPr>
    </w:p>
    <w:p w14:paraId="3F71524D" w14:textId="77777777" w:rsidR="00732542" w:rsidRPr="00732542" w:rsidRDefault="00732542" w:rsidP="003F0D66">
      <w:pPr>
        <w:widowControl w:val="0"/>
        <w:ind w:left="800" w:hanging="800"/>
        <w:rPr>
          <w:lang w:val="en-US"/>
        </w:rPr>
      </w:pPr>
      <w:r w:rsidRPr="00732542">
        <w:rPr>
          <w:lang w:val="en-US"/>
        </w:rPr>
        <w:t>F</w:t>
      </w:r>
      <w:r w:rsidR="00A226F2">
        <w:rPr>
          <w:lang w:val="en-US"/>
        </w:rPr>
        <w:t xml:space="preserve">rolic, </w:t>
      </w:r>
      <w:r w:rsidR="00995FB5">
        <w:rPr>
          <w:lang w:val="en-US"/>
        </w:rPr>
        <w:t>Andrea and Chidwick, Paula. “A Pilot Q</w:t>
      </w:r>
      <w:r w:rsidR="00A226F2">
        <w:rPr>
          <w:lang w:val="en-US"/>
        </w:rPr>
        <w:t>u</w:t>
      </w:r>
      <w:r w:rsidR="00995FB5">
        <w:rPr>
          <w:lang w:val="en-US"/>
        </w:rPr>
        <w:t>alitative S</w:t>
      </w:r>
      <w:r w:rsidR="00A226F2">
        <w:rPr>
          <w:lang w:val="en-US"/>
        </w:rPr>
        <w:t>tudy of ‘</w:t>
      </w:r>
      <w:r w:rsidR="00995FB5">
        <w:rPr>
          <w:lang w:val="en-US"/>
        </w:rPr>
        <w:t>C</w:t>
      </w:r>
      <w:r w:rsidR="000C063C">
        <w:rPr>
          <w:lang w:val="en-US"/>
        </w:rPr>
        <w:t>onflicts of I</w:t>
      </w:r>
      <w:r w:rsidRPr="00732542">
        <w:rPr>
          <w:lang w:val="en-US"/>
        </w:rPr>
        <w:t>nteres</w:t>
      </w:r>
      <w:r w:rsidR="000C063C">
        <w:rPr>
          <w:lang w:val="en-US"/>
        </w:rPr>
        <w:t>ts and/or Conflicting I</w:t>
      </w:r>
      <w:r w:rsidR="00A226F2">
        <w:rPr>
          <w:lang w:val="en-US"/>
        </w:rPr>
        <w:t>nterests’</w:t>
      </w:r>
      <w:r w:rsidR="000C063C">
        <w:rPr>
          <w:lang w:val="en-US"/>
        </w:rPr>
        <w:t xml:space="preserve"> Among Canadian B</w:t>
      </w:r>
      <w:r w:rsidRPr="00732542">
        <w:rPr>
          <w:lang w:val="en-US"/>
        </w:rPr>
        <w:t xml:space="preserve">ioethicists. Part 1:  Five </w:t>
      </w:r>
      <w:r w:rsidR="000C063C">
        <w:rPr>
          <w:lang w:val="en-US"/>
        </w:rPr>
        <w:t>Cases, Experiences and Lessons L</w:t>
      </w:r>
      <w:r w:rsidRPr="00732542">
        <w:rPr>
          <w:lang w:val="en-US"/>
        </w:rPr>
        <w:t>earned.</w:t>
      </w:r>
      <w:r w:rsidR="00A226F2">
        <w:rPr>
          <w:lang w:val="en-US"/>
        </w:rPr>
        <w:t>”</w:t>
      </w:r>
      <w:r w:rsidRPr="00732542">
        <w:rPr>
          <w:lang w:val="en-US"/>
        </w:rPr>
        <w:t xml:space="preserve"> </w:t>
      </w:r>
      <w:r w:rsidRPr="00732542">
        <w:rPr>
          <w:i/>
          <w:lang w:val="en-US"/>
        </w:rPr>
        <w:t>HEC Forum</w:t>
      </w:r>
      <w:r w:rsidRPr="00732542">
        <w:rPr>
          <w:lang w:val="en-US"/>
        </w:rPr>
        <w:t xml:space="preserve"> 22</w:t>
      </w:r>
      <w:r w:rsidR="003C215A">
        <w:rPr>
          <w:lang w:val="en-US"/>
        </w:rPr>
        <w:t>.</w:t>
      </w:r>
      <w:r w:rsidRPr="00732542">
        <w:rPr>
          <w:lang w:val="en-US"/>
        </w:rPr>
        <w:t>1</w:t>
      </w:r>
      <w:r w:rsidR="003C215A">
        <w:rPr>
          <w:lang w:val="en-US"/>
        </w:rPr>
        <w:t xml:space="preserve"> (2010a)</w:t>
      </w:r>
      <w:r w:rsidRPr="00732542">
        <w:rPr>
          <w:lang w:val="en-US"/>
        </w:rPr>
        <w:t>:</w:t>
      </w:r>
      <w:r w:rsidR="003C215A">
        <w:rPr>
          <w:lang w:val="en-US"/>
        </w:rPr>
        <w:t xml:space="preserve"> </w:t>
      </w:r>
      <w:r w:rsidRPr="00732542">
        <w:rPr>
          <w:lang w:val="en-US"/>
        </w:rPr>
        <w:t>5-17.</w:t>
      </w:r>
    </w:p>
    <w:p w14:paraId="796F3AFF" w14:textId="77777777" w:rsidR="00EB5E76" w:rsidRDefault="00EB5E76" w:rsidP="003F0D66">
      <w:pPr>
        <w:widowControl w:val="0"/>
        <w:ind w:left="800" w:hanging="800"/>
        <w:rPr>
          <w:lang w:val="en-US"/>
        </w:rPr>
      </w:pPr>
    </w:p>
    <w:p w14:paraId="3B373F79" w14:textId="77777777" w:rsidR="00732542" w:rsidRDefault="00A226F2" w:rsidP="003F0D66">
      <w:pPr>
        <w:widowControl w:val="0"/>
        <w:ind w:left="800" w:hanging="800"/>
        <w:rPr>
          <w:lang w:val="en-US"/>
        </w:rPr>
      </w:pPr>
      <w:r>
        <w:rPr>
          <w:lang w:val="en-US"/>
        </w:rPr>
        <w:t>Frolic, Andrea and Chidwick, Paula</w:t>
      </w:r>
      <w:r w:rsidR="00732542" w:rsidRPr="00732542">
        <w:rPr>
          <w:lang w:val="en-US"/>
        </w:rPr>
        <w:t xml:space="preserve">. </w:t>
      </w:r>
      <w:r w:rsidR="000C063C">
        <w:rPr>
          <w:lang w:val="en-US"/>
        </w:rPr>
        <w:t>“A Pilot Qualitative S</w:t>
      </w:r>
      <w:r>
        <w:rPr>
          <w:lang w:val="en-US"/>
        </w:rPr>
        <w:t>tudy of ‘</w:t>
      </w:r>
      <w:r w:rsidR="000C063C">
        <w:rPr>
          <w:lang w:val="en-US"/>
        </w:rPr>
        <w:t>Conflicts of I</w:t>
      </w:r>
      <w:r w:rsidR="00732542" w:rsidRPr="00732542">
        <w:rPr>
          <w:lang w:val="en-US"/>
        </w:rPr>
        <w:t>nteres</w:t>
      </w:r>
      <w:r w:rsidR="000C063C">
        <w:rPr>
          <w:lang w:val="en-US"/>
        </w:rPr>
        <w:t>ts and/or Conflicting I</w:t>
      </w:r>
      <w:r>
        <w:rPr>
          <w:lang w:val="en-US"/>
        </w:rPr>
        <w:t>nterests’</w:t>
      </w:r>
      <w:r w:rsidR="000C063C">
        <w:rPr>
          <w:lang w:val="en-US"/>
        </w:rPr>
        <w:t xml:space="preserve"> Among Canadian B</w:t>
      </w:r>
      <w:r w:rsidR="00732542" w:rsidRPr="00732542">
        <w:rPr>
          <w:lang w:val="en-US"/>
        </w:rPr>
        <w:t>ioe</w:t>
      </w:r>
      <w:r w:rsidR="000C063C">
        <w:rPr>
          <w:lang w:val="en-US"/>
        </w:rPr>
        <w:t>thicists. Part 2: Defining and Managing C</w:t>
      </w:r>
      <w:r w:rsidR="00732542" w:rsidRPr="00732542">
        <w:rPr>
          <w:lang w:val="en-US"/>
        </w:rPr>
        <w:t>onflicts.</w:t>
      </w:r>
      <w:r>
        <w:rPr>
          <w:lang w:val="en-US"/>
        </w:rPr>
        <w:t>”</w:t>
      </w:r>
      <w:r w:rsidR="00732542" w:rsidRPr="00732542">
        <w:rPr>
          <w:lang w:val="en-US"/>
        </w:rPr>
        <w:t xml:space="preserve"> </w:t>
      </w:r>
      <w:r w:rsidR="00732542" w:rsidRPr="00732542">
        <w:rPr>
          <w:i/>
          <w:lang w:val="en-US"/>
        </w:rPr>
        <w:t>HEC Forum</w:t>
      </w:r>
      <w:r w:rsidR="003C215A">
        <w:rPr>
          <w:lang w:val="en-US"/>
        </w:rPr>
        <w:t xml:space="preserve"> 22.1</w:t>
      </w:r>
      <w:r>
        <w:rPr>
          <w:lang w:val="en-US"/>
        </w:rPr>
        <w:t xml:space="preserve"> (2010b)</w:t>
      </w:r>
      <w:r w:rsidR="00732542" w:rsidRPr="00A226F2">
        <w:rPr>
          <w:lang w:val="en-US"/>
        </w:rPr>
        <w:t>:</w:t>
      </w:r>
      <w:r w:rsidR="00732542" w:rsidRPr="00732542">
        <w:rPr>
          <w:lang w:val="en-US"/>
        </w:rPr>
        <w:t>19-29.</w:t>
      </w:r>
    </w:p>
    <w:p w14:paraId="518AE218" w14:textId="77777777" w:rsidR="00EB5E76" w:rsidRDefault="00EB5E76" w:rsidP="003F0D66">
      <w:pPr>
        <w:widowControl w:val="0"/>
        <w:ind w:left="800" w:hanging="800"/>
        <w:rPr>
          <w:lang w:val="en-US"/>
        </w:rPr>
      </w:pPr>
    </w:p>
    <w:p w14:paraId="58108417" w14:textId="77777777" w:rsidR="00C32E2A" w:rsidRDefault="006A73A5" w:rsidP="003F0D66">
      <w:pPr>
        <w:widowControl w:val="0"/>
        <w:ind w:left="800" w:hanging="800"/>
      </w:pPr>
      <w:r>
        <w:rPr>
          <w:lang w:val="en-US"/>
        </w:rPr>
        <w:t>Fox, Ellen, Sarah Myers</w:t>
      </w:r>
      <w:r w:rsidR="000C063C">
        <w:rPr>
          <w:lang w:val="en-US"/>
        </w:rPr>
        <w:t>, and Robert Pearlman. "Ethics Consultation in United States Hospitals: A N</w:t>
      </w:r>
      <w:r>
        <w:rPr>
          <w:lang w:val="en-US"/>
        </w:rPr>
        <w:t>atio</w:t>
      </w:r>
      <w:r w:rsidR="000C063C">
        <w:rPr>
          <w:lang w:val="en-US"/>
        </w:rPr>
        <w:t>nal S</w:t>
      </w:r>
      <w:r>
        <w:rPr>
          <w:lang w:val="en-US"/>
        </w:rPr>
        <w:t xml:space="preserve">urvey." </w:t>
      </w:r>
      <w:r>
        <w:rPr>
          <w:i/>
          <w:iCs/>
          <w:lang w:val="en-US"/>
        </w:rPr>
        <w:t>The American Journal of Bioethics</w:t>
      </w:r>
      <w:r w:rsidR="00A226F2">
        <w:rPr>
          <w:lang w:val="en-US"/>
        </w:rPr>
        <w:t xml:space="preserve"> 7.2 (2007): 13-25. </w:t>
      </w:r>
    </w:p>
    <w:p w14:paraId="0CA84A3D" w14:textId="77777777" w:rsidR="00EB5E76" w:rsidRDefault="00EB5E76" w:rsidP="003F0D66">
      <w:pPr>
        <w:widowControl w:val="0"/>
        <w:ind w:left="800" w:hanging="800"/>
        <w:rPr>
          <w:lang w:val="en-US"/>
        </w:rPr>
      </w:pPr>
    </w:p>
    <w:p w14:paraId="2F34BE82" w14:textId="7C9CE7B2" w:rsidR="00EB5E76" w:rsidRDefault="006A73A5" w:rsidP="00A226F2">
      <w:pPr>
        <w:widowControl w:val="0"/>
        <w:ind w:left="800" w:hanging="800"/>
        <w:rPr>
          <w:lang w:val="en-US"/>
        </w:rPr>
      </w:pPr>
      <w:r>
        <w:rPr>
          <w:lang w:val="en-US"/>
        </w:rPr>
        <w:t>Fox, Renee C., and Judith P. Swa</w:t>
      </w:r>
      <w:r w:rsidR="00D96A16">
        <w:rPr>
          <w:lang w:val="en-US"/>
        </w:rPr>
        <w:t>y</w:t>
      </w:r>
      <w:r>
        <w:rPr>
          <w:lang w:val="en-US"/>
        </w:rPr>
        <w:t xml:space="preserve">ze. </w:t>
      </w:r>
      <w:r w:rsidR="000C063C">
        <w:rPr>
          <w:i/>
          <w:iCs/>
          <w:lang w:val="en-US"/>
        </w:rPr>
        <w:t>Observing Bioethics: A Sociological H</w:t>
      </w:r>
      <w:r>
        <w:rPr>
          <w:i/>
          <w:iCs/>
          <w:lang w:val="en-US"/>
        </w:rPr>
        <w:t>istory</w:t>
      </w:r>
      <w:r>
        <w:rPr>
          <w:lang w:val="en-US"/>
        </w:rPr>
        <w:t xml:space="preserve">. Oxford: Oxford Univ. Press, 2008. </w:t>
      </w:r>
    </w:p>
    <w:p w14:paraId="157D4B7C" w14:textId="77777777" w:rsidR="00A226F2" w:rsidRPr="00A226F2" w:rsidRDefault="00A226F2" w:rsidP="00A226F2">
      <w:pPr>
        <w:widowControl w:val="0"/>
        <w:ind w:left="800" w:hanging="800"/>
      </w:pPr>
    </w:p>
    <w:p w14:paraId="02C587C0" w14:textId="77777777" w:rsidR="00E91DA1" w:rsidRDefault="00E91DA1" w:rsidP="00E91DA1">
      <w:pPr>
        <w:widowControl w:val="0"/>
        <w:ind w:left="800" w:hanging="800"/>
      </w:pPr>
      <w:r>
        <w:t>Freeman, Lindsey M., Susannah L. Rose, and Stuart J. Youngner, “Poverty:</w:t>
      </w:r>
    </w:p>
    <w:p w14:paraId="6EF590F6" w14:textId="77777777" w:rsidR="00E91DA1" w:rsidRDefault="00E91DA1" w:rsidP="00E91DA1">
      <w:pPr>
        <w:widowControl w:val="0"/>
        <w:ind w:left="800" w:hanging="800"/>
      </w:pPr>
      <w:r>
        <w:tab/>
        <w:t xml:space="preserve">Not a Justification for Banning Physician-Assisted Death,” </w:t>
      </w:r>
      <w:r w:rsidRPr="00E91DA1">
        <w:rPr>
          <w:i/>
        </w:rPr>
        <w:t xml:space="preserve">Hastings Center Report </w:t>
      </w:r>
      <w:r>
        <w:t>48.6 (2018): 38-46.</w:t>
      </w:r>
    </w:p>
    <w:p w14:paraId="5DC720C2" w14:textId="77777777" w:rsidR="00063C79" w:rsidRDefault="00063C79" w:rsidP="00E91DA1">
      <w:pPr>
        <w:widowControl w:val="0"/>
        <w:ind w:left="800" w:hanging="800"/>
      </w:pPr>
    </w:p>
    <w:p w14:paraId="3B4098E7" w14:textId="77777777" w:rsidR="00EB5E76" w:rsidRPr="00063C79" w:rsidRDefault="00063C79" w:rsidP="00063C79">
      <w:pPr>
        <w:widowControl w:val="0"/>
        <w:ind w:left="800" w:hanging="800"/>
      </w:pPr>
      <w:r>
        <w:rPr>
          <w:lang w:val="en-US"/>
        </w:rPr>
        <w:t>Gallie, W.B. “</w:t>
      </w:r>
      <w:r w:rsidRPr="00063C79">
        <w:rPr>
          <w:lang w:val="en-US"/>
        </w:rPr>
        <w:t>Essentially Contested Concepts</w:t>
      </w:r>
      <w:r>
        <w:rPr>
          <w:lang w:val="en-US"/>
        </w:rPr>
        <w:t xml:space="preserve">,” </w:t>
      </w:r>
      <w:r w:rsidRPr="00063C79">
        <w:rPr>
          <w:i/>
        </w:rPr>
        <w:t>Proceedings of the Aristotelian Society</w:t>
      </w:r>
      <w:r>
        <w:t xml:space="preserve"> 56.1 (1955): </w:t>
      </w:r>
      <w:r w:rsidRPr="00063C79">
        <w:t>167 - 198.</w:t>
      </w:r>
    </w:p>
    <w:p w14:paraId="3836BB5F" w14:textId="77777777" w:rsidR="00063C79" w:rsidRDefault="00063C79" w:rsidP="003F0D66">
      <w:pPr>
        <w:widowControl w:val="0"/>
        <w:ind w:left="800" w:hanging="800"/>
        <w:rPr>
          <w:lang w:val="en-US"/>
        </w:rPr>
      </w:pPr>
    </w:p>
    <w:p w14:paraId="26BF031B" w14:textId="77777777" w:rsidR="00C32E2A" w:rsidRDefault="006A73A5" w:rsidP="003F0D66">
      <w:pPr>
        <w:widowControl w:val="0"/>
        <w:ind w:left="800" w:hanging="800"/>
      </w:pPr>
      <w:r>
        <w:rPr>
          <w:lang w:val="en-US"/>
        </w:rPr>
        <w:t>Gaud</w:t>
      </w:r>
      <w:r w:rsidR="00D262ED">
        <w:rPr>
          <w:lang w:val="en-US"/>
        </w:rPr>
        <w:t>ine, A., L. Thorne, S. M LeFort</w:t>
      </w:r>
      <w:r>
        <w:rPr>
          <w:lang w:val="en-US"/>
        </w:rPr>
        <w:t xml:space="preserve"> and M. Lamb. "Evolut</w:t>
      </w:r>
      <w:r w:rsidR="000C063C">
        <w:rPr>
          <w:lang w:val="en-US"/>
        </w:rPr>
        <w:t>ion of Hospital Clinical Ethics C</w:t>
      </w:r>
      <w:r>
        <w:rPr>
          <w:lang w:val="en-US"/>
        </w:rPr>
        <w:t xml:space="preserve">ommittees in Canada." </w:t>
      </w:r>
      <w:r>
        <w:rPr>
          <w:i/>
          <w:iCs/>
          <w:lang w:val="en-US"/>
        </w:rPr>
        <w:t>Journal of Medical Ethics</w:t>
      </w:r>
      <w:r w:rsidR="00A226F2">
        <w:rPr>
          <w:lang w:val="en-US"/>
        </w:rPr>
        <w:t xml:space="preserve"> 36.3 (2010): 132-137. </w:t>
      </w:r>
    </w:p>
    <w:p w14:paraId="08E6E340" w14:textId="77777777" w:rsidR="00EB5E76" w:rsidRDefault="00EB5E76" w:rsidP="003F0D66">
      <w:pPr>
        <w:widowControl w:val="0"/>
        <w:ind w:left="800" w:hanging="800"/>
        <w:rPr>
          <w:lang w:val="en-US"/>
        </w:rPr>
      </w:pPr>
    </w:p>
    <w:p w14:paraId="1CA8C9D2" w14:textId="77777777" w:rsidR="00C32E2A" w:rsidRDefault="006A73A5" w:rsidP="003F0D66">
      <w:pPr>
        <w:widowControl w:val="0"/>
        <w:ind w:left="800" w:hanging="800"/>
      </w:pPr>
      <w:r>
        <w:rPr>
          <w:lang w:val="en-US"/>
        </w:rPr>
        <w:lastRenderedPageBreak/>
        <w:t xml:space="preserve">Geppert, Cynthia, and Wayne Shelton. "A </w:t>
      </w:r>
      <w:r w:rsidR="000C063C">
        <w:rPr>
          <w:lang w:val="en-US"/>
        </w:rPr>
        <w:t>C</w:t>
      </w:r>
      <w:r w:rsidR="00DB141B">
        <w:rPr>
          <w:lang w:val="en-US"/>
        </w:rPr>
        <w:t>omparison</w:t>
      </w:r>
      <w:r w:rsidR="000C063C">
        <w:rPr>
          <w:lang w:val="en-US"/>
        </w:rPr>
        <w:t xml:space="preserve"> of General M</w:t>
      </w:r>
      <w:r w:rsidR="00397E51">
        <w:rPr>
          <w:lang w:val="en-US"/>
        </w:rPr>
        <w:t>edical and Clinical Ethics Consultations: What Can We Learn from E</w:t>
      </w:r>
      <w:r>
        <w:rPr>
          <w:lang w:val="en-US"/>
        </w:rPr>
        <w:t>ach</w:t>
      </w:r>
      <w:r w:rsidR="00397E51">
        <w:rPr>
          <w:lang w:val="en-US"/>
        </w:rPr>
        <w:t xml:space="preserve"> O</w:t>
      </w:r>
      <w:r>
        <w:rPr>
          <w:lang w:val="en-US"/>
        </w:rPr>
        <w:t xml:space="preserve">ther?" </w:t>
      </w:r>
      <w:r>
        <w:rPr>
          <w:i/>
          <w:iCs/>
          <w:lang w:val="en-US"/>
        </w:rPr>
        <w:t>Mayo Clinic Proceedings</w:t>
      </w:r>
      <w:r w:rsidR="00A226F2">
        <w:rPr>
          <w:lang w:val="en-US"/>
        </w:rPr>
        <w:t xml:space="preserve"> 87.4 (2012): 381-389. </w:t>
      </w:r>
    </w:p>
    <w:p w14:paraId="12534047" w14:textId="77777777" w:rsidR="00EB5E76" w:rsidRDefault="00EB5E76" w:rsidP="003F0D66">
      <w:pPr>
        <w:widowControl w:val="0"/>
        <w:ind w:left="800" w:hanging="800"/>
        <w:rPr>
          <w:lang w:val="en-US"/>
        </w:rPr>
      </w:pPr>
    </w:p>
    <w:p w14:paraId="3C272967" w14:textId="77777777" w:rsidR="00C32E2A" w:rsidRDefault="00397E51" w:rsidP="003F0D66">
      <w:pPr>
        <w:widowControl w:val="0"/>
        <w:ind w:left="800" w:hanging="800"/>
      </w:pPr>
      <w:r>
        <w:rPr>
          <w:lang w:val="en-US"/>
        </w:rPr>
        <w:t>Godkin, M. Dianne. "Project Examining Effectiveness in Clinical Ethics (PEECE): Phase 1--Descriptive A</w:t>
      </w:r>
      <w:r w:rsidR="006A73A5">
        <w:rPr>
          <w:lang w:val="en-US"/>
        </w:rPr>
        <w:t>nalysi</w:t>
      </w:r>
      <w:r>
        <w:rPr>
          <w:lang w:val="en-US"/>
        </w:rPr>
        <w:t>s of Nine Clinical Ethics S</w:t>
      </w:r>
      <w:r w:rsidR="006A73A5">
        <w:rPr>
          <w:lang w:val="en-US"/>
        </w:rPr>
        <w:t xml:space="preserve">ervices." </w:t>
      </w:r>
      <w:r w:rsidR="006A73A5">
        <w:rPr>
          <w:i/>
          <w:iCs/>
          <w:lang w:val="en-US"/>
        </w:rPr>
        <w:t>Journal of Medical Ethics</w:t>
      </w:r>
      <w:r w:rsidR="00A226F2">
        <w:rPr>
          <w:lang w:val="en-US"/>
        </w:rPr>
        <w:t xml:space="preserve"> 31.9 (2005): 505-512. </w:t>
      </w:r>
    </w:p>
    <w:p w14:paraId="456C2018" w14:textId="77777777" w:rsidR="00EB5E76" w:rsidRDefault="00EB5E76" w:rsidP="003F0D66">
      <w:pPr>
        <w:widowControl w:val="0"/>
        <w:ind w:left="800" w:hanging="800"/>
        <w:rPr>
          <w:lang w:val="en-US"/>
        </w:rPr>
      </w:pPr>
    </w:p>
    <w:p w14:paraId="60182417" w14:textId="77777777" w:rsidR="00B34B26" w:rsidRDefault="006A73A5" w:rsidP="003F0D66">
      <w:pPr>
        <w:widowControl w:val="0"/>
        <w:ind w:left="800" w:hanging="800"/>
        <w:rPr>
          <w:lang w:val="en-US"/>
        </w:rPr>
      </w:pPr>
      <w:r>
        <w:rPr>
          <w:lang w:val="en-US"/>
        </w:rPr>
        <w:t xml:space="preserve">Grady, </w:t>
      </w:r>
      <w:r w:rsidR="00397E51">
        <w:rPr>
          <w:lang w:val="en-US"/>
        </w:rPr>
        <w:t>Christine. "Reflections on Two Decades of Bioethics: Where We Have Been and Where We are G</w:t>
      </w:r>
      <w:r>
        <w:rPr>
          <w:lang w:val="en-US"/>
        </w:rPr>
        <w:t xml:space="preserve">oing." </w:t>
      </w:r>
      <w:r>
        <w:rPr>
          <w:i/>
          <w:iCs/>
          <w:lang w:val="en-US"/>
        </w:rPr>
        <w:t>The American Journal of Bioethics</w:t>
      </w:r>
      <w:r w:rsidR="00A226F2">
        <w:rPr>
          <w:lang w:val="en-US"/>
        </w:rPr>
        <w:t xml:space="preserve"> 13.1 (2013): 8-10.</w:t>
      </w:r>
    </w:p>
    <w:p w14:paraId="192D6B5D" w14:textId="77777777" w:rsidR="00B34B26" w:rsidRDefault="00B34B26" w:rsidP="003F0D66">
      <w:pPr>
        <w:widowControl w:val="0"/>
        <w:ind w:left="800" w:hanging="800"/>
        <w:rPr>
          <w:lang w:val="en-US"/>
        </w:rPr>
      </w:pPr>
    </w:p>
    <w:p w14:paraId="7E7C7C90" w14:textId="77777777" w:rsidR="00C32E2A" w:rsidRDefault="00B34B26" w:rsidP="003F0D66">
      <w:pPr>
        <w:widowControl w:val="0"/>
        <w:ind w:left="800" w:hanging="800"/>
      </w:pPr>
      <w:r w:rsidRPr="00B34B26">
        <w:rPr>
          <w:lang w:val="en-US"/>
        </w:rPr>
        <w:t>Grant</w:t>
      </w:r>
      <w:r>
        <w:rPr>
          <w:lang w:val="en-US"/>
        </w:rPr>
        <w:t>, Kelly</w:t>
      </w:r>
      <w:r w:rsidR="00397E51">
        <w:rPr>
          <w:lang w:val="en-US"/>
        </w:rPr>
        <w:t>. “Medically Assisted Death Allows Couple Married Almost 73 Years to Die T</w:t>
      </w:r>
      <w:r w:rsidRPr="00B34B26">
        <w:rPr>
          <w:lang w:val="en-US"/>
        </w:rPr>
        <w:t xml:space="preserve">ogether.” </w:t>
      </w:r>
      <w:r w:rsidRPr="00B34B26">
        <w:rPr>
          <w:i/>
          <w:lang w:val="en-US"/>
        </w:rPr>
        <w:t>The Globe and Mail</w:t>
      </w:r>
      <w:r w:rsidRPr="00B34B26">
        <w:rPr>
          <w:lang w:val="en-US"/>
        </w:rPr>
        <w:t>, 1 April 2018. https://www.theglobeandmail.com/canada/article-medically-assisted-death-allows-couple-married-almost-73-years-to-die/. Accessed: 11 February 2019.</w:t>
      </w:r>
      <w:r w:rsidR="00A226F2">
        <w:rPr>
          <w:lang w:val="en-US"/>
        </w:rPr>
        <w:t xml:space="preserve"> </w:t>
      </w:r>
    </w:p>
    <w:p w14:paraId="08C39FD8" w14:textId="77777777" w:rsidR="00EB5E76" w:rsidRDefault="00EB5E76" w:rsidP="003F0D66">
      <w:pPr>
        <w:widowControl w:val="0"/>
        <w:ind w:left="800" w:hanging="800"/>
        <w:rPr>
          <w:lang w:val="en-US"/>
        </w:rPr>
      </w:pPr>
    </w:p>
    <w:p w14:paraId="53D7DAF0" w14:textId="77777777" w:rsidR="00C32E2A" w:rsidRDefault="006A73A5" w:rsidP="003F0D66">
      <w:pPr>
        <w:widowControl w:val="0"/>
        <w:ind w:left="800" w:hanging="800"/>
        <w:rPr>
          <w:lang w:val="en-US"/>
        </w:rPr>
      </w:pPr>
      <w:r>
        <w:rPr>
          <w:lang w:val="en-US"/>
        </w:rPr>
        <w:t xml:space="preserve">Green, Ronald </w:t>
      </w:r>
      <w:r w:rsidR="00397E51">
        <w:rPr>
          <w:lang w:val="en-US"/>
        </w:rPr>
        <w:t>M. "The President's Council on Bioethics-Requiescat in P</w:t>
      </w:r>
      <w:r>
        <w:rPr>
          <w:lang w:val="en-US"/>
        </w:rPr>
        <w:t xml:space="preserve">ace." </w:t>
      </w:r>
      <w:r>
        <w:rPr>
          <w:i/>
          <w:iCs/>
          <w:lang w:val="en-US"/>
        </w:rPr>
        <w:t>Journal of Religious Ethics</w:t>
      </w:r>
      <w:r w:rsidR="00A226F2">
        <w:rPr>
          <w:lang w:val="en-US"/>
        </w:rPr>
        <w:t xml:space="preserve"> 38.2 (2010): 197-218. </w:t>
      </w:r>
    </w:p>
    <w:p w14:paraId="1AF70F3E" w14:textId="77777777" w:rsidR="00B6277D" w:rsidRDefault="00B6277D" w:rsidP="003F0D66">
      <w:pPr>
        <w:widowControl w:val="0"/>
        <w:ind w:left="800" w:hanging="800"/>
      </w:pPr>
    </w:p>
    <w:p w14:paraId="13108023" w14:textId="77777777" w:rsidR="00DB02DC" w:rsidRDefault="00DB02DC" w:rsidP="00DB02DC">
      <w:r>
        <w:t xml:space="preserve">Greenberg, Rebecca, </w:t>
      </w:r>
      <w:r w:rsidRPr="00F9488A">
        <w:t>Kyle Anstey, Rosanna Macri,</w:t>
      </w:r>
      <w:r>
        <w:t xml:space="preserve"> </w:t>
      </w:r>
      <w:r w:rsidRPr="00DB02DC">
        <w:t>Ann Heesters,</w:t>
      </w:r>
      <w:r w:rsidRPr="00F9488A">
        <w:t xml:space="preserve"> Sally Bean, and</w:t>
      </w:r>
    </w:p>
    <w:p w14:paraId="7B10848B" w14:textId="77777777" w:rsidR="00DB02DC" w:rsidRDefault="00DB02DC" w:rsidP="00DB02DC">
      <w:pPr>
        <w:ind w:left="720"/>
      </w:pPr>
      <w:r w:rsidRPr="00F9488A">
        <w:t>Randi Zlotnik-Shaul.</w:t>
      </w:r>
      <w:r>
        <w:t xml:space="preserve"> </w:t>
      </w:r>
      <w:r w:rsidRPr="00F9488A">
        <w:t xml:space="preserve">"Bioethics Consultation Practices and Procedures: A Survey of a Large Canadian Community of Practice," </w:t>
      </w:r>
      <w:r w:rsidR="00811969">
        <w:rPr>
          <w:i/>
        </w:rPr>
        <w:t xml:space="preserve">HEC Forum </w:t>
      </w:r>
      <w:r w:rsidR="00811969" w:rsidRPr="00826840">
        <w:t>26.2</w:t>
      </w:r>
      <w:r w:rsidRPr="00F9488A">
        <w:t xml:space="preserve"> (2013)</w:t>
      </w:r>
      <w:r w:rsidR="00826840">
        <w:t>: 135-146</w:t>
      </w:r>
      <w:r w:rsidRPr="00F9488A">
        <w:t>.</w:t>
      </w:r>
    </w:p>
    <w:p w14:paraId="43B9D3CA" w14:textId="77777777" w:rsidR="00023BDB" w:rsidRDefault="00023BDB" w:rsidP="00DB02DC">
      <w:pPr>
        <w:ind w:left="720"/>
      </w:pPr>
    </w:p>
    <w:p w14:paraId="4AFEB9A2" w14:textId="77777777" w:rsidR="00C858D8" w:rsidRPr="00131227" w:rsidRDefault="00023BDB" w:rsidP="00131227">
      <w:pPr>
        <w:rPr>
          <w:i/>
        </w:rPr>
      </w:pPr>
      <w:r>
        <w:t>Grundy, Quinn</w:t>
      </w:r>
      <w:r w:rsidRPr="00131227">
        <w:rPr>
          <w:i/>
        </w:rPr>
        <w:t xml:space="preserve">. </w:t>
      </w:r>
      <w:r w:rsidR="00A50B1B" w:rsidRPr="00131227">
        <w:rPr>
          <w:i/>
        </w:rPr>
        <w:t>Infiltrating Healthcare: How Marketing Works Underground</w:t>
      </w:r>
    </w:p>
    <w:p w14:paraId="2924601B" w14:textId="77777777" w:rsidR="00023BDB" w:rsidRDefault="00A50B1B" w:rsidP="00131227">
      <w:pPr>
        <w:ind w:firstLine="720"/>
      </w:pPr>
      <w:r w:rsidRPr="00131227">
        <w:rPr>
          <w:i/>
        </w:rPr>
        <w:t>to Influence Nurses</w:t>
      </w:r>
      <w:r w:rsidR="00C858D8">
        <w:t xml:space="preserve">. </w:t>
      </w:r>
      <w:r w:rsidR="00131227">
        <w:t xml:space="preserve">Baltimore: </w:t>
      </w:r>
      <w:r w:rsidR="00C858D8">
        <w:t>Johns Hopkins University Press, 2018.</w:t>
      </w:r>
    </w:p>
    <w:p w14:paraId="7387C6FE" w14:textId="77777777" w:rsidR="002147E2" w:rsidRDefault="002147E2" w:rsidP="00DB02DC">
      <w:pPr>
        <w:ind w:left="720"/>
      </w:pPr>
    </w:p>
    <w:p w14:paraId="3AEA00A6" w14:textId="77777777" w:rsidR="00332F84" w:rsidRDefault="002147E2" w:rsidP="00332F84">
      <w:r>
        <w:t xml:space="preserve">Guest, Stephen. </w:t>
      </w:r>
      <w:r w:rsidRPr="001200B6">
        <w:rPr>
          <w:i/>
        </w:rPr>
        <w:t>Ronald Dworkin</w:t>
      </w:r>
      <w:r>
        <w:t>, 3</w:t>
      </w:r>
      <w:r w:rsidRPr="002147E2">
        <w:rPr>
          <w:vertAlign w:val="superscript"/>
        </w:rPr>
        <w:t>rd</w:t>
      </w:r>
      <w:r w:rsidR="00332F84">
        <w:t xml:space="preserve"> </w:t>
      </w:r>
      <w:r>
        <w:t>ed.</w:t>
      </w:r>
      <w:r w:rsidR="00332F84">
        <w:t xml:space="preserve"> Stanford California: Stanford Law</w:t>
      </w:r>
    </w:p>
    <w:p w14:paraId="3E27BC3E" w14:textId="77777777" w:rsidR="00A4697D" w:rsidRDefault="00332F84" w:rsidP="00332F84">
      <w:pPr>
        <w:ind w:firstLine="720"/>
      </w:pPr>
      <w:r>
        <w:t>Books, 2013.</w:t>
      </w:r>
    </w:p>
    <w:p w14:paraId="156D6B7F" w14:textId="77777777" w:rsidR="00A4697D" w:rsidRDefault="00A4697D" w:rsidP="00332F84">
      <w:pPr>
        <w:ind w:firstLine="720"/>
      </w:pPr>
    </w:p>
    <w:p w14:paraId="21C199DE" w14:textId="77777777" w:rsidR="00A4697D" w:rsidRDefault="00A4697D" w:rsidP="00A4697D">
      <w:r>
        <w:t>Guillemin, Marily</w:t>
      </w:r>
      <w:r w:rsidR="00D262ED">
        <w:t>n</w:t>
      </w:r>
      <w:r>
        <w:t xml:space="preserve"> and Lynn Gillam. “Ethics, Reflexivity, and ‘Ethically</w:t>
      </w:r>
    </w:p>
    <w:p w14:paraId="1B388C01" w14:textId="77777777" w:rsidR="00EB09E2" w:rsidRDefault="00A4697D" w:rsidP="00A4697D">
      <w:pPr>
        <w:ind w:left="720"/>
      </w:pPr>
      <w:r>
        <w:t xml:space="preserve">Important’ Moments in Research,” </w:t>
      </w:r>
      <w:r w:rsidRPr="00A4697D">
        <w:rPr>
          <w:i/>
        </w:rPr>
        <w:t>Qualitative Inquiry</w:t>
      </w:r>
      <w:r>
        <w:t xml:space="preserve"> 10.2 (2004) 261-280.</w:t>
      </w:r>
    </w:p>
    <w:p w14:paraId="635FB83C" w14:textId="77777777" w:rsidR="00EB09E2" w:rsidRPr="00EB09E2" w:rsidRDefault="00EB09E2" w:rsidP="00EB09E2">
      <w:pPr>
        <w:ind w:left="720"/>
      </w:pPr>
    </w:p>
    <w:p w14:paraId="6A2BC6A3" w14:textId="77777777" w:rsidR="00321DC6" w:rsidRDefault="00EB09E2" w:rsidP="00EB09E2">
      <w:r>
        <w:t>Harding, Sandra. “Rethinking Standpoint Epistemology: What is ‘Strong</w:t>
      </w:r>
    </w:p>
    <w:p w14:paraId="2C704A2F" w14:textId="77777777" w:rsidR="002147E2" w:rsidRPr="00321DC6" w:rsidRDefault="00EB09E2" w:rsidP="00321DC6">
      <w:pPr>
        <w:ind w:left="720" w:firstLine="60"/>
        <w:rPr>
          <w:i/>
        </w:rPr>
      </w:pPr>
      <w:r>
        <w:t>Objectivity?’” in Linda Alcoff and Elizabeth Potter, eds</w:t>
      </w:r>
      <w:r w:rsidRPr="00321DC6">
        <w:t>.,</w:t>
      </w:r>
      <w:r w:rsidRPr="00321DC6">
        <w:rPr>
          <w:i/>
        </w:rPr>
        <w:t xml:space="preserve"> Feminist Epistemologies</w:t>
      </w:r>
      <w:r w:rsidR="00321DC6" w:rsidRPr="00321DC6">
        <w:t>. Routledge</w:t>
      </w:r>
      <w:r w:rsidR="00321DC6">
        <w:t>,</w:t>
      </w:r>
      <w:r w:rsidR="00F97F94">
        <w:t xml:space="preserve"> </w:t>
      </w:r>
      <w:r w:rsidR="005F6E5E">
        <w:t xml:space="preserve">49-82, </w:t>
      </w:r>
      <w:r w:rsidR="00321DC6">
        <w:t>1993</w:t>
      </w:r>
      <w:r w:rsidR="002147E2" w:rsidRPr="00321DC6">
        <w:rPr>
          <w:i/>
        </w:rPr>
        <w:t xml:space="preserve"> </w:t>
      </w:r>
    </w:p>
    <w:p w14:paraId="6ADAC749" w14:textId="77777777" w:rsidR="00E55C74" w:rsidRDefault="00E55C74" w:rsidP="00DB02DC">
      <w:pPr>
        <w:ind w:left="720"/>
      </w:pPr>
    </w:p>
    <w:p w14:paraId="661C3008" w14:textId="77777777" w:rsidR="00E55C74" w:rsidRDefault="00E55C74" w:rsidP="00E55C74">
      <w:r>
        <w:t xml:space="preserve">Hart, H.L.A. </w:t>
      </w:r>
      <w:r w:rsidRPr="00E55C74">
        <w:rPr>
          <w:i/>
        </w:rPr>
        <w:t>The Concept of Law</w:t>
      </w:r>
      <w:r>
        <w:t xml:space="preserve">. </w:t>
      </w:r>
      <w:r w:rsidR="00A4697D">
        <w:t>2</w:t>
      </w:r>
      <w:r w:rsidR="00A4697D" w:rsidRPr="00A4697D">
        <w:rPr>
          <w:vertAlign w:val="superscript"/>
        </w:rPr>
        <w:t>nd</w:t>
      </w:r>
      <w:r w:rsidR="00A4697D">
        <w:t xml:space="preserve"> ed. </w:t>
      </w:r>
      <w:r w:rsidR="00131227">
        <w:t xml:space="preserve">Oxford: </w:t>
      </w:r>
      <w:r>
        <w:t>Oxford University Press</w:t>
      </w:r>
      <w:r w:rsidR="00131227">
        <w:t>, 1994</w:t>
      </w:r>
      <w:r>
        <w:t>.</w:t>
      </w:r>
    </w:p>
    <w:p w14:paraId="626B8E20" w14:textId="77777777" w:rsidR="00B6277D" w:rsidRPr="00F9488A" w:rsidRDefault="00B6277D" w:rsidP="00DB02DC">
      <w:pPr>
        <w:ind w:left="720"/>
      </w:pPr>
    </w:p>
    <w:p w14:paraId="53385F0E" w14:textId="77777777" w:rsidR="00B6277D" w:rsidRPr="00EF2AAB" w:rsidRDefault="00B6277D" w:rsidP="00B6277D">
      <w:pPr>
        <w:widowControl w:val="0"/>
        <w:rPr>
          <w:i/>
        </w:rPr>
      </w:pPr>
      <w:r>
        <w:t xml:space="preserve">Hart, H.L.A. “Positivism and the Separation of Law and Morals,” </w:t>
      </w:r>
      <w:r w:rsidRPr="00EF2AAB">
        <w:rPr>
          <w:i/>
        </w:rPr>
        <w:t>Harvard Law</w:t>
      </w:r>
    </w:p>
    <w:p w14:paraId="34A37879" w14:textId="77777777" w:rsidR="00B6277D" w:rsidRPr="00EF2AAB" w:rsidRDefault="00B6277D" w:rsidP="00B6277D">
      <w:pPr>
        <w:widowControl w:val="0"/>
        <w:ind w:firstLine="720"/>
      </w:pPr>
      <w:r w:rsidRPr="00EF2AAB">
        <w:rPr>
          <w:i/>
        </w:rPr>
        <w:t>Review</w:t>
      </w:r>
      <w:r w:rsidRPr="00EF2AAB">
        <w:t xml:space="preserve"> 71</w:t>
      </w:r>
      <w:r w:rsidR="00BB4400">
        <w:t>.4</w:t>
      </w:r>
      <w:r w:rsidRPr="00EF2AAB">
        <w:t xml:space="preserve"> (1958)</w:t>
      </w:r>
      <w:r w:rsidR="00BB4400">
        <w:t>: 593-629</w:t>
      </w:r>
      <w:r w:rsidR="00EF2AAB">
        <w:t>.</w:t>
      </w:r>
    </w:p>
    <w:p w14:paraId="7E51925E" w14:textId="77777777" w:rsidR="00B6277D" w:rsidRDefault="00B6277D" w:rsidP="00B6277D">
      <w:pPr>
        <w:widowControl w:val="0"/>
        <w:ind w:firstLine="720"/>
        <w:rPr>
          <w:lang w:val="en-US"/>
        </w:rPr>
      </w:pPr>
    </w:p>
    <w:p w14:paraId="1A692D3E" w14:textId="77777777" w:rsidR="00C32E2A" w:rsidRDefault="006A73A5" w:rsidP="003F0D66">
      <w:pPr>
        <w:widowControl w:val="0"/>
        <w:ind w:left="800" w:hanging="800"/>
      </w:pPr>
      <w:r>
        <w:rPr>
          <w:lang w:val="en-US"/>
        </w:rPr>
        <w:t xml:space="preserve">Hedgecoe, A. "Bioethics </w:t>
      </w:r>
      <w:r w:rsidR="00EA280A">
        <w:rPr>
          <w:lang w:val="en-US"/>
        </w:rPr>
        <w:t>and the Reinforcement of Socio-T</w:t>
      </w:r>
      <w:r>
        <w:rPr>
          <w:lang w:val="en-US"/>
        </w:rPr>
        <w:t xml:space="preserve">echnical Expectations." </w:t>
      </w:r>
      <w:r>
        <w:rPr>
          <w:i/>
          <w:iCs/>
          <w:lang w:val="en-US"/>
        </w:rPr>
        <w:t>Social Studies of Science</w:t>
      </w:r>
      <w:r>
        <w:rPr>
          <w:lang w:val="en-US"/>
        </w:rPr>
        <w:t xml:space="preserve"> 40.2 (2010): 163-186. </w:t>
      </w:r>
    </w:p>
    <w:p w14:paraId="4FF95833" w14:textId="77777777" w:rsidR="00EB5E76" w:rsidRDefault="00EB5E76" w:rsidP="003F0D66">
      <w:pPr>
        <w:widowControl w:val="0"/>
        <w:ind w:left="800" w:hanging="800"/>
        <w:rPr>
          <w:lang w:val="en-US"/>
        </w:rPr>
      </w:pPr>
    </w:p>
    <w:p w14:paraId="2BB96A9B" w14:textId="77777777" w:rsidR="00C32E2A" w:rsidRDefault="006A73A5" w:rsidP="003F0D66">
      <w:pPr>
        <w:widowControl w:val="0"/>
        <w:ind w:left="800" w:hanging="800"/>
      </w:pPr>
      <w:r>
        <w:rPr>
          <w:lang w:val="en-US"/>
        </w:rPr>
        <w:t>Hedgecoe, Adam M. "Critica</w:t>
      </w:r>
      <w:r w:rsidR="00EA280A">
        <w:rPr>
          <w:lang w:val="en-US"/>
        </w:rPr>
        <w:t>l Bioethics: Beyond the Social Science Critique of Applied E</w:t>
      </w:r>
      <w:r>
        <w:rPr>
          <w:lang w:val="en-US"/>
        </w:rPr>
        <w:t xml:space="preserve">thics." </w:t>
      </w:r>
      <w:r>
        <w:rPr>
          <w:i/>
          <w:iCs/>
          <w:lang w:val="en-US"/>
        </w:rPr>
        <w:t>Bioethics</w:t>
      </w:r>
      <w:r>
        <w:rPr>
          <w:lang w:val="en-US"/>
        </w:rPr>
        <w:t xml:space="preserve"> 18.2 (2004): 120-143. </w:t>
      </w:r>
    </w:p>
    <w:p w14:paraId="033B7A21" w14:textId="77777777" w:rsidR="00EB5E76" w:rsidRDefault="00EB5E76" w:rsidP="003F0D66">
      <w:pPr>
        <w:widowControl w:val="0"/>
        <w:ind w:left="800" w:hanging="800"/>
        <w:rPr>
          <w:lang w:val="en-US"/>
        </w:rPr>
      </w:pPr>
    </w:p>
    <w:p w14:paraId="1BC8F1D9" w14:textId="77777777" w:rsidR="00E95E58" w:rsidRDefault="000502B1" w:rsidP="00E95E58">
      <w:r>
        <w:rPr>
          <w:lang w:val="en-US"/>
        </w:rPr>
        <w:t>Heesters, Ann</w:t>
      </w:r>
      <w:r w:rsidR="00E95E58">
        <w:rPr>
          <w:lang w:val="en-US"/>
        </w:rPr>
        <w:t xml:space="preserve"> and D. Talbot.</w:t>
      </w:r>
      <w:r w:rsidR="00BF1E25">
        <w:rPr>
          <w:lang w:val="en-US"/>
        </w:rPr>
        <w:t xml:space="preserve"> </w:t>
      </w:r>
      <w:r>
        <w:t>“</w:t>
      </w:r>
      <w:r w:rsidRPr="00CB3A5F">
        <w:t xml:space="preserve">FaCE-ing and Managing Boundary Dilemmas in </w:t>
      </w:r>
    </w:p>
    <w:p w14:paraId="06F2CB9C" w14:textId="77777777" w:rsidR="000502B1" w:rsidRPr="00E95E58" w:rsidRDefault="000502B1" w:rsidP="00E95E58">
      <w:pPr>
        <w:ind w:left="720"/>
      </w:pPr>
      <w:r w:rsidRPr="00CB3A5F">
        <w:t>Volunteer Management</w:t>
      </w:r>
      <w:r>
        <w:t xml:space="preserve">.” </w:t>
      </w:r>
      <w:r w:rsidRPr="00E95E58">
        <w:rPr>
          <w:i/>
        </w:rPr>
        <w:t>e-Volunteerism</w:t>
      </w:r>
      <w:r w:rsidRPr="00CB3A5F">
        <w:t xml:space="preserve"> </w:t>
      </w:r>
      <w:r w:rsidR="00E95E58">
        <w:t>Volume XVIII, Issue 1 (</w:t>
      </w:r>
      <w:r w:rsidRPr="00CB3A5F">
        <w:t>2018</w:t>
      </w:r>
      <w:r w:rsidR="00E95E58">
        <w:t>)</w:t>
      </w:r>
      <w:r>
        <w:t xml:space="preserve">. Online: </w:t>
      </w:r>
      <w:r w:rsidRPr="00CB3A5F">
        <w:t>https://www.e-volunteerism.com/FaCE-ing_Boundary_Dilemmas</w:t>
      </w:r>
      <w:r>
        <w:t>.</w:t>
      </w:r>
    </w:p>
    <w:p w14:paraId="2B79C583" w14:textId="77777777" w:rsidR="000502B1" w:rsidRDefault="000502B1" w:rsidP="003F0D66">
      <w:pPr>
        <w:widowControl w:val="0"/>
        <w:ind w:left="800" w:hanging="800"/>
        <w:rPr>
          <w:lang w:val="en-US"/>
        </w:rPr>
      </w:pPr>
    </w:p>
    <w:p w14:paraId="799B0203" w14:textId="77777777" w:rsidR="00E83781" w:rsidRPr="00E83781" w:rsidRDefault="00E91DA1" w:rsidP="003F0D66">
      <w:pPr>
        <w:widowControl w:val="0"/>
        <w:ind w:left="800" w:hanging="800"/>
        <w:rPr>
          <w:lang w:val="en-US"/>
        </w:rPr>
      </w:pPr>
      <w:r>
        <w:rPr>
          <w:lang w:val="en-US"/>
        </w:rPr>
        <w:t xml:space="preserve">Heesters, </w:t>
      </w:r>
      <w:r w:rsidR="001200B6">
        <w:rPr>
          <w:lang w:val="en-US"/>
        </w:rPr>
        <w:t>Ann</w:t>
      </w:r>
      <w:r w:rsidR="00F97F94">
        <w:rPr>
          <w:lang w:val="en-US"/>
        </w:rPr>
        <w:t>,</w:t>
      </w:r>
      <w:r w:rsidR="001200B6">
        <w:rPr>
          <w:lang w:val="en-US"/>
        </w:rPr>
        <w:t xml:space="preserve"> Daniel Z Buchman</w:t>
      </w:r>
      <w:r w:rsidR="00F97F94">
        <w:rPr>
          <w:lang w:val="en-US"/>
        </w:rPr>
        <w:t>,</w:t>
      </w:r>
      <w:r w:rsidR="001200B6">
        <w:rPr>
          <w:lang w:val="en-US"/>
        </w:rPr>
        <w:t xml:space="preserve"> Kyle W. Anstey</w:t>
      </w:r>
      <w:r w:rsidR="00F97F94">
        <w:rPr>
          <w:lang w:val="en-US"/>
        </w:rPr>
        <w:t>,</w:t>
      </w:r>
      <w:r w:rsidR="001200B6">
        <w:rPr>
          <w:lang w:val="en-US"/>
        </w:rPr>
        <w:t xml:space="preserve"> Jennifer A. H. Bell</w:t>
      </w:r>
      <w:r w:rsidR="00F97F94">
        <w:rPr>
          <w:lang w:val="en-US"/>
        </w:rPr>
        <w:t>,</w:t>
      </w:r>
      <w:r w:rsidR="001200B6">
        <w:rPr>
          <w:lang w:val="en-US"/>
        </w:rPr>
        <w:t xml:space="preserve"> Barbara J. Russell</w:t>
      </w:r>
      <w:r w:rsidR="00F97F94">
        <w:rPr>
          <w:lang w:val="en-US"/>
        </w:rPr>
        <w:t>,</w:t>
      </w:r>
      <w:r w:rsidR="001200B6">
        <w:rPr>
          <w:lang w:val="en-US"/>
        </w:rPr>
        <w:t xml:space="preserve"> Linda Wright.</w:t>
      </w:r>
      <w:r w:rsidR="00E83781">
        <w:rPr>
          <w:lang w:val="en-US"/>
        </w:rPr>
        <w:t xml:space="preserve"> </w:t>
      </w:r>
      <w:r w:rsidR="00E83781" w:rsidRPr="00E83781">
        <w:rPr>
          <w:lang w:val="en-US"/>
        </w:rPr>
        <w:t xml:space="preserve">“Power of Attorney for Research: The Need for a Clear Legal Mechanism.” </w:t>
      </w:r>
      <w:r w:rsidR="00E83781" w:rsidRPr="00E83781">
        <w:rPr>
          <w:i/>
          <w:lang w:val="en-US"/>
        </w:rPr>
        <w:t>Public Health Ethics</w:t>
      </w:r>
      <w:r w:rsidR="001200B6">
        <w:rPr>
          <w:i/>
          <w:lang w:val="en-US"/>
        </w:rPr>
        <w:t xml:space="preserve"> </w:t>
      </w:r>
      <w:r w:rsidR="001200B6">
        <w:rPr>
          <w:lang w:val="en-US"/>
        </w:rPr>
        <w:t>10.1.</w:t>
      </w:r>
      <w:r w:rsidR="00E83781" w:rsidRPr="00E83781">
        <w:rPr>
          <w:lang w:val="en-US"/>
        </w:rPr>
        <w:t xml:space="preserve"> </w:t>
      </w:r>
      <w:r w:rsidR="00E83781">
        <w:rPr>
          <w:lang w:val="en-US"/>
        </w:rPr>
        <w:t>(</w:t>
      </w:r>
      <w:r w:rsidR="00E83781" w:rsidRPr="00E83781">
        <w:rPr>
          <w:lang w:val="en-US"/>
        </w:rPr>
        <w:t>2016</w:t>
      </w:r>
      <w:r w:rsidR="00E83781">
        <w:rPr>
          <w:lang w:val="en-US"/>
        </w:rPr>
        <w:t>)</w:t>
      </w:r>
      <w:r w:rsidR="001200B6">
        <w:rPr>
          <w:lang w:val="en-US"/>
        </w:rPr>
        <w:t>: 101-104.</w:t>
      </w:r>
    </w:p>
    <w:p w14:paraId="4AA91B9C" w14:textId="77777777" w:rsidR="00EB5E76" w:rsidRDefault="00EB5E76" w:rsidP="003F0D66">
      <w:pPr>
        <w:widowControl w:val="0"/>
        <w:ind w:left="800" w:hanging="800"/>
        <w:rPr>
          <w:lang w:val="en-US"/>
        </w:rPr>
      </w:pPr>
    </w:p>
    <w:p w14:paraId="54950683" w14:textId="77777777" w:rsidR="00C32E2A" w:rsidRDefault="001200B6" w:rsidP="003F0D66">
      <w:pPr>
        <w:widowControl w:val="0"/>
        <w:ind w:left="800" w:hanging="800"/>
        <w:rPr>
          <w:lang w:val="en-US"/>
        </w:rPr>
      </w:pPr>
      <w:r>
        <w:rPr>
          <w:lang w:val="en-US"/>
        </w:rPr>
        <w:t>Heesters, A. "500 hats: E</w:t>
      </w:r>
      <w:r w:rsidR="00EA280A">
        <w:rPr>
          <w:lang w:val="en-US"/>
        </w:rPr>
        <w:t>xploring the C</w:t>
      </w:r>
      <w:r w:rsidR="006A73A5">
        <w:rPr>
          <w:lang w:val="en-US"/>
        </w:rPr>
        <w:t>halle</w:t>
      </w:r>
      <w:r w:rsidR="00EA280A">
        <w:rPr>
          <w:lang w:val="en-US"/>
        </w:rPr>
        <w:t>nges of Boundary and C</w:t>
      </w:r>
      <w:r>
        <w:rPr>
          <w:lang w:val="en-US"/>
        </w:rPr>
        <w:t>ommunity -</w:t>
      </w:r>
      <w:r w:rsidR="00EA280A">
        <w:rPr>
          <w:lang w:val="en-US"/>
        </w:rPr>
        <w:t>Reflections on P</w:t>
      </w:r>
      <w:r w:rsidR="006A73A5">
        <w:rPr>
          <w:lang w:val="en-US"/>
        </w:rPr>
        <w:t xml:space="preserve">rofessionalization." </w:t>
      </w:r>
      <w:r w:rsidR="006A73A5">
        <w:rPr>
          <w:i/>
          <w:iCs/>
          <w:lang w:val="en-US"/>
        </w:rPr>
        <w:t>HEC Forum</w:t>
      </w:r>
      <w:r w:rsidR="006A73A5">
        <w:rPr>
          <w:lang w:val="en-US"/>
        </w:rPr>
        <w:t xml:space="preserve"> 24.3 (2012): 171-8. </w:t>
      </w:r>
    </w:p>
    <w:p w14:paraId="7427BD6F" w14:textId="77777777" w:rsidR="00EB5E76" w:rsidRDefault="00EB5E76" w:rsidP="003F0D66">
      <w:pPr>
        <w:widowControl w:val="0"/>
        <w:ind w:left="800" w:hanging="800"/>
        <w:rPr>
          <w:lang w:val="en-US"/>
        </w:rPr>
      </w:pPr>
    </w:p>
    <w:p w14:paraId="339B301B" w14:textId="77777777" w:rsidR="00C32E2A" w:rsidRDefault="00EA280A" w:rsidP="003F0D66">
      <w:pPr>
        <w:widowControl w:val="0"/>
        <w:ind w:left="800" w:hanging="800"/>
        <w:rPr>
          <w:lang w:val="en-US"/>
        </w:rPr>
      </w:pPr>
      <w:r>
        <w:rPr>
          <w:lang w:val="en-US"/>
        </w:rPr>
        <w:t>Heesters, Ann M. "Real Help for Those Who Have Been Morally W</w:t>
      </w:r>
      <w:r w:rsidR="006A73A5">
        <w:rPr>
          <w:lang w:val="en-US"/>
        </w:rPr>
        <w:t xml:space="preserve">ounded." </w:t>
      </w:r>
      <w:r w:rsidR="006A73A5">
        <w:rPr>
          <w:i/>
          <w:iCs/>
          <w:lang w:val="en-US"/>
        </w:rPr>
        <w:t>Canadian Nurse</w:t>
      </w:r>
      <w:r w:rsidR="006A73A5">
        <w:rPr>
          <w:lang w:val="en-US"/>
        </w:rPr>
        <w:t xml:space="preserve"> 105.3 (2009): 40. </w:t>
      </w:r>
      <w:r w:rsidR="0068205F">
        <w:rPr>
          <w:lang w:val="en-US"/>
        </w:rPr>
        <w:t xml:space="preserve"> </w:t>
      </w:r>
      <w:hyperlink r:id="rId21" w:history="1">
        <w:r w:rsidR="0068205F" w:rsidRPr="007A7658">
          <w:rPr>
            <w:rStyle w:val="Hyperlink"/>
            <w:lang w:val="en-US"/>
          </w:rPr>
          <w:t>https://www.cna-aiic.ca/en/canadian-nurse-home/articles/issues/2009/march-2009/real-help-for-those-who-have-been-morally-wounded</w:t>
        </w:r>
      </w:hyperlink>
      <w:r w:rsidR="0068205F">
        <w:rPr>
          <w:lang w:val="en-US"/>
        </w:rPr>
        <w:t>. Accessed: 15 January 2019.</w:t>
      </w:r>
    </w:p>
    <w:p w14:paraId="63913B1F" w14:textId="77777777" w:rsidR="00205ABE" w:rsidRDefault="00205ABE" w:rsidP="003F0D66">
      <w:pPr>
        <w:widowControl w:val="0"/>
        <w:ind w:left="800" w:hanging="800"/>
        <w:rPr>
          <w:lang w:val="en-US"/>
        </w:rPr>
      </w:pPr>
    </w:p>
    <w:p w14:paraId="559600C2" w14:textId="77777777" w:rsidR="007D0DDA" w:rsidRDefault="00A61747" w:rsidP="007D0DDA">
      <w:pPr>
        <w:widowControl w:val="0"/>
        <w:ind w:left="800" w:hanging="800"/>
      </w:pPr>
      <w:r>
        <w:t>Henriksen, Joan M., Megan S. Remtema, Kevin Whitford</w:t>
      </w:r>
      <w:r w:rsidR="00205ABE">
        <w:t xml:space="preserve">. “Law Is Not Enough: The Importance of Ethics Consultation in Complex Cases.” </w:t>
      </w:r>
      <w:r w:rsidR="00205ABE" w:rsidRPr="00205ABE">
        <w:rPr>
          <w:i/>
        </w:rPr>
        <w:t>American Journal of Bioethics</w:t>
      </w:r>
      <w:r w:rsidR="00205ABE">
        <w:t xml:space="preserve"> </w:t>
      </w:r>
      <w:r w:rsidR="00E9570E">
        <w:t>17.7</w:t>
      </w:r>
      <w:r w:rsidR="00205ABE">
        <w:t xml:space="preserve"> (2017):79-80.</w:t>
      </w:r>
    </w:p>
    <w:p w14:paraId="76A7ECE9" w14:textId="77777777" w:rsidR="006511C9" w:rsidRDefault="006511C9" w:rsidP="007D0DDA">
      <w:pPr>
        <w:widowControl w:val="0"/>
        <w:ind w:left="800" w:hanging="800"/>
      </w:pPr>
    </w:p>
    <w:p w14:paraId="2338B011" w14:textId="77777777" w:rsidR="006511C9" w:rsidRDefault="006511C9" w:rsidP="007D0DDA">
      <w:pPr>
        <w:widowControl w:val="0"/>
        <w:ind w:left="800" w:hanging="800"/>
      </w:pPr>
      <w:r w:rsidRPr="006511C9">
        <w:t>Heimer, Carol A. “‘Wicked’ Ethics: Compliance Work and the Practice of Ethics in HIV Research,” Social Science &amp; Medicine 98 (2013), 371-378.</w:t>
      </w:r>
    </w:p>
    <w:p w14:paraId="50C734BF" w14:textId="77777777" w:rsidR="006511C9" w:rsidRDefault="006511C9" w:rsidP="00A61747">
      <w:pPr>
        <w:widowControl w:val="0"/>
        <w:ind w:left="800" w:hanging="800"/>
        <w:rPr>
          <w:lang w:val="en-US"/>
        </w:rPr>
      </w:pPr>
    </w:p>
    <w:p w14:paraId="053F628D" w14:textId="64EA9A5D" w:rsidR="00A61747" w:rsidRPr="00443CE3" w:rsidRDefault="00A61747" w:rsidP="00A61747">
      <w:pPr>
        <w:widowControl w:val="0"/>
        <w:ind w:left="800" w:hanging="800"/>
        <w:rPr>
          <w:lang w:val="en-US"/>
        </w:rPr>
      </w:pPr>
      <w:r w:rsidRPr="00A61747">
        <w:rPr>
          <w:lang w:val="en-US"/>
        </w:rPr>
        <w:t xml:space="preserve">Herx, </w:t>
      </w:r>
      <w:r w:rsidR="00443CE3" w:rsidRPr="00443CE3">
        <w:rPr>
          <w:lang w:val="en-US"/>
        </w:rPr>
        <w:t>Leonie</w:t>
      </w:r>
      <w:r w:rsidR="00443CE3">
        <w:rPr>
          <w:lang w:val="en-US"/>
        </w:rPr>
        <w:t>.</w:t>
      </w:r>
      <w:r w:rsidR="00443CE3" w:rsidRPr="00443CE3">
        <w:rPr>
          <w:lang w:val="en-US"/>
        </w:rPr>
        <w:t xml:space="preserve"> </w:t>
      </w:r>
      <w:r w:rsidRPr="00A61747">
        <w:rPr>
          <w:lang w:val="en-US"/>
        </w:rPr>
        <w:t>Srini Chary, Ed Dubland, David Henderson, Bernard Lapointe, Robin Fainsinger, and</w:t>
      </w:r>
      <w:r w:rsidR="00EA280A">
        <w:rPr>
          <w:lang w:val="en-US"/>
        </w:rPr>
        <w:t xml:space="preserve"> Valerie Schulz. “Take Off the Rose-Coloured Glasses. A R</w:t>
      </w:r>
      <w:r w:rsidRPr="00A61747">
        <w:rPr>
          <w:lang w:val="en-US"/>
        </w:rPr>
        <w:t xml:space="preserve">esponse to Drs Buchman and Blackmer,” </w:t>
      </w:r>
      <w:r w:rsidRPr="00A61747">
        <w:rPr>
          <w:i/>
          <w:lang w:val="en-US"/>
        </w:rPr>
        <w:t>British Medical Journal</w:t>
      </w:r>
      <w:r w:rsidRPr="00A61747">
        <w:rPr>
          <w:lang w:val="en-US"/>
        </w:rPr>
        <w:t xml:space="preserve"> 364 (2019). 8 February 2019. https://www.bmj.com/content/364/bmj.l412/rr-18. Accessed: 10 February 2019.</w:t>
      </w:r>
    </w:p>
    <w:p w14:paraId="28A67270" w14:textId="77777777" w:rsidR="00443CE3" w:rsidRPr="00443CE3" w:rsidRDefault="00443CE3" w:rsidP="00A61747">
      <w:pPr>
        <w:widowControl w:val="0"/>
        <w:ind w:left="800" w:hanging="800"/>
        <w:rPr>
          <w:lang w:val="en-US"/>
        </w:rPr>
      </w:pPr>
    </w:p>
    <w:p w14:paraId="6BB4628F" w14:textId="27D8AF46" w:rsidR="00A61747" w:rsidRDefault="00443CE3" w:rsidP="00A61747">
      <w:pPr>
        <w:widowControl w:val="0"/>
        <w:ind w:left="800" w:hanging="800"/>
      </w:pPr>
      <w:r w:rsidRPr="00443CE3">
        <w:t xml:space="preserve">Holm, Soren. “Not Just Autonomy - The Principles of American Biomedical Ethics.” </w:t>
      </w:r>
      <w:r w:rsidRPr="00443CE3">
        <w:rPr>
          <w:i/>
        </w:rPr>
        <w:t>Journal of Medical Ethics</w:t>
      </w:r>
      <w:r w:rsidRPr="00443CE3">
        <w:t xml:space="preserve"> (1995) 21: 332-338.</w:t>
      </w:r>
    </w:p>
    <w:p w14:paraId="3EC8C5B4" w14:textId="77777777" w:rsidR="009C4A0E" w:rsidRDefault="009C4A0E" w:rsidP="00A61747">
      <w:pPr>
        <w:widowControl w:val="0"/>
        <w:ind w:left="800" w:hanging="800"/>
      </w:pPr>
    </w:p>
    <w:p w14:paraId="0235EFA7" w14:textId="77777777" w:rsidR="007D0DDA" w:rsidRDefault="007D0DDA" w:rsidP="007D0DDA">
      <w:pPr>
        <w:widowControl w:val="0"/>
        <w:ind w:left="800" w:hanging="800"/>
      </w:pPr>
      <w:r w:rsidRPr="00443CE3">
        <w:rPr>
          <w:lang w:val="en-US"/>
        </w:rPr>
        <w:t xml:space="preserve">Hoffmaster, Barry and Cliff Hooker. </w:t>
      </w:r>
      <w:r w:rsidRPr="00443CE3">
        <w:rPr>
          <w:i/>
          <w:lang w:val="en-US"/>
        </w:rPr>
        <w:t>Re-reasoning Ethics</w:t>
      </w:r>
      <w:r w:rsidRPr="007D0DDA">
        <w:rPr>
          <w:i/>
          <w:lang w:val="en-US"/>
        </w:rPr>
        <w:t>: The rationality of deliberation and Judgment in Ethics.</w:t>
      </w:r>
      <w:r>
        <w:rPr>
          <w:lang w:val="en-US"/>
        </w:rPr>
        <w:t xml:space="preserve"> Cambridge: MIT Press, 2018.</w:t>
      </w:r>
    </w:p>
    <w:p w14:paraId="6A379C21" w14:textId="77777777" w:rsidR="00EB5E76" w:rsidRDefault="00E9570E" w:rsidP="003F0D66">
      <w:pPr>
        <w:widowControl w:val="0"/>
        <w:ind w:left="800" w:hanging="800"/>
        <w:rPr>
          <w:lang w:val="en-US"/>
        </w:rPr>
      </w:pPr>
      <w:r>
        <w:rPr>
          <w:lang w:val="en-US"/>
        </w:rPr>
        <w:t xml:space="preserve"> </w:t>
      </w:r>
    </w:p>
    <w:p w14:paraId="726D7C3F" w14:textId="77777777" w:rsidR="00EA280A" w:rsidRDefault="00E9570E" w:rsidP="00E9570E">
      <w:pPr>
        <w:rPr>
          <w:lang w:val="en-US"/>
        </w:rPr>
      </w:pPr>
      <w:r>
        <w:rPr>
          <w:lang w:val="en-US"/>
        </w:rPr>
        <w:t>Hoffmaster, Barry. “</w:t>
      </w:r>
      <w:r w:rsidR="00EA280A">
        <w:rPr>
          <w:lang w:val="en-US"/>
        </w:rPr>
        <w:t xml:space="preserve">From Applied Ethics to Empirical Ethics to </w:t>
      </w:r>
    </w:p>
    <w:p w14:paraId="6D44810F" w14:textId="77777777" w:rsidR="00A66F4D" w:rsidRDefault="00EA280A" w:rsidP="00EA280A">
      <w:pPr>
        <w:ind w:firstLine="720"/>
        <w:rPr>
          <w:lang w:val="en-US"/>
        </w:rPr>
      </w:pPr>
      <w:r>
        <w:rPr>
          <w:lang w:val="en-US"/>
        </w:rPr>
        <w:lastRenderedPageBreak/>
        <w:t>Contextual E</w:t>
      </w:r>
      <w:r w:rsidR="00E9570E" w:rsidRPr="00E9570E">
        <w:rPr>
          <w:lang w:val="en-US"/>
        </w:rPr>
        <w:t>thics</w:t>
      </w:r>
      <w:r>
        <w:rPr>
          <w:lang w:val="en-US"/>
        </w:rPr>
        <w:t xml:space="preserve">. </w:t>
      </w:r>
      <w:r w:rsidR="00E9570E" w:rsidRPr="00E9570E">
        <w:rPr>
          <w:i/>
          <w:lang w:val="en-US"/>
        </w:rPr>
        <w:t>Bioethics</w:t>
      </w:r>
      <w:r w:rsidR="00E9570E">
        <w:rPr>
          <w:lang w:val="en-US"/>
        </w:rPr>
        <w:t>. 32.2 (2018): 119-125.</w:t>
      </w:r>
    </w:p>
    <w:p w14:paraId="7818062C" w14:textId="77777777" w:rsidR="006511C9" w:rsidRDefault="006511C9" w:rsidP="00EA280A">
      <w:pPr>
        <w:ind w:firstLine="720"/>
        <w:rPr>
          <w:lang w:val="en-US"/>
        </w:rPr>
      </w:pPr>
    </w:p>
    <w:p w14:paraId="4CB1AB36" w14:textId="77777777" w:rsidR="006511C9" w:rsidRDefault="006511C9" w:rsidP="006511C9">
      <w:pPr>
        <w:rPr>
          <w:lang w:val="en-US"/>
        </w:rPr>
      </w:pPr>
      <w:r w:rsidRPr="006511C9">
        <w:rPr>
          <w:lang w:val="en-US"/>
        </w:rPr>
        <w:t xml:space="preserve">Hoffmaster, C. Barry. </w:t>
      </w:r>
      <w:r w:rsidRPr="006511C9">
        <w:rPr>
          <w:i/>
          <w:lang w:val="en-US"/>
        </w:rPr>
        <w:t>Bioethics in Social Context</w:t>
      </w:r>
      <w:r w:rsidRPr="006511C9">
        <w:rPr>
          <w:lang w:val="en-US"/>
        </w:rPr>
        <w:t>. Philadelphia: Temple</w:t>
      </w:r>
    </w:p>
    <w:p w14:paraId="57021FBE" w14:textId="77777777" w:rsidR="006511C9" w:rsidRPr="006511C9" w:rsidRDefault="006511C9" w:rsidP="006511C9">
      <w:pPr>
        <w:ind w:firstLine="720"/>
        <w:rPr>
          <w:lang w:val="en-US"/>
        </w:rPr>
      </w:pPr>
      <w:r w:rsidRPr="006511C9">
        <w:rPr>
          <w:lang w:val="en-US"/>
        </w:rPr>
        <w:t>University Press, 2001.</w:t>
      </w:r>
    </w:p>
    <w:p w14:paraId="07888FCC" w14:textId="77777777" w:rsidR="00A66F4D" w:rsidRDefault="00A66F4D" w:rsidP="00A66F4D">
      <w:pPr>
        <w:rPr>
          <w:lang w:val="en-US"/>
        </w:rPr>
      </w:pPr>
    </w:p>
    <w:p w14:paraId="1D013B6F" w14:textId="77777777" w:rsidR="00EB0452" w:rsidRPr="00A66F4D" w:rsidRDefault="00EB0452" w:rsidP="00A66F4D">
      <w:pPr>
        <w:rPr>
          <w:lang w:val="en-US"/>
        </w:rPr>
      </w:pPr>
      <w:r w:rsidRPr="00EB0452">
        <w:t>Hoffmaster, Barry</w:t>
      </w:r>
      <w:r>
        <w:t xml:space="preserve">. “Anatomy of a </w:t>
      </w:r>
      <w:r w:rsidRPr="00EB0452">
        <w:t>Clinical Ethics Consultation</w:t>
      </w:r>
      <w:r>
        <w:t xml:space="preserve">.” </w:t>
      </w:r>
      <w:r w:rsidRPr="00EB0452">
        <w:rPr>
          <w:i/>
        </w:rPr>
        <w:t>Human</w:t>
      </w:r>
    </w:p>
    <w:p w14:paraId="5351DF40" w14:textId="77777777" w:rsidR="00EB0452" w:rsidRDefault="00EB0452" w:rsidP="00EB0452">
      <w:pPr>
        <w:pStyle w:val="authors"/>
        <w:spacing w:before="0" w:beforeAutospacing="0" w:after="0" w:afterAutospacing="0"/>
        <w:ind w:firstLine="720"/>
      </w:pPr>
      <w:r w:rsidRPr="00EB0452">
        <w:rPr>
          <w:i/>
        </w:rPr>
        <w:t>Studies</w:t>
      </w:r>
      <w:r>
        <w:t xml:space="preserve">. </w:t>
      </w:r>
      <w:r w:rsidRPr="00EB0452">
        <w:t>22</w:t>
      </w:r>
      <w:r>
        <w:t>.</w:t>
      </w:r>
      <w:r w:rsidRPr="00EB0452">
        <w:t>1</w:t>
      </w:r>
      <w:r>
        <w:t xml:space="preserve"> (1999</w:t>
      </w:r>
      <w:r w:rsidRPr="00EB0452">
        <w:t>):53-68</w:t>
      </w:r>
      <w:r>
        <w:t>.</w:t>
      </w:r>
    </w:p>
    <w:p w14:paraId="06EE707F" w14:textId="77777777" w:rsidR="00EB0452" w:rsidRPr="00EB0452" w:rsidRDefault="00EB0452" w:rsidP="00EB0452">
      <w:pPr>
        <w:pStyle w:val="authors"/>
        <w:spacing w:before="0" w:beforeAutospacing="0" w:after="0" w:afterAutospacing="0"/>
        <w:ind w:firstLine="720"/>
      </w:pPr>
    </w:p>
    <w:p w14:paraId="045E6E3D" w14:textId="77777777" w:rsidR="00C32E2A" w:rsidRDefault="006A73A5" w:rsidP="003F0D66">
      <w:pPr>
        <w:widowControl w:val="0"/>
        <w:ind w:left="800" w:hanging="800"/>
      </w:pPr>
      <w:r>
        <w:rPr>
          <w:lang w:val="en-US"/>
        </w:rPr>
        <w:t>Hoffmaste</w:t>
      </w:r>
      <w:r w:rsidR="00EA280A">
        <w:rPr>
          <w:lang w:val="en-US"/>
        </w:rPr>
        <w:t>r, Barry. "Can Ethnography Save the Life of Medical E</w:t>
      </w:r>
      <w:r>
        <w:rPr>
          <w:lang w:val="en-US"/>
        </w:rPr>
        <w:t xml:space="preserve">thics?" </w:t>
      </w:r>
      <w:r>
        <w:rPr>
          <w:i/>
          <w:iCs/>
          <w:lang w:val="en-US"/>
        </w:rPr>
        <w:t>Social Science &amp; Medicine</w:t>
      </w:r>
      <w:r>
        <w:rPr>
          <w:lang w:val="en-US"/>
        </w:rPr>
        <w:t xml:space="preserve"> 35.12 (1992): 1421-1431. </w:t>
      </w:r>
    </w:p>
    <w:p w14:paraId="35B7D32E" w14:textId="77777777" w:rsidR="00EB5E76" w:rsidRDefault="00EB5E76" w:rsidP="003F0D66">
      <w:pPr>
        <w:widowControl w:val="0"/>
        <w:ind w:left="800" w:hanging="800"/>
        <w:rPr>
          <w:lang w:val="en-US"/>
        </w:rPr>
      </w:pPr>
    </w:p>
    <w:p w14:paraId="682D6E50" w14:textId="77777777" w:rsidR="00E7588C" w:rsidRDefault="00E7588C" w:rsidP="003F0D66">
      <w:pPr>
        <w:widowControl w:val="0"/>
        <w:ind w:left="800" w:hanging="800"/>
      </w:pPr>
      <w:r w:rsidRPr="00E7588C">
        <w:t xml:space="preserve">IOM (Institute of Medicine). 2009. </w:t>
      </w:r>
      <w:r w:rsidRPr="00BC6696">
        <w:rPr>
          <w:i/>
        </w:rPr>
        <w:t>Conflict of Interest in Medical Research, Education, and Practice.</w:t>
      </w:r>
      <w:r w:rsidRPr="00E7588C">
        <w:t xml:space="preserve"> Washington, DC: The National Academies Press.</w:t>
      </w:r>
    </w:p>
    <w:p w14:paraId="31EDF4C4" w14:textId="77777777" w:rsidR="00DB5AE1" w:rsidRDefault="00DB5AE1" w:rsidP="003F0D66">
      <w:pPr>
        <w:widowControl w:val="0"/>
        <w:ind w:left="800" w:hanging="800"/>
      </w:pPr>
    </w:p>
    <w:p w14:paraId="10D3C6CB" w14:textId="77777777" w:rsidR="00DB5AE1" w:rsidRDefault="00DB5AE1" w:rsidP="00DB5AE1">
      <w:pPr>
        <w:rPr>
          <w:lang w:eastAsia="en-GB"/>
        </w:rPr>
      </w:pPr>
      <w:r w:rsidRPr="00BF7EE8">
        <w:rPr>
          <w:lang w:eastAsia="en-GB"/>
        </w:rPr>
        <w:t>Ives, Jonathan; Dunn, Michael</w:t>
      </w:r>
      <w:r>
        <w:rPr>
          <w:lang w:eastAsia="en-GB"/>
        </w:rPr>
        <w:t>. “</w:t>
      </w:r>
      <w:r w:rsidR="00EA280A">
        <w:rPr>
          <w:lang w:eastAsia="en-GB"/>
        </w:rPr>
        <w:t>Who's Arguing? A Call for R</w:t>
      </w:r>
      <w:r w:rsidRPr="00BF7EE8">
        <w:rPr>
          <w:lang w:eastAsia="en-GB"/>
        </w:rPr>
        <w:t>eflexivity in</w:t>
      </w:r>
    </w:p>
    <w:p w14:paraId="277E0714" w14:textId="77777777" w:rsidR="00145E4F" w:rsidRDefault="00EA280A" w:rsidP="00DB5AE1">
      <w:pPr>
        <w:ind w:firstLine="720"/>
        <w:rPr>
          <w:lang w:eastAsia="en-GB"/>
        </w:rPr>
      </w:pPr>
      <w:r>
        <w:rPr>
          <w:lang w:eastAsia="en-GB"/>
        </w:rPr>
        <w:t>B</w:t>
      </w:r>
      <w:r w:rsidR="00DB5AE1" w:rsidRPr="00BF7EE8">
        <w:rPr>
          <w:lang w:eastAsia="en-GB"/>
        </w:rPr>
        <w:t>ioethics</w:t>
      </w:r>
      <w:r w:rsidR="00DB5AE1">
        <w:rPr>
          <w:lang w:eastAsia="en-GB"/>
        </w:rPr>
        <w:t xml:space="preserve">.” </w:t>
      </w:r>
      <w:r w:rsidR="00DB5AE1" w:rsidRPr="00DB5AE1">
        <w:rPr>
          <w:i/>
          <w:lang w:eastAsia="en-GB"/>
        </w:rPr>
        <w:t>Bioethics</w:t>
      </w:r>
      <w:r w:rsidR="00DB5AE1">
        <w:rPr>
          <w:lang w:eastAsia="en-GB"/>
        </w:rPr>
        <w:t xml:space="preserve"> 24.5 (2010)</w:t>
      </w:r>
      <w:r w:rsidR="00DB5AE1" w:rsidRPr="00BF7EE8">
        <w:rPr>
          <w:lang w:eastAsia="en-GB"/>
        </w:rPr>
        <w:t>:</w:t>
      </w:r>
      <w:r w:rsidR="00DB5AE1">
        <w:rPr>
          <w:lang w:eastAsia="en-GB"/>
        </w:rPr>
        <w:t xml:space="preserve"> </w:t>
      </w:r>
      <w:r w:rsidR="00DB5AE1" w:rsidRPr="00BF7EE8">
        <w:rPr>
          <w:lang w:eastAsia="en-GB"/>
        </w:rPr>
        <w:t>256-65</w:t>
      </w:r>
      <w:r w:rsidR="00DB5AE1">
        <w:rPr>
          <w:lang w:eastAsia="en-GB"/>
        </w:rPr>
        <w:t>.</w:t>
      </w:r>
    </w:p>
    <w:p w14:paraId="28E25FFC" w14:textId="77777777" w:rsidR="00DB5AE1" w:rsidRDefault="00DB5AE1" w:rsidP="00DB5AE1">
      <w:pPr>
        <w:ind w:firstLine="720"/>
        <w:rPr>
          <w:lang w:eastAsia="en-GB"/>
        </w:rPr>
      </w:pPr>
    </w:p>
    <w:p w14:paraId="0F891899" w14:textId="77777777" w:rsidR="00145E4F" w:rsidRPr="00145E4F" w:rsidRDefault="00145E4F" w:rsidP="00145E4F">
      <w:pPr>
        <w:widowControl w:val="0"/>
        <w:ind w:left="800" w:hanging="800"/>
      </w:pPr>
      <w:r>
        <w:t xml:space="preserve">Jameton, Andrew. </w:t>
      </w:r>
      <w:r w:rsidRPr="00145E4F">
        <w:rPr>
          <w:i/>
        </w:rPr>
        <w:t>Nursing Practice: The Ethical Issues.</w:t>
      </w:r>
      <w:r w:rsidRPr="00145E4F">
        <w:t xml:space="preserve"> Englewood Cli</w:t>
      </w:r>
      <w:r w:rsidR="009A594F">
        <w:t>ffs, NJ: Prentice Hall,</w:t>
      </w:r>
      <w:r w:rsidR="00BB196A">
        <w:t xml:space="preserve"> 1984.</w:t>
      </w:r>
    </w:p>
    <w:p w14:paraId="19815517" w14:textId="77777777" w:rsidR="00EB5E76" w:rsidRDefault="00EB5E76" w:rsidP="003F0D66">
      <w:pPr>
        <w:widowControl w:val="0"/>
        <w:ind w:left="800" w:hanging="800"/>
        <w:rPr>
          <w:lang w:val="en-US"/>
        </w:rPr>
      </w:pPr>
    </w:p>
    <w:p w14:paraId="11AA0CFA" w14:textId="77777777" w:rsidR="00C32E2A" w:rsidRDefault="006A73A5" w:rsidP="003F0D66">
      <w:pPr>
        <w:widowControl w:val="0"/>
        <w:ind w:left="800" w:hanging="800"/>
        <w:rPr>
          <w:lang w:val="en-US"/>
        </w:rPr>
      </w:pPr>
      <w:r>
        <w:rPr>
          <w:lang w:val="en-US"/>
        </w:rPr>
        <w:t>Jansky, M, G</w:t>
      </w:r>
      <w:r w:rsidR="00D262ED">
        <w:rPr>
          <w:lang w:val="en-US"/>
        </w:rPr>
        <w:t>. Marx</w:t>
      </w:r>
      <w:r>
        <w:rPr>
          <w:lang w:val="en-US"/>
        </w:rPr>
        <w:t>, F</w:t>
      </w:r>
      <w:r w:rsidR="00D262ED">
        <w:rPr>
          <w:lang w:val="en-US"/>
        </w:rPr>
        <w:t>.</w:t>
      </w:r>
      <w:r>
        <w:rPr>
          <w:lang w:val="en-US"/>
        </w:rPr>
        <w:t xml:space="preserve"> Nauck, and B</w:t>
      </w:r>
      <w:r w:rsidR="00C242C5">
        <w:rPr>
          <w:lang w:val="en-US"/>
        </w:rPr>
        <w:t>.</w:t>
      </w:r>
      <w:r w:rsidR="00EA280A">
        <w:rPr>
          <w:lang w:val="en-US"/>
        </w:rPr>
        <w:t xml:space="preserve"> Alt-Epping. "Physicians' and Nurses' Expectations and Objections Toward a Clinical Ethics C</w:t>
      </w:r>
      <w:r>
        <w:rPr>
          <w:lang w:val="en-US"/>
        </w:rPr>
        <w:t xml:space="preserve">ommittee." </w:t>
      </w:r>
      <w:r>
        <w:rPr>
          <w:i/>
          <w:iCs/>
          <w:lang w:val="en-US"/>
        </w:rPr>
        <w:t>Nursing Ethics</w:t>
      </w:r>
      <w:r w:rsidR="00F8608A">
        <w:rPr>
          <w:lang w:val="en-US"/>
        </w:rPr>
        <w:t xml:space="preserve"> 20.</w:t>
      </w:r>
      <w:r w:rsidR="00F8608A" w:rsidRPr="00F8608A">
        <w:rPr>
          <w:lang w:val="en-US"/>
        </w:rPr>
        <w:t>7</w:t>
      </w:r>
      <w:r w:rsidR="00F8608A">
        <w:rPr>
          <w:lang w:val="en-US"/>
        </w:rPr>
        <w:t xml:space="preserve"> (2013</w:t>
      </w:r>
      <w:r w:rsidR="00F8608A" w:rsidRPr="00F8608A">
        <w:rPr>
          <w:lang w:val="en-US"/>
        </w:rPr>
        <w:t>):771-83.</w:t>
      </w:r>
      <w:r>
        <w:rPr>
          <w:lang w:val="en-US"/>
        </w:rPr>
        <w:t xml:space="preserve"> </w:t>
      </w:r>
      <w:r>
        <w:rPr>
          <w:i/>
          <w:iCs/>
          <w:lang w:val="en-US"/>
        </w:rPr>
        <w:t>http://nej.sagepub.com/content/early/2013/05/23/0969733013478308.full.pdf</w:t>
      </w:r>
      <w:r w:rsidR="00F8608A">
        <w:rPr>
          <w:lang w:val="en-US"/>
        </w:rPr>
        <w:t>. Accessed:</w:t>
      </w:r>
      <w:r>
        <w:rPr>
          <w:lang w:val="en-US"/>
        </w:rPr>
        <w:t xml:space="preserve"> 28 June 2013.</w:t>
      </w:r>
    </w:p>
    <w:p w14:paraId="43C0A072" w14:textId="77777777" w:rsidR="00BF263C" w:rsidRDefault="00BF263C" w:rsidP="003F0D66">
      <w:pPr>
        <w:widowControl w:val="0"/>
        <w:ind w:left="800" w:hanging="800"/>
        <w:rPr>
          <w:lang w:val="en-US"/>
        </w:rPr>
      </w:pPr>
    </w:p>
    <w:p w14:paraId="4FD81625" w14:textId="77777777" w:rsidR="00BF263C" w:rsidRDefault="00BF263C" w:rsidP="00BF263C">
      <w:pPr>
        <w:widowControl w:val="0"/>
        <w:ind w:left="800" w:hanging="800"/>
      </w:pPr>
      <w:r>
        <w:t xml:space="preserve">Johnson, Michael P. and Kathleen J. Ferraro. “Research on Domestic Violence in the 1990s: Making Distinctions.” </w:t>
      </w:r>
      <w:r w:rsidRPr="00AE1798">
        <w:rPr>
          <w:i/>
        </w:rPr>
        <w:t>Journal of Marriage and Family</w:t>
      </w:r>
      <w:r>
        <w:t xml:space="preserve"> 62.4 (2000): 948-963.</w:t>
      </w:r>
    </w:p>
    <w:p w14:paraId="2FD67663" w14:textId="77777777" w:rsidR="00EB5E76" w:rsidRDefault="00EB5E76" w:rsidP="003F0D66">
      <w:pPr>
        <w:widowControl w:val="0"/>
        <w:ind w:left="800" w:hanging="800"/>
        <w:rPr>
          <w:lang w:val="en-US"/>
        </w:rPr>
      </w:pPr>
    </w:p>
    <w:p w14:paraId="518891D9" w14:textId="77777777" w:rsidR="00732542" w:rsidRDefault="00732542" w:rsidP="003F0D66">
      <w:pPr>
        <w:widowControl w:val="0"/>
        <w:ind w:left="800" w:hanging="800"/>
        <w:rPr>
          <w:lang w:val="en-US"/>
        </w:rPr>
      </w:pPr>
      <w:r w:rsidRPr="00732542">
        <w:rPr>
          <w:lang w:val="en-US"/>
        </w:rPr>
        <w:t xml:space="preserve">Jonsen, Albert R. </w:t>
      </w:r>
      <w:r w:rsidR="00EA280A">
        <w:rPr>
          <w:i/>
          <w:lang w:val="en-US"/>
        </w:rPr>
        <w:t>The Birth of B</w:t>
      </w:r>
      <w:r w:rsidRPr="00BC6696">
        <w:rPr>
          <w:i/>
          <w:lang w:val="en-US"/>
        </w:rPr>
        <w:t>ioethics.</w:t>
      </w:r>
      <w:r w:rsidRPr="00732542">
        <w:rPr>
          <w:lang w:val="en-US"/>
        </w:rPr>
        <w:t xml:space="preserve"> New York: Oxford University Press, 1998. </w:t>
      </w:r>
    </w:p>
    <w:p w14:paraId="7F502285" w14:textId="77777777" w:rsidR="00EB5E76" w:rsidRDefault="00EB5E76" w:rsidP="003F0D66">
      <w:pPr>
        <w:widowControl w:val="0"/>
        <w:ind w:left="800" w:hanging="800"/>
        <w:rPr>
          <w:lang w:val="en-US"/>
        </w:rPr>
      </w:pPr>
    </w:p>
    <w:p w14:paraId="40494FB6" w14:textId="77777777" w:rsidR="00EA280A" w:rsidRDefault="00EA280A" w:rsidP="003F0D66">
      <w:pPr>
        <w:widowControl w:val="0"/>
        <w:ind w:left="800" w:hanging="800"/>
        <w:rPr>
          <w:lang w:val="en-US"/>
        </w:rPr>
      </w:pPr>
      <w:r>
        <w:rPr>
          <w:lang w:val="en-US"/>
        </w:rPr>
        <w:t>Jonsen, Albert. "Life is Short, Medicine is Long: Reflections on a Bioethical</w:t>
      </w:r>
    </w:p>
    <w:p w14:paraId="5783DBA6" w14:textId="77777777" w:rsidR="00EB5E76" w:rsidRDefault="00EA280A" w:rsidP="00EA280A">
      <w:pPr>
        <w:widowControl w:val="0"/>
        <w:ind w:left="800" w:hanging="80"/>
        <w:rPr>
          <w:lang w:val="en-US"/>
        </w:rPr>
      </w:pPr>
      <w:r>
        <w:rPr>
          <w:lang w:val="en-US"/>
        </w:rPr>
        <w:t>I</w:t>
      </w:r>
      <w:r w:rsidR="006A73A5">
        <w:rPr>
          <w:lang w:val="en-US"/>
        </w:rPr>
        <w:t xml:space="preserve">nsight." </w:t>
      </w:r>
      <w:r w:rsidR="006A73A5">
        <w:rPr>
          <w:i/>
          <w:iCs/>
          <w:lang w:val="en-US"/>
        </w:rPr>
        <w:t>The Journal of Medicine and Philosophy</w:t>
      </w:r>
      <w:r w:rsidR="006A73A5">
        <w:rPr>
          <w:lang w:val="en-US"/>
        </w:rPr>
        <w:t xml:space="preserve"> 31.6 (2006): 667-673. </w:t>
      </w:r>
    </w:p>
    <w:p w14:paraId="631319FB" w14:textId="77777777" w:rsidR="00EB5E76" w:rsidRDefault="00EB5E76" w:rsidP="003F0D66">
      <w:pPr>
        <w:widowControl w:val="0"/>
        <w:ind w:left="800" w:hanging="800"/>
        <w:rPr>
          <w:lang w:val="en-US"/>
        </w:rPr>
      </w:pPr>
    </w:p>
    <w:p w14:paraId="6ED89264" w14:textId="77777777" w:rsidR="00EB5E76" w:rsidRDefault="006A73A5" w:rsidP="003F0D66">
      <w:pPr>
        <w:widowControl w:val="0"/>
        <w:ind w:left="800" w:hanging="800"/>
        <w:rPr>
          <w:lang w:val="en-US"/>
        </w:rPr>
      </w:pPr>
      <w:r>
        <w:rPr>
          <w:lang w:val="en-US"/>
        </w:rPr>
        <w:t>J</w:t>
      </w:r>
      <w:r w:rsidR="00EA280A">
        <w:rPr>
          <w:lang w:val="en-US"/>
        </w:rPr>
        <w:t>onsen, Albert R. "Casuistry as Methodology in C</w:t>
      </w:r>
      <w:r>
        <w:rPr>
          <w:lang w:val="en-US"/>
        </w:rPr>
        <w:t>l</w:t>
      </w:r>
      <w:r w:rsidR="00EA280A">
        <w:rPr>
          <w:lang w:val="en-US"/>
        </w:rPr>
        <w:t>inical E</w:t>
      </w:r>
      <w:r>
        <w:rPr>
          <w:lang w:val="en-US"/>
        </w:rPr>
        <w:t xml:space="preserve">thics." </w:t>
      </w:r>
      <w:r>
        <w:rPr>
          <w:i/>
          <w:iCs/>
          <w:lang w:val="en-US"/>
        </w:rPr>
        <w:t>Theoretical Medicine</w:t>
      </w:r>
      <w:r>
        <w:rPr>
          <w:lang w:val="en-US"/>
        </w:rPr>
        <w:t xml:space="preserve"> 12.4 (1991): 295-307. </w:t>
      </w:r>
    </w:p>
    <w:p w14:paraId="0574E8DD" w14:textId="77777777" w:rsidR="00A226F2" w:rsidRDefault="00A226F2" w:rsidP="003F0D66">
      <w:pPr>
        <w:widowControl w:val="0"/>
        <w:ind w:left="800" w:hanging="800"/>
        <w:rPr>
          <w:lang w:val="en-US"/>
        </w:rPr>
      </w:pPr>
    </w:p>
    <w:p w14:paraId="7116145D" w14:textId="77777777" w:rsidR="00E173C8" w:rsidRDefault="00E173C8" w:rsidP="00E173C8">
      <w:pPr>
        <w:widowControl w:val="0"/>
        <w:ind w:left="800" w:hanging="800"/>
      </w:pPr>
      <w:r w:rsidRPr="00E173C8">
        <w:t xml:space="preserve">Kamm, Frances. </w:t>
      </w:r>
      <w:r w:rsidR="00EA280A">
        <w:t>“A Right to Choose Death? A Moral Argument for the Permissibility of Euthanasia and Physician-Assisted S</w:t>
      </w:r>
      <w:r>
        <w:t xml:space="preserve">uicide.” </w:t>
      </w:r>
      <w:r w:rsidRPr="009A594F">
        <w:rPr>
          <w:i/>
        </w:rPr>
        <w:t>Boston Review</w:t>
      </w:r>
      <w:r w:rsidR="009A594F">
        <w:t xml:space="preserve">, (Summer, </w:t>
      </w:r>
      <w:r>
        <w:t>1997)</w:t>
      </w:r>
      <w:r w:rsidR="00E913AF">
        <w:t xml:space="preserve"> 20-23</w:t>
      </w:r>
      <w:r>
        <w:t xml:space="preserve">. Online: </w:t>
      </w:r>
      <w:hyperlink r:id="rId22" w:history="1">
        <w:r w:rsidRPr="007A7658">
          <w:rPr>
            <w:rStyle w:val="Hyperlink"/>
          </w:rPr>
          <w:t>http://bostonreview.net/archives/BR22.3/Kamm.html</w:t>
        </w:r>
      </w:hyperlink>
      <w:r>
        <w:t xml:space="preserve">. Accessed: 10 </w:t>
      </w:r>
      <w:r>
        <w:lastRenderedPageBreak/>
        <w:t xml:space="preserve">February 2019. </w:t>
      </w:r>
    </w:p>
    <w:p w14:paraId="771828D2" w14:textId="77777777" w:rsidR="00E173C8" w:rsidRDefault="00E173C8" w:rsidP="00E173C8">
      <w:pPr>
        <w:widowControl w:val="0"/>
      </w:pPr>
    </w:p>
    <w:p w14:paraId="74E2F600" w14:textId="447444AA" w:rsidR="007E3322" w:rsidRDefault="00CD5214" w:rsidP="00815777">
      <w:pPr>
        <w:widowControl w:val="0"/>
        <w:ind w:left="800" w:hanging="800"/>
      </w:pPr>
      <w:r>
        <w:t>Kamm, Frances</w:t>
      </w:r>
      <w:r w:rsidR="00942900">
        <w:t xml:space="preserve"> Myrna</w:t>
      </w:r>
      <w:r>
        <w:t xml:space="preserve">. “The Philosopher as Insider and Outsider: How to Advise, Compromise, and Criticize.” </w:t>
      </w:r>
      <w:r w:rsidRPr="00815777">
        <w:rPr>
          <w:i/>
        </w:rPr>
        <w:t>Business &amp; Pr</w:t>
      </w:r>
      <w:r w:rsidR="00815777" w:rsidRPr="00815777">
        <w:rPr>
          <w:i/>
        </w:rPr>
        <w:t>ofessional Ethics Journal</w:t>
      </w:r>
      <w:r w:rsidR="00A248FE">
        <w:t xml:space="preserve"> </w:t>
      </w:r>
      <w:r w:rsidR="00815777">
        <w:t>9.1</w:t>
      </w:r>
      <w:r w:rsidR="00942900">
        <w:t>/</w:t>
      </w:r>
      <w:r w:rsidR="00A248FE">
        <w:t>2 (1990):</w:t>
      </w:r>
      <w:r>
        <w:t xml:space="preserve"> 7-20</w:t>
      </w:r>
      <w:r w:rsidR="00815777">
        <w:t xml:space="preserve">. </w:t>
      </w:r>
      <w:r w:rsidR="00942900">
        <w:t xml:space="preserve">Online: </w:t>
      </w:r>
      <w:r w:rsidR="00942900" w:rsidRPr="00942900">
        <w:t>http://www.jstor.org.myaccess.library.utoronto.ca/stable/27800028.</w:t>
      </w:r>
      <w:r w:rsidR="00942900">
        <w:t xml:space="preserve"> </w:t>
      </w:r>
      <w:r w:rsidR="00815777">
        <w:t xml:space="preserve"> Accessed: 10 February 2019.</w:t>
      </w:r>
    </w:p>
    <w:p w14:paraId="420445A0" w14:textId="77777777" w:rsidR="007E3322" w:rsidRDefault="00815777" w:rsidP="00815777">
      <w:pPr>
        <w:widowControl w:val="0"/>
        <w:ind w:left="800" w:hanging="800"/>
      </w:pPr>
      <w:r>
        <w:t xml:space="preserve"> </w:t>
      </w:r>
    </w:p>
    <w:p w14:paraId="38EFED0F" w14:textId="77777777" w:rsidR="00EB5E76" w:rsidRDefault="007E3322" w:rsidP="00815777">
      <w:pPr>
        <w:widowControl w:val="0"/>
        <w:ind w:left="800" w:hanging="800"/>
      </w:pPr>
      <w:r>
        <w:t xml:space="preserve">Kaposey, Chris, Fern Brunger, Victor Maddalena, and Richard Singleton. “Models of Ethics Consultation used by Canadian Ethics Consultants: A Qualitative Study.” </w:t>
      </w:r>
      <w:r w:rsidRPr="007E3322">
        <w:rPr>
          <w:i/>
        </w:rPr>
        <w:t>HEC Forum</w:t>
      </w:r>
      <w:r>
        <w:t xml:space="preserve"> 28</w:t>
      </w:r>
      <w:r w:rsidR="00783592">
        <w:t>.4</w:t>
      </w:r>
      <w:r>
        <w:t xml:space="preserve"> (2016):273-282.</w:t>
      </w:r>
      <w:r w:rsidR="00CD5214">
        <w:cr/>
      </w:r>
    </w:p>
    <w:p w14:paraId="67661B6F" w14:textId="77777777" w:rsidR="00C67F59" w:rsidRDefault="001C745B" w:rsidP="003F0D66">
      <w:pPr>
        <w:widowControl w:val="0"/>
        <w:ind w:left="800" w:hanging="800"/>
      </w:pPr>
      <w:r w:rsidRPr="001C745B">
        <w:t xml:space="preserve">Kaveny, M. Cathleen. "Diversity and Deliberation." </w:t>
      </w:r>
      <w:r w:rsidRPr="001F59F0">
        <w:rPr>
          <w:i/>
        </w:rPr>
        <w:t>Journal of Religious Ethics</w:t>
      </w:r>
      <w:r w:rsidRPr="001C745B">
        <w:t xml:space="preserve"> 34.2 (2006): 311-337.</w:t>
      </w:r>
    </w:p>
    <w:p w14:paraId="53375A00" w14:textId="77777777" w:rsidR="00C67F59" w:rsidRDefault="00C67F59" w:rsidP="00C67F59">
      <w:pPr>
        <w:widowControl w:val="0"/>
        <w:ind w:left="800" w:hanging="800"/>
        <w:rPr>
          <w:lang w:val="en-US"/>
        </w:rPr>
      </w:pPr>
    </w:p>
    <w:p w14:paraId="66B1311E" w14:textId="3DE90A1A" w:rsidR="002750E9" w:rsidRDefault="002750E9" w:rsidP="00C67F59">
      <w:pPr>
        <w:widowControl w:val="0"/>
        <w:ind w:left="800" w:hanging="800"/>
        <w:rPr>
          <w:lang w:val="en-US"/>
        </w:rPr>
      </w:pPr>
      <w:r w:rsidRPr="002750E9">
        <w:rPr>
          <w:lang w:val="en-US"/>
        </w:rPr>
        <w:t>Kearns CE, Schmidt LA, Glantz SA. (2016) “Sugar Industry and Coronary Heart Disease Research: A Historical Analysis of Internal Industry Documents.” JAMA Internal Medicine. 1; 176 (11):1680-1685. doi: 10.1001/jamainternmed.2016.5394.</w:t>
      </w:r>
    </w:p>
    <w:p w14:paraId="30354FE7" w14:textId="77777777" w:rsidR="002750E9" w:rsidRDefault="002750E9" w:rsidP="00C67F59">
      <w:pPr>
        <w:widowControl w:val="0"/>
        <w:ind w:left="800" w:hanging="800"/>
        <w:rPr>
          <w:lang w:val="en-US"/>
        </w:rPr>
      </w:pPr>
    </w:p>
    <w:p w14:paraId="0D848254" w14:textId="670FDD7F" w:rsidR="00C67F59" w:rsidRDefault="00BF263C" w:rsidP="00C67F59">
      <w:pPr>
        <w:widowControl w:val="0"/>
        <w:ind w:left="800" w:hanging="800"/>
        <w:rPr>
          <w:lang w:val="en-US"/>
        </w:rPr>
      </w:pPr>
      <w:r>
        <w:rPr>
          <w:lang w:val="en-US"/>
        </w:rPr>
        <w:t>Kelly, Susan E. "Public Bioethics and Publics: Consensus, B</w:t>
      </w:r>
      <w:r w:rsidR="00C67F59">
        <w:rPr>
          <w:lang w:val="en-US"/>
        </w:rPr>
        <w:t>oundari</w:t>
      </w:r>
      <w:r>
        <w:rPr>
          <w:lang w:val="en-US"/>
        </w:rPr>
        <w:t>es, and Participation in Biomedical Science P</w:t>
      </w:r>
      <w:r w:rsidR="00C67F59">
        <w:rPr>
          <w:lang w:val="en-US"/>
        </w:rPr>
        <w:t xml:space="preserve">olicy." </w:t>
      </w:r>
      <w:r w:rsidR="00C67F59">
        <w:rPr>
          <w:i/>
          <w:iCs/>
          <w:lang w:val="en-US"/>
        </w:rPr>
        <w:t>Science, Technology, &amp; Human Values</w:t>
      </w:r>
      <w:r w:rsidR="00C67F59">
        <w:rPr>
          <w:lang w:val="en-US"/>
        </w:rPr>
        <w:t xml:space="preserve"> 28.3 (2003): 339-364. </w:t>
      </w:r>
    </w:p>
    <w:p w14:paraId="2F887934" w14:textId="77777777" w:rsidR="00EB5E76" w:rsidRDefault="001C745B" w:rsidP="00C67F59">
      <w:pPr>
        <w:widowControl w:val="0"/>
        <w:ind w:left="800" w:hanging="800"/>
      </w:pPr>
      <w:r w:rsidRPr="001C745B">
        <w:t xml:space="preserve"> </w:t>
      </w:r>
    </w:p>
    <w:p w14:paraId="4263225D" w14:textId="77777777" w:rsidR="00C67F59" w:rsidRDefault="00C67F59" w:rsidP="003F0D66">
      <w:pPr>
        <w:widowControl w:val="0"/>
        <w:ind w:left="800" w:hanging="800"/>
      </w:pPr>
      <w:r w:rsidRPr="00C67F59">
        <w:t>Khoja, L, L Horsley, A Heesters, J D Machin, C Mitchell, AR C</w:t>
      </w:r>
      <w:r w:rsidR="00BF263C">
        <w:t>lamp, GC Jayson, J Hasan “Does Clinical Trial Participation Improve Outcomes in Patients with O</w:t>
      </w:r>
      <w:r w:rsidRPr="00C67F59">
        <w:t xml:space="preserve">varian </w:t>
      </w:r>
      <w:r w:rsidR="00BF263C">
        <w:t>C</w:t>
      </w:r>
      <w:r w:rsidRPr="00C67F59">
        <w:t xml:space="preserve">ancer?” </w:t>
      </w:r>
      <w:r w:rsidRPr="009A594F">
        <w:rPr>
          <w:i/>
        </w:rPr>
        <w:t>European Society for Medical Oncology Open</w:t>
      </w:r>
      <w:r w:rsidRPr="00C67F59">
        <w:t>. April 2016. Online: http://esmoopen.bmj.com/content/esmoopen/1/4/e000057.full.pdf.</w:t>
      </w:r>
    </w:p>
    <w:p w14:paraId="702A1DED" w14:textId="77777777" w:rsidR="00EB5E76" w:rsidRDefault="00EB5E76" w:rsidP="003F0D66">
      <w:pPr>
        <w:widowControl w:val="0"/>
        <w:ind w:left="800" w:hanging="800"/>
      </w:pPr>
    </w:p>
    <w:p w14:paraId="1ACB0CA1" w14:textId="77777777" w:rsidR="00732542" w:rsidRDefault="00F55528" w:rsidP="003F0D66">
      <w:pPr>
        <w:widowControl w:val="0"/>
        <w:ind w:left="800" w:hanging="800"/>
      </w:pPr>
      <w:r>
        <w:t>Kipnis, K</w:t>
      </w:r>
      <w:r w:rsidR="00732542">
        <w:t xml:space="preserve">. The Certified Clinical Ethics Consultant. </w:t>
      </w:r>
      <w:r w:rsidR="00732542" w:rsidRPr="00732542">
        <w:rPr>
          <w:i/>
        </w:rPr>
        <w:t>HEC Forum</w:t>
      </w:r>
      <w:r w:rsidR="00E91DA1">
        <w:t>, 21.3</w:t>
      </w:r>
      <w:r w:rsidR="00732542">
        <w:t xml:space="preserve"> </w:t>
      </w:r>
      <w:r w:rsidR="00E91DA1">
        <w:t xml:space="preserve">(2009): </w:t>
      </w:r>
      <w:r w:rsidR="00732542">
        <w:t>249-261</w:t>
      </w:r>
      <w:r w:rsidR="00E91DA1">
        <w:t>.</w:t>
      </w:r>
      <w:r w:rsidR="00732542">
        <w:t xml:space="preserve"> </w:t>
      </w:r>
    </w:p>
    <w:p w14:paraId="7AB035F4" w14:textId="77777777" w:rsidR="00EB5E76" w:rsidRDefault="00EB5E76" w:rsidP="003F0D66">
      <w:pPr>
        <w:widowControl w:val="0"/>
        <w:ind w:left="800" w:hanging="800"/>
      </w:pPr>
    </w:p>
    <w:p w14:paraId="5512DE0E" w14:textId="77777777" w:rsidR="00732542" w:rsidRDefault="00BF1E25" w:rsidP="00BF263C">
      <w:pPr>
        <w:widowControl w:val="0"/>
        <w:ind w:left="800" w:hanging="800"/>
      </w:pPr>
      <w:r>
        <w:t>Kirby, J. and C. Simpson.</w:t>
      </w:r>
      <w:r w:rsidR="00BF263C">
        <w:t xml:space="preserve"> A D</w:t>
      </w:r>
      <w:r w:rsidR="00732542">
        <w:t>el</w:t>
      </w:r>
      <w:r w:rsidR="00BF263C">
        <w:t>iberative Engagement Methodology for Exploring P</w:t>
      </w:r>
      <w:r w:rsidR="00732542">
        <w:t xml:space="preserve">rofessionalization. </w:t>
      </w:r>
      <w:r w:rsidR="00732542" w:rsidRPr="001F59F0">
        <w:rPr>
          <w:i/>
        </w:rPr>
        <w:t>HEC Forum</w:t>
      </w:r>
      <w:r>
        <w:t xml:space="preserve"> 24.3 (2012)</w:t>
      </w:r>
      <w:r w:rsidR="00B54E2B">
        <w:t>: 18-201</w:t>
      </w:r>
      <w:r w:rsidR="00BF263C">
        <w:t>.</w:t>
      </w:r>
    </w:p>
    <w:p w14:paraId="4FDDA836" w14:textId="77777777" w:rsidR="00EB5E76" w:rsidRDefault="00EB5E76" w:rsidP="003F0D66">
      <w:pPr>
        <w:widowControl w:val="0"/>
        <w:ind w:left="800" w:hanging="800"/>
      </w:pPr>
    </w:p>
    <w:p w14:paraId="058AF364" w14:textId="77777777" w:rsidR="00BA4A04" w:rsidRDefault="006A73A5" w:rsidP="003F0D66">
      <w:pPr>
        <w:widowControl w:val="0"/>
        <w:ind w:left="800" w:hanging="800"/>
        <w:rPr>
          <w:lang w:val="en-US"/>
        </w:rPr>
      </w:pPr>
      <w:r>
        <w:rPr>
          <w:lang w:val="en-US"/>
        </w:rPr>
        <w:t xml:space="preserve">Koch, Tom. </w:t>
      </w:r>
      <w:r w:rsidR="00BF263C">
        <w:rPr>
          <w:i/>
          <w:iCs/>
          <w:lang w:val="en-US"/>
        </w:rPr>
        <w:t>Thieves of Virtue: When Bioethics Stole M</w:t>
      </w:r>
      <w:r>
        <w:rPr>
          <w:i/>
          <w:iCs/>
          <w:lang w:val="en-US"/>
        </w:rPr>
        <w:t>edicine</w:t>
      </w:r>
      <w:r>
        <w:rPr>
          <w:lang w:val="en-US"/>
        </w:rPr>
        <w:t>. Cambridge, Mass.: MIT Press, 2012.</w:t>
      </w:r>
    </w:p>
    <w:p w14:paraId="3EA7F9A7" w14:textId="77777777" w:rsidR="00BA4A04" w:rsidRDefault="00BA4A04" w:rsidP="003F0D66">
      <w:pPr>
        <w:widowControl w:val="0"/>
        <w:ind w:left="800" w:hanging="800"/>
        <w:rPr>
          <w:lang w:val="en-US"/>
        </w:rPr>
      </w:pPr>
    </w:p>
    <w:p w14:paraId="4D214998" w14:textId="77777777" w:rsidR="00BA4A04" w:rsidRPr="00BA4A04" w:rsidRDefault="00BA4A04" w:rsidP="00BA4A04">
      <w:pPr>
        <w:widowControl w:val="0"/>
        <w:ind w:left="800" w:hanging="800"/>
        <w:rPr>
          <w:lang w:val="en-US"/>
        </w:rPr>
      </w:pPr>
      <w:r>
        <w:rPr>
          <w:lang w:val="en-US"/>
        </w:rPr>
        <w:t xml:space="preserve">Koch, T., and S. Jones. "The Ethical Professional as Endangered Person: Blog Notes on Doctor-Patient Relationships." </w:t>
      </w:r>
      <w:r>
        <w:rPr>
          <w:i/>
          <w:iCs/>
          <w:lang w:val="en-US"/>
        </w:rPr>
        <w:t>Journal of Medical Ethics</w:t>
      </w:r>
      <w:r>
        <w:rPr>
          <w:lang w:val="en-US"/>
        </w:rPr>
        <w:t xml:space="preserve"> 36.6 (2010): 371-374.</w:t>
      </w:r>
    </w:p>
    <w:p w14:paraId="11112277" w14:textId="77777777" w:rsidR="00EB5E76" w:rsidRDefault="006A73A5" w:rsidP="003F0D66">
      <w:pPr>
        <w:widowControl w:val="0"/>
        <w:ind w:left="800" w:hanging="800"/>
        <w:rPr>
          <w:lang w:val="en-US"/>
        </w:rPr>
      </w:pPr>
      <w:r>
        <w:rPr>
          <w:lang w:val="en-US"/>
        </w:rPr>
        <w:t xml:space="preserve"> </w:t>
      </w:r>
    </w:p>
    <w:p w14:paraId="5963E554" w14:textId="02F7363F" w:rsidR="008402D3" w:rsidRDefault="006A73A5" w:rsidP="003F0D66">
      <w:pPr>
        <w:widowControl w:val="0"/>
        <w:ind w:left="800" w:hanging="800"/>
        <w:rPr>
          <w:lang w:val="en-US"/>
        </w:rPr>
      </w:pPr>
      <w:r>
        <w:rPr>
          <w:lang w:val="en-US"/>
        </w:rPr>
        <w:t xml:space="preserve">Kottow, M. "Ethical Quandaries Posing As Conflicts Of Interest." </w:t>
      </w:r>
      <w:r>
        <w:rPr>
          <w:i/>
          <w:iCs/>
          <w:lang w:val="en-US"/>
        </w:rPr>
        <w:t xml:space="preserve">Journal of </w:t>
      </w:r>
      <w:r>
        <w:rPr>
          <w:i/>
          <w:iCs/>
          <w:lang w:val="en-US"/>
        </w:rPr>
        <w:lastRenderedPageBreak/>
        <w:t>Medical Ethics</w:t>
      </w:r>
      <w:r>
        <w:rPr>
          <w:lang w:val="en-US"/>
        </w:rPr>
        <w:t xml:space="preserve"> 36.6 (2010): 328-332.</w:t>
      </w:r>
    </w:p>
    <w:p w14:paraId="60E8C6A1" w14:textId="0FCAFFAB" w:rsidR="005C41E9" w:rsidRDefault="005C41E9" w:rsidP="003F0D66">
      <w:pPr>
        <w:widowControl w:val="0"/>
        <w:ind w:left="800" w:hanging="800"/>
        <w:rPr>
          <w:lang w:val="en-US"/>
        </w:rPr>
      </w:pPr>
    </w:p>
    <w:p w14:paraId="1C7746B7" w14:textId="77777777" w:rsidR="002750E9" w:rsidRDefault="005C41E9" w:rsidP="005C41E9">
      <w:pPr>
        <w:rPr>
          <w:lang w:val="en-US"/>
        </w:rPr>
      </w:pPr>
      <w:r>
        <w:rPr>
          <w:lang w:val="en-US"/>
        </w:rPr>
        <w:t xml:space="preserve">Korenman, </w:t>
      </w:r>
      <w:r w:rsidRPr="005C41E9">
        <w:rPr>
          <w:lang w:val="en-US"/>
        </w:rPr>
        <w:t xml:space="preserve">Stanley G. </w:t>
      </w:r>
      <w:r>
        <w:rPr>
          <w:lang w:val="en-US"/>
        </w:rPr>
        <w:t>“</w:t>
      </w:r>
      <w:r w:rsidRPr="005C41E9">
        <w:rPr>
          <w:lang w:val="en-US"/>
        </w:rPr>
        <w:t>Teaching the Responsible Conduct of Research in</w:t>
      </w:r>
    </w:p>
    <w:p w14:paraId="79BEF3E5" w14:textId="3F2A6FB0" w:rsidR="005C41E9" w:rsidRDefault="002750E9" w:rsidP="002750E9">
      <w:pPr>
        <w:rPr>
          <w:lang w:val="en-US"/>
        </w:rPr>
      </w:pPr>
      <w:r>
        <w:rPr>
          <w:lang w:val="en-US"/>
        </w:rPr>
        <w:tab/>
      </w:r>
      <w:r w:rsidR="005C41E9" w:rsidRPr="005C41E9">
        <w:rPr>
          <w:lang w:val="en-US"/>
        </w:rPr>
        <w:t>Humans, Chapter 4. Conflicts of Interest (COI) – Definitions.</w:t>
      </w:r>
      <w:r>
        <w:rPr>
          <w:lang w:val="en-US"/>
        </w:rPr>
        <w:t>”</w:t>
      </w:r>
      <w:r w:rsidR="005C41E9" w:rsidRPr="005C41E9">
        <w:rPr>
          <w:lang w:val="en-US"/>
        </w:rPr>
        <w:t xml:space="preserve"> Online:  </w:t>
      </w:r>
      <w:r>
        <w:rPr>
          <w:lang w:val="en-US"/>
        </w:rPr>
        <w:tab/>
      </w:r>
      <w:r w:rsidR="005C41E9" w:rsidRPr="005C41E9">
        <w:rPr>
          <w:lang w:val="en-US"/>
        </w:rPr>
        <w:t xml:space="preserve">http://ori.hhs.gov/education/products/ucla/chapter4/default.htm. Accessed: </w:t>
      </w:r>
      <w:r>
        <w:rPr>
          <w:lang w:val="en-US"/>
        </w:rPr>
        <w:tab/>
      </w:r>
      <w:r w:rsidR="005C41E9" w:rsidRPr="005C41E9">
        <w:rPr>
          <w:lang w:val="en-US"/>
        </w:rPr>
        <w:t>July 10, 2015.</w:t>
      </w:r>
    </w:p>
    <w:p w14:paraId="6861A6E6" w14:textId="77777777" w:rsidR="00EB5E76" w:rsidRDefault="006A73A5" w:rsidP="003F0D66">
      <w:pPr>
        <w:widowControl w:val="0"/>
        <w:ind w:left="800" w:hanging="800"/>
        <w:rPr>
          <w:lang w:val="en-US"/>
        </w:rPr>
      </w:pPr>
      <w:r>
        <w:rPr>
          <w:lang w:val="en-US"/>
        </w:rPr>
        <w:t xml:space="preserve"> </w:t>
      </w:r>
    </w:p>
    <w:p w14:paraId="054CA82A" w14:textId="77777777" w:rsidR="008402D3" w:rsidRDefault="008402D3" w:rsidP="008402D3">
      <w:pPr>
        <w:widowControl w:val="0"/>
        <w:ind w:left="800" w:hanging="800"/>
      </w:pPr>
      <w:r>
        <w:t>Kuczewski, M. Two Models of Ethica</w:t>
      </w:r>
      <w:r w:rsidR="00BF263C">
        <w:t>l Consensus, or What Good is a B</w:t>
      </w:r>
      <w:r>
        <w:t xml:space="preserve">unch of Bioethicists? </w:t>
      </w:r>
      <w:r w:rsidRPr="00732542">
        <w:rPr>
          <w:i/>
        </w:rPr>
        <w:t>Cambridge Quarterly of Healthcare Ethics</w:t>
      </w:r>
      <w:r>
        <w:t>, 11 (2002): 27-36.</w:t>
      </w:r>
    </w:p>
    <w:p w14:paraId="68DC083B" w14:textId="77777777" w:rsidR="008402D3" w:rsidRPr="008402D3" w:rsidRDefault="008402D3" w:rsidP="008402D3">
      <w:pPr>
        <w:widowControl w:val="0"/>
        <w:ind w:left="800" w:hanging="800"/>
      </w:pPr>
    </w:p>
    <w:p w14:paraId="5C34A961" w14:textId="77777777" w:rsidR="008402D3" w:rsidRDefault="008402D3" w:rsidP="008402D3">
      <w:pPr>
        <w:widowControl w:val="0"/>
        <w:rPr>
          <w:rFonts w:eastAsia="Arial Unicode MS" w:hAnsi="Arial Unicode MS" w:cs="Arial Unicode MS"/>
          <w:szCs w:val="20"/>
        </w:rPr>
      </w:pPr>
      <w:r w:rsidRPr="008402D3">
        <w:rPr>
          <w:rFonts w:eastAsia="Arial Unicode MS" w:hAnsi="Arial Unicode MS" w:cs="Arial Unicode MS"/>
          <w:szCs w:val="20"/>
        </w:rPr>
        <w:t>Kuczewski, Mark G. Reconceiving the Family: The Process of Consent in</w:t>
      </w:r>
    </w:p>
    <w:p w14:paraId="6B52E84B" w14:textId="77777777" w:rsidR="008402D3" w:rsidRPr="008402D3" w:rsidRDefault="008402D3" w:rsidP="008402D3">
      <w:pPr>
        <w:widowControl w:val="0"/>
        <w:ind w:firstLine="720"/>
        <w:rPr>
          <w:sz w:val="32"/>
        </w:rPr>
      </w:pPr>
      <w:r w:rsidRPr="008402D3">
        <w:rPr>
          <w:rFonts w:eastAsia="Arial Unicode MS" w:hAnsi="Arial Unicode MS" w:cs="Arial Unicode MS"/>
          <w:szCs w:val="20"/>
        </w:rPr>
        <w:t xml:space="preserve">Medical Decisionmaking. </w:t>
      </w:r>
      <w:r w:rsidRPr="008402D3">
        <w:rPr>
          <w:rFonts w:eastAsia="Arial Unicode MS" w:hAnsi="Arial Unicode MS" w:cs="Arial Unicode MS"/>
          <w:i/>
          <w:iCs/>
          <w:szCs w:val="20"/>
        </w:rPr>
        <w:t>The Hastings Center Report</w:t>
      </w:r>
      <w:r w:rsidR="00B54E2B">
        <w:rPr>
          <w:rFonts w:eastAsia="Arial Unicode MS" w:hAnsi="Arial Unicode MS" w:cs="Arial Unicode MS"/>
          <w:i/>
          <w:iCs/>
          <w:szCs w:val="20"/>
        </w:rPr>
        <w:t xml:space="preserve"> </w:t>
      </w:r>
      <w:r w:rsidR="00B54E2B" w:rsidRPr="00B54E2B">
        <w:rPr>
          <w:rFonts w:eastAsia="Arial Unicode MS" w:hAnsi="Arial Unicode MS" w:cs="Arial Unicode MS"/>
          <w:iCs/>
          <w:szCs w:val="20"/>
        </w:rPr>
        <w:t>26.2</w:t>
      </w:r>
      <w:r w:rsidR="00B54E2B">
        <w:rPr>
          <w:rFonts w:eastAsia="Arial Unicode MS" w:hAnsi="Arial Unicode MS" w:cs="Arial Unicode MS"/>
          <w:szCs w:val="20"/>
        </w:rPr>
        <w:t xml:space="preserve"> (</w:t>
      </w:r>
      <w:r w:rsidRPr="008402D3">
        <w:rPr>
          <w:rFonts w:eastAsia="Arial Unicode MS" w:hAnsi="Arial Unicode MS" w:cs="Arial Unicode MS"/>
          <w:szCs w:val="20"/>
        </w:rPr>
        <w:t>1996</w:t>
      </w:r>
      <w:r w:rsidR="00B54E2B">
        <w:rPr>
          <w:rFonts w:eastAsia="Arial Unicode MS" w:hAnsi="Arial Unicode MS" w:cs="Arial Unicode MS"/>
          <w:szCs w:val="20"/>
        </w:rPr>
        <w:t>): 30-37</w:t>
      </w:r>
      <w:r w:rsidRPr="008402D3">
        <w:rPr>
          <w:rFonts w:eastAsia="Arial Unicode MS" w:hAnsi="Arial Unicode MS" w:cs="Arial Unicode MS"/>
          <w:szCs w:val="20"/>
        </w:rPr>
        <w:t>.</w:t>
      </w:r>
    </w:p>
    <w:p w14:paraId="66A68153" w14:textId="77777777" w:rsidR="00A226F2" w:rsidRDefault="00A226F2" w:rsidP="00B54E2B">
      <w:pPr>
        <w:widowControl w:val="0"/>
      </w:pPr>
    </w:p>
    <w:p w14:paraId="1CBC4591" w14:textId="77777777" w:rsidR="001C745B" w:rsidRDefault="001C745B" w:rsidP="003F0D66">
      <w:pPr>
        <w:widowControl w:val="0"/>
        <w:ind w:left="800" w:hanging="800"/>
      </w:pPr>
      <w:r>
        <w:t xml:space="preserve">LaPuma J., Schiedermayer D. (1994). </w:t>
      </w:r>
      <w:r w:rsidRPr="001C745B">
        <w:rPr>
          <w:i/>
        </w:rPr>
        <w:t>Ethics Consultation: A Practical Guide</w:t>
      </w:r>
      <w:r>
        <w:t>. Boston, MA: Jones and Bartlett Publishers.</w:t>
      </w:r>
    </w:p>
    <w:p w14:paraId="7DC57B2D" w14:textId="77777777" w:rsidR="00811969" w:rsidRDefault="00811969" w:rsidP="003F0D66">
      <w:pPr>
        <w:widowControl w:val="0"/>
        <w:ind w:left="800" w:hanging="800"/>
      </w:pPr>
    </w:p>
    <w:p w14:paraId="1C1373B2" w14:textId="77777777" w:rsidR="00811969" w:rsidRDefault="00BF263C" w:rsidP="00811969">
      <w:pPr>
        <w:widowControl w:val="0"/>
        <w:ind w:left="800" w:hanging="800"/>
        <w:rPr>
          <w:lang w:val="en-US"/>
        </w:rPr>
      </w:pPr>
      <w:r>
        <w:rPr>
          <w:lang w:val="en-US"/>
        </w:rPr>
        <w:t>Latham, Stephen R. "The (Low) Life of Ethics C</w:t>
      </w:r>
      <w:r w:rsidR="00811969">
        <w:rPr>
          <w:lang w:val="en-US"/>
        </w:rPr>
        <w:t xml:space="preserve">odes." </w:t>
      </w:r>
      <w:r w:rsidR="00811969">
        <w:rPr>
          <w:i/>
          <w:iCs/>
          <w:lang w:val="en-US"/>
        </w:rPr>
        <w:t>The American Journal of Bioethics</w:t>
      </w:r>
      <w:r w:rsidR="00811969">
        <w:rPr>
          <w:lang w:val="en-US"/>
        </w:rPr>
        <w:t xml:space="preserve"> 5.5 (2005): 46-48. </w:t>
      </w:r>
    </w:p>
    <w:p w14:paraId="314A415E" w14:textId="77777777" w:rsidR="00811969" w:rsidRDefault="00811969" w:rsidP="00811969">
      <w:pPr>
        <w:widowControl w:val="0"/>
        <w:ind w:left="800" w:hanging="800"/>
        <w:rPr>
          <w:lang w:val="en-US"/>
        </w:rPr>
      </w:pPr>
    </w:p>
    <w:p w14:paraId="08BA747D" w14:textId="77777777" w:rsidR="00811969" w:rsidRDefault="00811969" w:rsidP="00811969">
      <w:pPr>
        <w:widowControl w:val="0"/>
        <w:ind w:left="800" w:hanging="800"/>
        <w:rPr>
          <w:lang w:val="en-US"/>
        </w:rPr>
      </w:pPr>
      <w:r>
        <w:rPr>
          <w:lang w:val="en-US"/>
        </w:rPr>
        <w:t>Lemmens, T. and Benjamin Freedman. “</w:t>
      </w:r>
      <w:r w:rsidRPr="00AB2313">
        <w:rPr>
          <w:lang w:val="en-US"/>
        </w:rPr>
        <w:t>Ethics Review for Sale? Conflict of Interest and Commercial Research Review Boards</w:t>
      </w:r>
      <w:r>
        <w:rPr>
          <w:lang w:val="en-US"/>
        </w:rPr>
        <w:t xml:space="preserve">.” </w:t>
      </w:r>
      <w:r w:rsidRPr="001C745B">
        <w:rPr>
          <w:i/>
          <w:lang w:val="en-US"/>
        </w:rPr>
        <w:t>Milbank Quarterly</w:t>
      </w:r>
      <w:r>
        <w:t xml:space="preserve"> </w:t>
      </w:r>
      <w:r>
        <w:rPr>
          <w:lang w:val="en-US"/>
        </w:rPr>
        <w:t xml:space="preserve">78. 4 (2000): </w:t>
      </w:r>
      <w:r w:rsidRPr="00C673D7">
        <w:rPr>
          <w:lang w:val="en-US"/>
        </w:rPr>
        <w:t>547-584</w:t>
      </w:r>
      <w:r>
        <w:rPr>
          <w:lang w:val="en-US"/>
        </w:rPr>
        <w:t>.</w:t>
      </w:r>
    </w:p>
    <w:p w14:paraId="7413A1DE" w14:textId="77777777" w:rsidR="00EE7DBE" w:rsidRDefault="00EE7DBE" w:rsidP="00811969">
      <w:pPr>
        <w:widowControl w:val="0"/>
        <w:ind w:left="800" w:hanging="800"/>
        <w:rPr>
          <w:lang w:val="en-US"/>
        </w:rPr>
      </w:pPr>
    </w:p>
    <w:p w14:paraId="3035C646" w14:textId="77777777" w:rsidR="00EE7DBE" w:rsidRDefault="00BF263C" w:rsidP="00EE7DBE">
      <w:pPr>
        <w:widowControl w:val="0"/>
        <w:ind w:left="800" w:hanging="800"/>
      </w:pPr>
      <w:r>
        <w:t>Lenzer, J. When is a Point of View a Conflict of I</w:t>
      </w:r>
      <w:r w:rsidR="00EE7DBE">
        <w:t xml:space="preserve">nterest? </w:t>
      </w:r>
      <w:r w:rsidR="00EE7DBE" w:rsidRPr="001C745B">
        <w:rPr>
          <w:i/>
        </w:rPr>
        <w:t>British Medical Journal</w:t>
      </w:r>
      <w:r w:rsidR="00EE7DBE">
        <w:t xml:space="preserve"> 2016; 355:i6194.</w:t>
      </w:r>
    </w:p>
    <w:p w14:paraId="1A043264" w14:textId="77777777" w:rsidR="00EE7DBE" w:rsidRDefault="00EE7DBE" w:rsidP="00EE7DBE">
      <w:pPr>
        <w:widowControl w:val="0"/>
        <w:ind w:left="800" w:hanging="800"/>
      </w:pPr>
    </w:p>
    <w:p w14:paraId="2E0DDA54" w14:textId="77777777" w:rsidR="00EE7DBE" w:rsidRDefault="00EE7DBE" w:rsidP="00EE7DBE">
      <w:pPr>
        <w:widowControl w:val="0"/>
        <w:ind w:left="800" w:hanging="800"/>
        <w:rPr>
          <w:lang w:val="en-US"/>
        </w:rPr>
      </w:pPr>
      <w:r w:rsidRPr="00C71E51">
        <w:rPr>
          <w:lang w:val="en-US"/>
        </w:rPr>
        <w:t>Li, Madeline</w:t>
      </w:r>
      <w:r>
        <w:rPr>
          <w:lang w:val="en-US"/>
        </w:rPr>
        <w:t>,</w:t>
      </w:r>
      <w:r w:rsidRPr="00C71E51">
        <w:rPr>
          <w:lang w:val="en-US"/>
        </w:rPr>
        <w:t xml:space="preserve"> Sarah Watt, Marnie Escaf, Michael Gardam, Ann Heesters, Gerald O’Leary, Gary Rodin. "Medical Assistance in Dying — Implementing a Hospital-Based Program in Canada</w:t>
      </w:r>
      <w:r>
        <w:rPr>
          <w:lang w:val="en-US"/>
        </w:rPr>
        <w:t>.”</w:t>
      </w:r>
      <w:r w:rsidRPr="00C71E51">
        <w:rPr>
          <w:lang w:val="en-US"/>
        </w:rPr>
        <w:t xml:space="preserve"> </w:t>
      </w:r>
      <w:r w:rsidRPr="00C71E51">
        <w:rPr>
          <w:i/>
          <w:lang w:val="en-US"/>
        </w:rPr>
        <w:t>New England Journal of Medicine</w:t>
      </w:r>
      <w:r>
        <w:rPr>
          <w:lang w:val="en-US"/>
        </w:rPr>
        <w:t xml:space="preserve"> 376. 21</w:t>
      </w:r>
      <w:r w:rsidRPr="00C71E51">
        <w:rPr>
          <w:lang w:val="en-US"/>
        </w:rPr>
        <w:t xml:space="preserve"> </w:t>
      </w:r>
      <w:r>
        <w:rPr>
          <w:lang w:val="en-US"/>
        </w:rPr>
        <w:t>(</w:t>
      </w:r>
      <w:r w:rsidRPr="00C71E51">
        <w:rPr>
          <w:lang w:val="en-US"/>
        </w:rPr>
        <w:t>2017</w:t>
      </w:r>
      <w:r>
        <w:rPr>
          <w:lang w:val="en-US"/>
        </w:rPr>
        <w:t>): 2082-2088.</w:t>
      </w:r>
    </w:p>
    <w:p w14:paraId="647DA49A" w14:textId="77777777" w:rsidR="00EE7DBE" w:rsidRDefault="00EE7DBE" w:rsidP="00EE7DBE">
      <w:pPr>
        <w:widowControl w:val="0"/>
        <w:ind w:left="800" w:hanging="800"/>
      </w:pPr>
    </w:p>
    <w:p w14:paraId="43208ADA" w14:textId="77777777" w:rsidR="00811969" w:rsidRDefault="00BF263C" w:rsidP="00811969">
      <w:pPr>
        <w:widowControl w:val="0"/>
        <w:ind w:left="800" w:hanging="800"/>
      </w:pPr>
      <w:r>
        <w:rPr>
          <w:lang w:val="en-US"/>
        </w:rPr>
        <w:t>Lilje, C. "Ethics Consultation: A Dangerous, Antidemocratic C</w:t>
      </w:r>
      <w:r w:rsidR="00811969">
        <w:rPr>
          <w:lang w:val="en-US"/>
        </w:rPr>
        <w:t xml:space="preserve">harlatanry?" </w:t>
      </w:r>
      <w:r w:rsidR="00811969">
        <w:rPr>
          <w:i/>
          <w:iCs/>
          <w:lang w:val="en-US"/>
        </w:rPr>
        <w:t>Cambridge Quarterly of Healthcare Ethics</w:t>
      </w:r>
      <w:r w:rsidR="00811969">
        <w:rPr>
          <w:lang w:val="en-US"/>
        </w:rPr>
        <w:t xml:space="preserve"> 2.4 (1993): 438-42.</w:t>
      </w:r>
    </w:p>
    <w:p w14:paraId="527B9E0B" w14:textId="77777777" w:rsidR="00811969" w:rsidRDefault="00811969" w:rsidP="00811969">
      <w:pPr>
        <w:widowControl w:val="0"/>
        <w:ind w:left="800" w:hanging="800"/>
        <w:rPr>
          <w:lang w:val="en-US"/>
        </w:rPr>
      </w:pPr>
    </w:p>
    <w:p w14:paraId="6B6AE575" w14:textId="77777777" w:rsidR="00811969" w:rsidRDefault="00811969" w:rsidP="00811969">
      <w:pPr>
        <w:widowControl w:val="0"/>
        <w:ind w:left="800" w:hanging="800"/>
        <w:rPr>
          <w:lang w:val="en-US"/>
        </w:rPr>
      </w:pPr>
      <w:r>
        <w:rPr>
          <w:lang w:val="en-US"/>
        </w:rPr>
        <w:t xml:space="preserve">Lindemann, Hilde, Marian Verkerk, and Margaret Urban Walker. </w:t>
      </w:r>
      <w:r w:rsidR="00BF263C">
        <w:rPr>
          <w:i/>
          <w:iCs/>
          <w:lang w:val="en-US"/>
        </w:rPr>
        <w:t>Naturalized Bioethics: Toward Responsible K</w:t>
      </w:r>
      <w:r>
        <w:rPr>
          <w:i/>
          <w:iCs/>
          <w:lang w:val="en-US"/>
        </w:rPr>
        <w:t>no</w:t>
      </w:r>
      <w:r w:rsidR="00BF263C">
        <w:rPr>
          <w:i/>
          <w:iCs/>
          <w:lang w:val="en-US"/>
        </w:rPr>
        <w:t>wing and P</w:t>
      </w:r>
      <w:r>
        <w:rPr>
          <w:i/>
          <w:iCs/>
          <w:lang w:val="en-US"/>
        </w:rPr>
        <w:t>ractice</w:t>
      </w:r>
      <w:r>
        <w:rPr>
          <w:lang w:val="en-US"/>
        </w:rPr>
        <w:t xml:space="preserve">. Cambridge: Cambridge University Press, 2009. </w:t>
      </w:r>
    </w:p>
    <w:p w14:paraId="7EF1B50F" w14:textId="77777777" w:rsidR="00811969" w:rsidRDefault="00811969" w:rsidP="00811969">
      <w:pPr>
        <w:widowControl w:val="0"/>
        <w:ind w:left="800" w:hanging="800"/>
        <w:rPr>
          <w:lang w:val="en-US"/>
        </w:rPr>
      </w:pPr>
    </w:p>
    <w:p w14:paraId="19BBEE86" w14:textId="77777777" w:rsidR="00811969" w:rsidRPr="002F490A" w:rsidRDefault="00811969" w:rsidP="00811969">
      <w:pPr>
        <w:widowControl w:val="0"/>
        <w:ind w:left="800" w:hanging="800"/>
        <w:rPr>
          <w:lang w:val="en-US"/>
        </w:rPr>
      </w:pPr>
      <w:r>
        <w:rPr>
          <w:lang w:val="en-US"/>
        </w:rPr>
        <w:t xml:space="preserve">Lo, Bernard, Marilyn J. Field, Eds. </w:t>
      </w:r>
      <w:r w:rsidRPr="001F59F0">
        <w:rPr>
          <w:i/>
          <w:lang w:val="en-US"/>
        </w:rPr>
        <w:t>Conflict of Interest in Medical Research, Education, and Practice.</w:t>
      </w:r>
      <w:r>
        <w:rPr>
          <w:lang w:val="en-US"/>
        </w:rPr>
        <w:t xml:space="preserve"> IOM, 2009, Online: </w:t>
      </w:r>
      <w:hyperlink r:id="rId23" w:history="1">
        <w:r w:rsidRPr="000535AC">
          <w:rPr>
            <w:rStyle w:val="Hyperlink"/>
            <w:u w:val="none"/>
            <w:lang w:val="en-US"/>
          </w:rPr>
          <w:t>https://www.ncbi.nlm.nih.gov/books/NBK22942/pdf/Bookshelf_NBK22942.pdf</w:t>
        </w:r>
      </w:hyperlink>
      <w:r>
        <w:rPr>
          <w:lang w:val="en-US"/>
        </w:rPr>
        <w:t>. Accessed: July 8, 2017.</w:t>
      </w:r>
    </w:p>
    <w:p w14:paraId="59BA37B6" w14:textId="77777777" w:rsidR="00811969" w:rsidRDefault="00811969" w:rsidP="00EE7DBE">
      <w:pPr>
        <w:widowControl w:val="0"/>
      </w:pPr>
    </w:p>
    <w:p w14:paraId="57F82153" w14:textId="77777777" w:rsidR="00EE7DBE" w:rsidRPr="00811969" w:rsidRDefault="00EE7DBE" w:rsidP="00811969">
      <w:pPr>
        <w:widowControl w:val="0"/>
        <w:ind w:left="800" w:hanging="800"/>
        <w:rPr>
          <w:lang w:val="en-US"/>
        </w:rPr>
      </w:pPr>
      <w:r>
        <w:rPr>
          <w:lang w:val="en-US"/>
        </w:rPr>
        <w:lastRenderedPageBreak/>
        <w:t xml:space="preserve">London, Alex John. “Artificial Intelligence and Black-Box Medical Decisions: </w:t>
      </w:r>
      <w:r w:rsidR="00BF263C">
        <w:rPr>
          <w:lang w:val="en-US"/>
        </w:rPr>
        <w:t>Accuracy V</w:t>
      </w:r>
      <w:r w:rsidRPr="00B870B9">
        <w:rPr>
          <w:lang w:val="en-US"/>
        </w:rPr>
        <w:t>ersus Explainability</w:t>
      </w:r>
      <w:r>
        <w:rPr>
          <w:lang w:val="en-US"/>
        </w:rPr>
        <w:t xml:space="preserve">.” </w:t>
      </w:r>
      <w:r w:rsidRPr="00EE7DBE">
        <w:rPr>
          <w:i/>
          <w:lang w:val="en-US"/>
        </w:rPr>
        <w:t>Hastings Center Report</w:t>
      </w:r>
      <w:r>
        <w:rPr>
          <w:lang w:val="en-US"/>
        </w:rPr>
        <w:t xml:space="preserve"> </w:t>
      </w:r>
      <w:r w:rsidR="003F3243">
        <w:rPr>
          <w:lang w:val="en-US"/>
        </w:rPr>
        <w:t xml:space="preserve">49.1 </w:t>
      </w:r>
      <w:r>
        <w:rPr>
          <w:lang w:val="en-US"/>
        </w:rPr>
        <w:t xml:space="preserve">(2019): 15-21. </w:t>
      </w:r>
    </w:p>
    <w:p w14:paraId="65234FAE" w14:textId="77777777" w:rsidR="00511BB0" w:rsidRDefault="00511BB0" w:rsidP="003F0D66">
      <w:pPr>
        <w:widowControl w:val="0"/>
        <w:ind w:left="800" w:hanging="800"/>
      </w:pPr>
    </w:p>
    <w:p w14:paraId="16B4C0F2" w14:textId="77777777" w:rsidR="00511BB0" w:rsidRPr="00511BB0" w:rsidRDefault="00511BB0" w:rsidP="00511BB0">
      <w:pPr>
        <w:widowControl w:val="0"/>
        <w:ind w:left="800" w:hanging="800"/>
      </w:pPr>
      <w:r>
        <w:t>Mackie, J.L.</w:t>
      </w:r>
      <w:r w:rsidRPr="00511BB0">
        <w:t xml:space="preserve"> “The Third Theory of Law,” </w:t>
      </w:r>
      <w:r w:rsidRPr="00511BB0">
        <w:rPr>
          <w:i/>
        </w:rPr>
        <w:t>Philosophy and Public Affairs</w:t>
      </w:r>
      <w:r>
        <w:rPr>
          <w:i/>
        </w:rPr>
        <w:t xml:space="preserve">. </w:t>
      </w:r>
      <w:r w:rsidRPr="00511BB0">
        <w:t>7.1 (1977): 3-16.</w:t>
      </w:r>
    </w:p>
    <w:p w14:paraId="2F5ACB9F" w14:textId="77777777" w:rsidR="00EB5E76" w:rsidRDefault="00EB5E76" w:rsidP="003F0D66">
      <w:pPr>
        <w:widowControl w:val="0"/>
        <w:ind w:left="800" w:hanging="800"/>
      </w:pPr>
    </w:p>
    <w:p w14:paraId="49426615" w14:textId="77777777" w:rsidR="001C745B" w:rsidRDefault="001C745B" w:rsidP="003F0D66">
      <w:pPr>
        <w:widowControl w:val="0"/>
        <w:ind w:left="800" w:hanging="800"/>
      </w:pPr>
      <w:r>
        <w:t>Macrae, S., Chidwick, P., Berry, S., Hebert, P., Zlotnik Shaul, R., Fai</w:t>
      </w:r>
      <w:r w:rsidR="00BF263C">
        <w:t>th, K. and Singer, P. Clinical Bioethics Integration, Sustainability, and A</w:t>
      </w:r>
      <w:r>
        <w:t xml:space="preserve">ccountability: the Hub and Spoke Strategy. </w:t>
      </w:r>
      <w:r w:rsidRPr="001C745B">
        <w:rPr>
          <w:i/>
        </w:rPr>
        <w:t>Journal of Medical Ethics</w:t>
      </w:r>
      <w:r w:rsidR="00AA3488">
        <w:rPr>
          <w:i/>
        </w:rPr>
        <w:t xml:space="preserve"> </w:t>
      </w:r>
      <w:r w:rsidR="00AA3488">
        <w:t>(2005).</w:t>
      </w:r>
      <w:r>
        <w:t xml:space="preserve"> 256-261.</w:t>
      </w:r>
    </w:p>
    <w:p w14:paraId="13530CDF" w14:textId="77777777" w:rsidR="00811969" w:rsidRDefault="00811969" w:rsidP="00163F5F">
      <w:pPr>
        <w:widowControl w:val="0"/>
      </w:pPr>
    </w:p>
    <w:p w14:paraId="7421874C" w14:textId="77777777" w:rsidR="00A94891" w:rsidRDefault="00A94891" w:rsidP="003F0D66">
      <w:pPr>
        <w:widowControl w:val="0"/>
        <w:ind w:left="800" w:hanging="800"/>
      </w:pPr>
      <w:r w:rsidRPr="00A94891">
        <w:t>McCoy</w:t>
      </w:r>
      <w:r>
        <w:t>,</w:t>
      </w:r>
      <w:r w:rsidRPr="00A94891">
        <w:t xml:space="preserve"> </w:t>
      </w:r>
      <w:r>
        <w:t xml:space="preserve">Matthew S and Ezekiel J. Emanuel. </w:t>
      </w:r>
      <w:r w:rsidR="00163F5F">
        <w:t>“Why There Are No ‘Potential’ Conflicts of I</w:t>
      </w:r>
      <w:r w:rsidRPr="00A94891">
        <w:t>nterest.”</w:t>
      </w:r>
      <w:r>
        <w:t xml:space="preserve"> </w:t>
      </w:r>
      <w:r w:rsidRPr="001749C0">
        <w:rPr>
          <w:i/>
        </w:rPr>
        <w:t>Journal of the American Medical Association</w:t>
      </w:r>
      <w:r>
        <w:t xml:space="preserve"> </w:t>
      </w:r>
      <w:r w:rsidR="001749C0">
        <w:t>317.17 (2017): 1721-1722.</w:t>
      </w:r>
      <w:r w:rsidRPr="00A94891">
        <w:t xml:space="preserve"> </w:t>
      </w:r>
    </w:p>
    <w:p w14:paraId="455068F8" w14:textId="77777777" w:rsidR="00EB5E76" w:rsidRDefault="00EB5E76" w:rsidP="003F0D66">
      <w:pPr>
        <w:widowControl w:val="0"/>
        <w:ind w:left="800" w:hanging="800"/>
        <w:rPr>
          <w:lang w:val="en-US"/>
        </w:rPr>
      </w:pPr>
    </w:p>
    <w:p w14:paraId="38D7BD66" w14:textId="77777777" w:rsidR="00C32E2A" w:rsidRDefault="00163F5F" w:rsidP="003F0D66">
      <w:pPr>
        <w:widowControl w:val="0"/>
        <w:ind w:left="800" w:hanging="800"/>
        <w:rPr>
          <w:lang w:val="en-US"/>
        </w:rPr>
      </w:pPr>
      <w:r>
        <w:rPr>
          <w:lang w:val="en-US"/>
        </w:rPr>
        <w:t>McCullough, Laurence. "Towards a Professional Ethics Model of C</w:t>
      </w:r>
      <w:r w:rsidR="006A73A5">
        <w:rPr>
          <w:lang w:val="en-US"/>
        </w:rPr>
        <w:t>l</w:t>
      </w:r>
      <w:r>
        <w:rPr>
          <w:lang w:val="en-US"/>
        </w:rPr>
        <w:t>inical E</w:t>
      </w:r>
      <w:r w:rsidR="006A73A5">
        <w:rPr>
          <w:lang w:val="en-US"/>
        </w:rPr>
        <w:t xml:space="preserve">thics." </w:t>
      </w:r>
      <w:r w:rsidR="006A73A5">
        <w:rPr>
          <w:i/>
          <w:iCs/>
          <w:lang w:val="en-US"/>
        </w:rPr>
        <w:t>Journal of Medicine and Philosophy</w:t>
      </w:r>
      <w:r w:rsidR="006A73A5">
        <w:rPr>
          <w:lang w:val="en-US"/>
        </w:rPr>
        <w:t xml:space="preserve"> 32.1 (2007): 1-6. </w:t>
      </w:r>
    </w:p>
    <w:p w14:paraId="4789BA96" w14:textId="77777777" w:rsidR="00163F5F" w:rsidRDefault="00163F5F" w:rsidP="003F0D66">
      <w:pPr>
        <w:widowControl w:val="0"/>
        <w:ind w:left="800" w:hanging="800"/>
        <w:rPr>
          <w:lang w:val="en-US"/>
        </w:rPr>
      </w:pPr>
    </w:p>
    <w:p w14:paraId="09C7DFBE" w14:textId="77777777" w:rsidR="00163F5F" w:rsidRDefault="00163F5F" w:rsidP="00163F5F">
      <w:pPr>
        <w:widowControl w:val="0"/>
        <w:ind w:left="800" w:hanging="800"/>
      </w:pPr>
      <w:r>
        <w:t xml:space="preserve">McGee, S. (2011). Ideology and Politicization in Public Bioethics. </w:t>
      </w:r>
      <w:r w:rsidRPr="001C745B">
        <w:rPr>
          <w:i/>
        </w:rPr>
        <w:t>Cambridge Quarterly of Healthcare Ethics</w:t>
      </w:r>
      <w:r>
        <w:t>, 20.1 (2011): 73-84.</w:t>
      </w:r>
    </w:p>
    <w:p w14:paraId="53DF27EE" w14:textId="1E62FC0E" w:rsidR="00EB5E76" w:rsidRDefault="00EB5E76" w:rsidP="003F0D66">
      <w:pPr>
        <w:widowControl w:val="0"/>
        <w:ind w:left="800" w:hanging="800"/>
        <w:rPr>
          <w:lang w:val="en-US"/>
        </w:rPr>
      </w:pPr>
    </w:p>
    <w:p w14:paraId="330BC03C" w14:textId="77777777" w:rsidR="00C32E2A" w:rsidRDefault="00163F5F" w:rsidP="003F0D66">
      <w:pPr>
        <w:widowControl w:val="0"/>
        <w:ind w:left="800" w:hanging="800"/>
      </w:pPr>
      <w:r>
        <w:rPr>
          <w:lang w:val="en-US"/>
        </w:rPr>
        <w:t>Melley, Christopher D. "The Philosopher in the Health Care S</w:t>
      </w:r>
      <w:r w:rsidR="006A73A5">
        <w:rPr>
          <w:lang w:val="en-US"/>
        </w:rPr>
        <w:t xml:space="preserve">etting: Objections </w:t>
      </w:r>
      <w:r>
        <w:rPr>
          <w:lang w:val="en-US"/>
        </w:rPr>
        <w:t>and R</w:t>
      </w:r>
      <w:r w:rsidR="006A73A5">
        <w:rPr>
          <w:lang w:val="en-US"/>
        </w:rPr>
        <w:t xml:space="preserve">eplies." </w:t>
      </w:r>
      <w:r w:rsidR="006A73A5">
        <w:rPr>
          <w:i/>
          <w:iCs/>
          <w:lang w:val="en-US"/>
        </w:rPr>
        <w:t>HEC Forum</w:t>
      </w:r>
      <w:r w:rsidR="006A73A5">
        <w:rPr>
          <w:lang w:val="en-US"/>
        </w:rPr>
        <w:t xml:space="preserve"> 4.4 (1992): 237-254. </w:t>
      </w:r>
    </w:p>
    <w:p w14:paraId="64DA916A" w14:textId="77777777" w:rsidR="00EB5E76" w:rsidRDefault="00EB5E76" w:rsidP="003F0D66">
      <w:pPr>
        <w:widowControl w:val="0"/>
        <w:ind w:left="800" w:hanging="800"/>
        <w:rPr>
          <w:lang w:val="en-US"/>
        </w:rPr>
      </w:pPr>
    </w:p>
    <w:p w14:paraId="3009849F" w14:textId="77777777" w:rsidR="00C32E2A" w:rsidRDefault="006A73A5" w:rsidP="003F0D66">
      <w:pPr>
        <w:widowControl w:val="0"/>
        <w:ind w:left="800" w:hanging="800"/>
      </w:pPr>
      <w:r>
        <w:rPr>
          <w:lang w:val="en-US"/>
        </w:rPr>
        <w:t>Mer</w:t>
      </w:r>
      <w:r w:rsidR="00163F5F">
        <w:rPr>
          <w:lang w:val="en-US"/>
        </w:rPr>
        <w:t>rill, Thomas W. "Distracted by Religion: On Doing B</w:t>
      </w:r>
      <w:r>
        <w:rPr>
          <w:lang w:val="en-US"/>
        </w:rPr>
        <w:t>ioeth</w:t>
      </w:r>
      <w:r w:rsidR="00163F5F">
        <w:rPr>
          <w:lang w:val="en-US"/>
        </w:rPr>
        <w:t>ics in P</w:t>
      </w:r>
      <w:r>
        <w:rPr>
          <w:lang w:val="en-US"/>
        </w:rPr>
        <w:t xml:space="preserve">ublic." </w:t>
      </w:r>
      <w:r>
        <w:rPr>
          <w:i/>
          <w:iCs/>
          <w:lang w:val="en-US"/>
        </w:rPr>
        <w:t>Perspectives on Political Science</w:t>
      </w:r>
      <w:r>
        <w:rPr>
          <w:lang w:val="en-US"/>
        </w:rPr>
        <w:t xml:space="preserve"> 38.2 (2009): 107-112. </w:t>
      </w:r>
    </w:p>
    <w:p w14:paraId="78319DED" w14:textId="77777777" w:rsidR="00EB5E76" w:rsidRDefault="00EB5E76" w:rsidP="003F0D66">
      <w:pPr>
        <w:widowControl w:val="0"/>
        <w:ind w:left="800" w:hanging="800"/>
        <w:rPr>
          <w:lang w:val="en-US"/>
        </w:rPr>
      </w:pPr>
    </w:p>
    <w:p w14:paraId="228488F5" w14:textId="77777777" w:rsidR="00EB5E76" w:rsidRDefault="006A73A5" w:rsidP="00A226F2">
      <w:pPr>
        <w:widowControl w:val="0"/>
        <w:ind w:left="800" w:hanging="800"/>
        <w:rPr>
          <w:lang w:val="en-US"/>
        </w:rPr>
      </w:pPr>
      <w:r>
        <w:rPr>
          <w:lang w:val="en-US"/>
        </w:rPr>
        <w:t>Merry, Michael</w:t>
      </w:r>
      <w:r w:rsidR="00163F5F">
        <w:rPr>
          <w:lang w:val="en-US"/>
        </w:rPr>
        <w:t xml:space="preserve"> S. "Libertarian Bioethics and R</w:t>
      </w:r>
      <w:r>
        <w:rPr>
          <w:lang w:val="en-US"/>
        </w:rPr>
        <w:t xml:space="preserve">eligion: The case of H. Tristram Engelhardt, Jr." </w:t>
      </w:r>
      <w:r>
        <w:rPr>
          <w:i/>
          <w:iCs/>
          <w:lang w:val="en-US"/>
        </w:rPr>
        <w:t>Bioethics</w:t>
      </w:r>
      <w:r w:rsidR="002A10C2">
        <w:rPr>
          <w:lang w:val="en-US"/>
        </w:rPr>
        <w:t xml:space="preserve"> 18.5 (2004): 387-407. </w:t>
      </w:r>
    </w:p>
    <w:p w14:paraId="5186DC38" w14:textId="77777777" w:rsidR="00A226F2" w:rsidRDefault="00A226F2" w:rsidP="00A226F2">
      <w:pPr>
        <w:widowControl w:val="0"/>
        <w:ind w:left="800" w:hanging="800"/>
        <w:rPr>
          <w:lang w:val="en-US"/>
        </w:rPr>
      </w:pPr>
    </w:p>
    <w:p w14:paraId="3DBB398B" w14:textId="77777777" w:rsidR="00A226F2" w:rsidRDefault="00C71E51" w:rsidP="00EB5E76">
      <w:pPr>
        <w:widowControl w:val="0"/>
        <w:rPr>
          <w:lang w:val="en-US"/>
        </w:rPr>
      </w:pPr>
      <w:r>
        <w:rPr>
          <w:lang w:val="en-US"/>
        </w:rPr>
        <w:t>Michels, Kevin H. “What Co</w:t>
      </w:r>
      <w:r w:rsidRPr="00C71E51">
        <w:rPr>
          <w:lang w:val="en-US"/>
        </w:rPr>
        <w:t>nflicts Can be Waived? A Unified Understanding of</w:t>
      </w:r>
    </w:p>
    <w:p w14:paraId="529B643C" w14:textId="77777777" w:rsidR="00C71E51" w:rsidRDefault="00C71E51" w:rsidP="00A226F2">
      <w:pPr>
        <w:widowControl w:val="0"/>
        <w:ind w:left="720"/>
        <w:rPr>
          <w:lang w:val="en-US"/>
        </w:rPr>
      </w:pPr>
      <w:r w:rsidRPr="00C71E51">
        <w:rPr>
          <w:lang w:val="en-US"/>
        </w:rPr>
        <w:t xml:space="preserve">Competence and Consent,” </w:t>
      </w:r>
      <w:r w:rsidRPr="001F59F0">
        <w:rPr>
          <w:i/>
          <w:lang w:val="en-US"/>
        </w:rPr>
        <w:t>Rutgers Law Review</w:t>
      </w:r>
      <w:r w:rsidR="008A6D82">
        <w:rPr>
          <w:lang w:val="en-US"/>
        </w:rPr>
        <w:t xml:space="preserve"> 65</w:t>
      </w:r>
      <w:r w:rsidR="00B54E2B">
        <w:rPr>
          <w:lang w:val="en-US"/>
        </w:rPr>
        <w:t>.</w:t>
      </w:r>
      <w:r w:rsidRPr="00C71E51">
        <w:rPr>
          <w:lang w:val="en-US"/>
        </w:rPr>
        <w:t xml:space="preserve">12 (2012): 109-172. </w:t>
      </w:r>
    </w:p>
    <w:p w14:paraId="2E612A5D" w14:textId="77777777" w:rsidR="00EB5E76" w:rsidRDefault="00EB5E76" w:rsidP="003F0D66">
      <w:pPr>
        <w:widowControl w:val="0"/>
        <w:rPr>
          <w:lang w:val="en-US"/>
        </w:rPr>
      </w:pPr>
    </w:p>
    <w:p w14:paraId="60A30015" w14:textId="77777777" w:rsidR="00163F5F" w:rsidRDefault="00163F5F" w:rsidP="00163F5F">
      <w:pPr>
        <w:widowControl w:val="0"/>
        <w:rPr>
          <w:lang w:val="en-US"/>
        </w:rPr>
      </w:pPr>
      <w:r>
        <w:rPr>
          <w:lang w:val="en-US"/>
        </w:rPr>
        <w:t xml:space="preserve">Miller, Franklin G. "The Case for a Code of Ethics for Bioethicists: </w:t>
      </w:r>
    </w:p>
    <w:p w14:paraId="68471EB6" w14:textId="77777777" w:rsidR="00C32E2A" w:rsidRPr="00163F5F" w:rsidRDefault="00163F5F" w:rsidP="00163F5F">
      <w:pPr>
        <w:widowControl w:val="0"/>
        <w:ind w:left="720"/>
        <w:rPr>
          <w:lang w:val="en-US"/>
        </w:rPr>
      </w:pPr>
      <w:r>
        <w:rPr>
          <w:lang w:val="en-US"/>
        </w:rPr>
        <w:t>Some R</w:t>
      </w:r>
      <w:r w:rsidR="006A73A5">
        <w:rPr>
          <w:lang w:val="en-US"/>
        </w:rPr>
        <w:t>easons</w:t>
      </w:r>
      <w:r>
        <w:rPr>
          <w:lang w:val="en-US"/>
        </w:rPr>
        <w:t xml:space="preserve"> </w:t>
      </w:r>
      <w:r w:rsidR="006A73A5">
        <w:rPr>
          <w:lang w:val="en-US"/>
        </w:rPr>
        <w:t xml:space="preserve">for skepticism." </w:t>
      </w:r>
      <w:r w:rsidR="006A73A5">
        <w:rPr>
          <w:i/>
          <w:iCs/>
          <w:lang w:val="en-US"/>
        </w:rPr>
        <w:t>The American Journal of Bioethics</w:t>
      </w:r>
      <w:r w:rsidR="00A226F2">
        <w:rPr>
          <w:lang w:val="en-US"/>
        </w:rPr>
        <w:t xml:space="preserve"> 5.5 (2005): 50-52. </w:t>
      </w:r>
    </w:p>
    <w:p w14:paraId="0B721A57" w14:textId="77777777" w:rsidR="00EB5E76" w:rsidRDefault="00EB5E76" w:rsidP="003F0D66">
      <w:pPr>
        <w:widowControl w:val="0"/>
        <w:ind w:left="800" w:hanging="800"/>
        <w:rPr>
          <w:lang w:val="en-US"/>
        </w:rPr>
      </w:pPr>
    </w:p>
    <w:p w14:paraId="3FBECF12" w14:textId="77777777" w:rsidR="00090108" w:rsidRDefault="006A73A5" w:rsidP="003F0D66">
      <w:pPr>
        <w:widowControl w:val="0"/>
        <w:ind w:left="800" w:hanging="800"/>
        <w:rPr>
          <w:lang w:val="en-US"/>
        </w:rPr>
      </w:pPr>
      <w:r>
        <w:rPr>
          <w:lang w:val="en-US"/>
        </w:rPr>
        <w:t>Miller, J</w:t>
      </w:r>
      <w:r w:rsidR="00163F5F">
        <w:rPr>
          <w:lang w:val="en-US"/>
        </w:rPr>
        <w:t>essica. "A Code of Ethics for Bioethicists: Prospects and P</w:t>
      </w:r>
      <w:r>
        <w:rPr>
          <w:lang w:val="en-US"/>
        </w:rPr>
        <w:t xml:space="preserve">roblems." </w:t>
      </w:r>
      <w:r>
        <w:rPr>
          <w:i/>
          <w:iCs/>
          <w:lang w:val="en-US"/>
        </w:rPr>
        <w:t>The American Journal of Bioethics</w:t>
      </w:r>
      <w:r w:rsidR="00A226F2">
        <w:rPr>
          <w:lang w:val="en-US"/>
        </w:rPr>
        <w:t xml:space="preserve"> 5.5 (2005): 66-68.</w:t>
      </w:r>
    </w:p>
    <w:p w14:paraId="665C9D7F" w14:textId="77777777" w:rsidR="00EB5E76" w:rsidRDefault="00EB5E76" w:rsidP="003F0D66">
      <w:pPr>
        <w:widowControl w:val="0"/>
        <w:ind w:left="800" w:hanging="800"/>
        <w:rPr>
          <w:lang w:val="en-US"/>
        </w:rPr>
      </w:pPr>
    </w:p>
    <w:p w14:paraId="0A12F88B" w14:textId="77777777" w:rsidR="00C32E2A" w:rsidRDefault="006A73A5" w:rsidP="003F0D66">
      <w:pPr>
        <w:widowControl w:val="0"/>
        <w:ind w:left="800" w:hanging="800"/>
      </w:pPr>
      <w:r>
        <w:rPr>
          <w:lang w:val="en-US"/>
        </w:rPr>
        <w:t xml:space="preserve">Mokwunye, Nneka O., Virginia A. Brown, John J. Lynch, </w:t>
      </w:r>
      <w:r w:rsidR="00163F5F">
        <w:rPr>
          <w:lang w:val="en-US"/>
        </w:rPr>
        <w:t>and Evan G. DeRenzo. "Hiring a Hospital Staff Clinical Ethicist: Creating a F</w:t>
      </w:r>
      <w:r>
        <w:rPr>
          <w:lang w:val="en-US"/>
        </w:rPr>
        <w:t>o</w:t>
      </w:r>
      <w:r w:rsidR="00163F5F">
        <w:rPr>
          <w:lang w:val="en-US"/>
        </w:rPr>
        <w:t>rmalized Behavioral Interview M</w:t>
      </w:r>
      <w:r>
        <w:rPr>
          <w:lang w:val="en-US"/>
        </w:rPr>
        <w:t xml:space="preserve">odel." </w:t>
      </w:r>
      <w:r>
        <w:rPr>
          <w:i/>
          <w:iCs/>
          <w:lang w:val="en-US"/>
        </w:rPr>
        <w:t>HEC Forum</w:t>
      </w:r>
      <w:r w:rsidR="00A226F2">
        <w:rPr>
          <w:lang w:val="en-US"/>
        </w:rPr>
        <w:t xml:space="preserve"> 22.1 (2010): 51-63. </w:t>
      </w:r>
    </w:p>
    <w:p w14:paraId="14D59316" w14:textId="77777777" w:rsidR="00EB5E76" w:rsidRDefault="00EB5E76" w:rsidP="003F0D66">
      <w:pPr>
        <w:widowControl w:val="0"/>
        <w:ind w:left="800" w:hanging="800"/>
        <w:rPr>
          <w:lang w:val="en-US"/>
        </w:rPr>
      </w:pPr>
    </w:p>
    <w:p w14:paraId="60787B5F" w14:textId="1DC5D464" w:rsidR="00C32E2A" w:rsidRDefault="00163F5F" w:rsidP="003F0D66">
      <w:pPr>
        <w:widowControl w:val="0"/>
        <w:ind w:left="800" w:hanging="800"/>
      </w:pPr>
      <w:r>
        <w:rPr>
          <w:lang w:val="en-US"/>
        </w:rPr>
        <w:t>Moreno, Jonathan D. "Ethics Consultation as Moral E</w:t>
      </w:r>
      <w:r w:rsidR="006A73A5">
        <w:rPr>
          <w:lang w:val="en-US"/>
        </w:rPr>
        <w:t xml:space="preserve">ngagement." </w:t>
      </w:r>
      <w:r w:rsidR="006A73A5">
        <w:rPr>
          <w:i/>
          <w:iCs/>
          <w:lang w:val="en-US"/>
        </w:rPr>
        <w:t>Bioethics</w:t>
      </w:r>
      <w:r w:rsidR="00A226F2">
        <w:rPr>
          <w:lang w:val="en-US"/>
        </w:rPr>
        <w:t xml:space="preserve"> 5.1 (1991): 44-56. </w:t>
      </w:r>
    </w:p>
    <w:p w14:paraId="0921D730" w14:textId="77777777" w:rsidR="00A226F2" w:rsidRDefault="00A226F2" w:rsidP="003F0D66">
      <w:pPr>
        <w:widowControl w:val="0"/>
        <w:ind w:left="800" w:hanging="800"/>
        <w:rPr>
          <w:lang w:val="en-US"/>
        </w:rPr>
      </w:pPr>
    </w:p>
    <w:p w14:paraId="72490096" w14:textId="77777777" w:rsidR="00EB5E76" w:rsidRDefault="006A73A5" w:rsidP="003F0D66">
      <w:pPr>
        <w:widowControl w:val="0"/>
        <w:ind w:left="800" w:hanging="800"/>
        <w:rPr>
          <w:lang w:val="en-US"/>
        </w:rPr>
      </w:pPr>
      <w:r>
        <w:rPr>
          <w:lang w:val="en-US"/>
        </w:rPr>
        <w:t xml:space="preserve">Moreno, Jonathan D. "The End of the Great Bioethics Compromise." </w:t>
      </w:r>
      <w:r>
        <w:rPr>
          <w:i/>
          <w:iCs/>
          <w:lang w:val="en-US"/>
        </w:rPr>
        <w:t>Hastings Center Report</w:t>
      </w:r>
      <w:r>
        <w:rPr>
          <w:lang w:val="en-US"/>
        </w:rPr>
        <w:t xml:space="preserve"> 35.1 (2005): 14-15. </w:t>
      </w:r>
    </w:p>
    <w:p w14:paraId="75A86483" w14:textId="77777777" w:rsidR="00A226F2" w:rsidRDefault="00A226F2" w:rsidP="003F0D66">
      <w:pPr>
        <w:widowControl w:val="0"/>
        <w:ind w:left="800" w:hanging="800"/>
        <w:rPr>
          <w:lang w:val="en-US"/>
        </w:rPr>
      </w:pPr>
    </w:p>
    <w:p w14:paraId="5824F6B1" w14:textId="77777777" w:rsidR="00C32E2A" w:rsidRDefault="00163F5F" w:rsidP="003F0D66">
      <w:pPr>
        <w:widowControl w:val="0"/>
        <w:ind w:left="800" w:hanging="800"/>
      </w:pPr>
      <w:r>
        <w:rPr>
          <w:lang w:val="en-US"/>
        </w:rPr>
        <w:t>Morin, Karine. "Code of Ethics for Bioethicists: Medicine's Lessons Worth H</w:t>
      </w:r>
      <w:r w:rsidR="006A73A5">
        <w:rPr>
          <w:lang w:val="en-US"/>
        </w:rPr>
        <w:t xml:space="preserve">eeding." </w:t>
      </w:r>
      <w:r w:rsidR="006A73A5">
        <w:rPr>
          <w:i/>
          <w:iCs/>
          <w:lang w:val="en-US"/>
        </w:rPr>
        <w:t>The American Journal of Bioethics</w:t>
      </w:r>
      <w:r w:rsidR="00A226F2">
        <w:rPr>
          <w:lang w:val="en-US"/>
        </w:rPr>
        <w:t xml:space="preserve"> 5.5 (2005): 60-62.</w:t>
      </w:r>
    </w:p>
    <w:p w14:paraId="1D18BCF2" w14:textId="77777777" w:rsidR="00EB5E76" w:rsidRDefault="00EB5E76" w:rsidP="003F0D66">
      <w:pPr>
        <w:widowControl w:val="0"/>
        <w:ind w:left="800" w:hanging="800"/>
        <w:rPr>
          <w:lang w:val="en-US"/>
        </w:rPr>
      </w:pPr>
    </w:p>
    <w:p w14:paraId="59153ED1" w14:textId="77777777" w:rsidR="00C32E2A" w:rsidRDefault="006A73A5" w:rsidP="003F0D66">
      <w:pPr>
        <w:widowControl w:val="0"/>
        <w:ind w:left="800" w:hanging="800"/>
        <w:rPr>
          <w:lang w:val="en-US"/>
        </w:rPr>
      </w:pPr>
      <w:r>
        <w:rPr>
          <w:lang w:val="en-US"/>
        </w:rPr>
        <w:t xml:space="preserve">Muller, Jessica H. "Anthropology, Bioethics, and Medicine: A Provocative Trilogy." </w:t>
      </w:r>
      <w:r>
        <w:rPr>
          <w:i/>
          <w:iCs/>
          <w:lang w:val="en-US"/>
        </w:rPr>
        <w:t>Medical Anthropology Quarterly</w:t>
      </w:r>
      <w:r w:rsidR="00A226F2">
        <w:rPr>
          <w:lang w:val="en-US"/>
        </w:rPr>
        <w:t xml:space="preserve"> 8.4 (1994): 448-467.</w:t>
      </w:r>
    </w:p>
    <w:p w14:paraId="1F17CCE4" w14:textId="77777777" w:rsidR="003060AD" w:rsidRDefault="003060AD" w:rsidP="003F0D66">
      <w:pPr>
        <w:widowControl w:val="0"/>
        <w:ind w:left="800" w:hanging="800"/>
        <w:rPr>
          <w:lang w:val="en-US"/>
        </w:rPr>
      </w:pPr>
    </w:p>
    <w:p w14:paraId="6F1C0F0E" w14:textId="697C33B7" w:rsidR="003060AD" w:rsidRDefault="003060AD" w:rsidP="002C13B1">
      <w:pPr>
        <w:widowControl w:val="0"/>
        <w:ind w:left="800" w:hanging="800"/>
      </w:pPr>
      <w:r w:rsidRPr="003060AD">
        <w:rPr>
          <w:lang w:val="en-US"/>
        </w:rPr>
        <w:t>National Commission for the Protection of Human Subjects of Biomedical and Behavioral Research</w:t>
      </w:r>
      <w:r>
        <w:rPr>
          <w:lang w:val="en-US"/>
        </w:rPr>
        <w:t xml:space="preserve">. </w:t>
      </w:r>
      <w:r w:rsidRPr="002C13B1">
        <w:rPr>
          <w:i/>
          <w:lang w:val="en-US"/>
        </w:rPr>
        <w:t>The Belmont Report</w:t>
      </w:r>
      <w:r w:rsidR="002C13B1" w:rsidRPr="002C13B1">
        <w:rPr>
          <w:i/>
          <w:lang w:val="en-US"/>
        </w:rPr>
        <w:t xml:space="preserve">: Ethical Principles and Guidelines for the Protection of Human Subjects of Research </w:t>
      </w:r>
      <w:r w:rsidR="002C13B1">
        <w:rPr>
          <w:lang w:val="en-US"/>
        </w:rPr>
        <w:t xml:space="preserve">(1979). Online: </w:t>
      </w:r>
      <w:hyperlink r:id="rId24" w:history="1">
        <w:r w:rsidR="002C13B1">
          <w:rPr>
            <w:rStyle w:val="Hyperlink"/>
          </w:rPr>
          <w:t>https://www.hhs.gov/ohrp/sites/default/files/the-belmont-report-508c_FINAL.pdf</w:t>
        </w:r>
      </w:hyperlink>
      <w:r w:rsidR="002C13B1">
        <w:t>. Accessed 2 June 2019.</w:t>
      </w:r>
    </w:p>
    <w:p w14:paraId="5CD8F328" w14:textId="4C1C22F3" w:rsidR="00090108" w:rsidRDefault="00090108" w:rsidP="002C13B1">
      <w:pPr>
        <w:widowControl w:val="0"/>
        <w:ind w:left="800" w:hanging="800"/>
      </w:pPr>
    </w:p>
    <w:p w14:paraId="503609A0" w14:textId="1733C995" w:rsidR="00090108" w:rsidRDefault="00090108" w:rsidP="00090108">
      <w:pPr>
        <w:widowControl w:val="0"/>
        <w:ind w:left="800" w:hanging="800"/>
      </w:pPr>
      <w:r>
        <w:t xml:space="preserve">Ontario </w:t>
      </w:r>
      <w:r>
        <w:rPr>
          <w:lang w:val="en-US"/>
        </w:rPr>
        <w:t>Ministry of Health and Long Term Care.</w:t>
      </w:r>
      <w:r w:rsidRPr="00B124B1">
        <w:rPr>
          <w:sz w:val="20"/>
          <w:szCs w:val="20"/>
        </w:rPr>
        <w:t xml:space="preserve"> </w:t>
      </w:r>
      <w:r w:rsidRPr="00942900">
        <w:rPr>
          <w:szCs w:val="20"/>
        </w:rPr>
        <w:t>“Patient Based Funding Overview</w:t>
      </w:r>
      <w:r>
        <w:rPr>
          <w:szCs w:val="20"/>
        </w:rPr>
        <w:t>.</w:t>
      </w:r>
      <w:r w:rsidRPr="00942900">
        <w:rPr>
          <w:szCs w:val="20"/>
        </w:rPr>
        <w:t>”</w:t>
      </w:r>
      <w:r>
        <w:rPr>
          <w:szCs w:val="20"/>
        </w:rPr>
        <w:t xml:space="preserve"> Online:</w:t>
      </w:r>
      <w:r w:rsidRPr="00942900">
        <w:rPr>
          <w:szCs w:val="20"/>
        </w:rPr>
        <w:t xml:space="preserve"> </w:t>
      </w:r>
      <w:hyperlink r:id="rId25" w:history="1">
        <w:r w:rsidRPr="00942900">
          <w:rPr>
            <w:rStyle w:val="Hyperlink"/>
            <w:szCs w:val="20"/>
          </w:rPr>
          <w:t>http://www.health.gov.on.ca/en/pro/programs/ecfa/docs/ecfa_funding_pres.pdf</w:t>
        </w:r>
      </w:hyperlink>
      <w:r w:rsidRPr="00942900">
        <w:rPr>
          <w:szCs w:val="20"/>
        </w:rPr>
        <w:t>.</w:t>
      </w:r>
      <w:r w:rsidRPr="00942900">
        <w:rPr>
          <w:sz w:val="32"/>
          <w:lang w:val="en-US"/>
        </w:rPr>
        <w:t xml:space="preserve">  </w:t>
      </w:r>
    </w:p>
    <w:p w14:paraId="227A9030" w14:textId="77777777" w:rsidR="00C45091" w:rsidRDefault="00C45091" w:rsidP="00942900">
      <w:pPr>
        <w:widowControl w:val="0"/>
        <w:rPr>
          <w:color w:val="auto"/>
          <w:bdr w:val="none" w:sz="0" w:space="0" w:color="auto"/>
          <w:lang w:eastAsia="en-GB"/>
        </w:rPr>
      </w:pPr>
    </w:p>
    <w:p w14:paraId="52FA3DE7" w14:textId="77777777" w:rsidR="00FA59DC" w:rsidRDefault="002F33A0" w:rsidP="00C45091">
      <w:pPr>
        <w:widowControl w:val="0"/>
        <w:ind w:left="800" w:hanging="800"/>
        <w:rPr>
          <w:bCs/>
          <w:color w:val="111111"/>
          <w:kern w:val="36"/>
          <w:bdr w:val="none" w:sz="0" w:space="0" w:color="auto"/>
          <w:lang w:eastAsia="en-GB"/>
        </w:rPr>
      </w:pPr>
      <w:hyperlink r:id="rId26" w:history="1">
        <w:r w:rsidR="00C45091" w:rsidRPr="002A10C2">
          <w:rPr>
            <w:color w:val="auto"/>
            <w:u w:val="single"/>
            <w:bdr w:val="none" w:sz="0" w:space="0" w:color="auto"/>
            <w:lang w:eastAsia="en-GB"/>
          </w:rPr>
          <w:t>Osagie K. Obasogie</w:t>
        </w:r>
      </w:hyperlink>
      <w:r w:rsidR="00C45091" w:rsidRPr="002A10C2">
        <w:rPr>
          <w:color w:val="auto"/>
          <w:bdr w:val="none" w:sz="0" w:space="0" w:color="auto"/>
          <w:lang w:eastAsia="en-GB"/>
        </w:rPr>
        <w:t>, </w:t>
      </w:r>
      <w:hyperlink r:id="rId27" w:history="1">
        <w:r w:rsidR="00C45091" w:rsidRPr="002A10C2">
          <w:rPr>
            <w:color w:val="auto"/>
            <w:u w:val="single"/>
            <w:bdr w:val="none" w:sz="0" w:space="0" w:color="auto"/>
            <w:lang w:eastAsia="en-GB"/>
          </w:rPr>
          <w:t>Marcy Darnovsky</w:t>
        </w:r>
      </w:hyperlink>
      <w:r w:rsidR="00C45091" w:rsidRPr="002A10C2">
        <w:rPr>
          <w:color w:val="auto"/>
          <w:bdr w:val="none" w:sz="0" w:space="0" w:color="auto"/>
          <w:lang w:eastAsia="en-GB"/>
        </w:rPr>
        <w:t> (</w:t>
      </w:r>
      <w:r w:rsidR="00C45091">
        <w:rPr>
          <w:color w:val="111111"/>
          <w:bdr w:val="none" w:sz="0" w:space="0" w:color="auto"/>
          <w:lang w:eastAsia="en-GB"/>
        </w:rPr>
        <w:t>E</w:t>
      </w:r>
      <w:r w:rsidR="00C45091" w:rsidRPr="00F44223">
        <w:rPr>
          <w:color w:val="111111"/>
          <w:bdr w:val="none" w:sz="0" w:space="0" w:color="auto"/>
          <w:lang w:eastAsia="en-GB"/>
        </w:rPr>
        <w:t>ds</w:t>
      </w:r>
      <w:r w:rsidR="00C45091">
        <w:rPr>
          <w:color w:val="111111"/>
          <w:bdr w:val="none" w:sz="0" w:space="0" w:color="auto"/>
          <w:lang w:eastAsia="en-GB"/>
        </w:rPr>
        <w:t xml:space="preserve">.). </w:t>
      </w:r>
      <w:r w:rsidR="00C45091" w:rsidRPr="003A6E1E">
        <w:rPr>
          <w:bCs/>
          <w:i/>
          <w:color w:val="111111"/>
          <w:kern w:val="36"/>
          <w:bdr w:val="none" w:sz="0" w:space="0" w:color="auto"/>
          <w:lang w:eastAsia="en-GB"/>
        </w:rPr>
        <w:t>Beyond Bioethics: Toward a New Biopolitics</w:t>
      </w:r>
      <w:r w:rsidR="00C45091">
        <w:rPr>
          <w:bCs/>
          <w:i/>
          <w:color w:val="111111"/>
          <w:kern w:val="36"/>
          <w:bdr w:val="none" w:sz="0" w:space="0" w:color="auto"/>
          <w:lang w:eastAsia="en-GB"/>
        </w:rPr>
        <w:t>.</w:t>
      </w:r>
      <w:r w:rsidR="00C45091" w:rsidRPr="003A6E1E">
        <w:rPr>
          <w:bCs/>
          <w:color w:val="111111"/>
          <w:kern w:val="36"/>
          <w:bdr w:val="none" w:sz="0" w:space="0" w:color="auto"/>
          <w:lang w:eastAsia="en-GB"/>
        </w:rPr>
        <w:t> </w:t>
      </w:r>
      <w:r w:rsidR="00C45091">
        <w:rPr>
          <w:bCs/>
          <w:color w:val="111111"/>
          <w:kern w:val="36"/>
          <w:bdr w:val="none" w:sz="0" w:space="0" w:color="auto"/>
          <w:lang w:eastAsia="en-GB"/>
        </w:rPr>
        <w:t>Oakland: University of California Press (2018).</w:t>
      </w:r>
    </w:p>
    <w:p w14:paraId="6525B729" w14:textId="77777777" w:rsidR="00C45091" w:rsidRDefault="00C45091" w:rsidP="00C45091">
      <w:pPr>
        <w:widowControl w:val="0"/>
        <w:ind w:left="800" w:hanging="800"/>
        <w:rPr>
          <w:bCs/>
          <w:color w:val="111111"/>
          <w:kern w:val="36"/>
          <w:bdr w:val="none" w:sz="0" w:space="0" w:color="auto"/>
          <w:lang w:eastAsia="en-GB"/>
        </w:rPr>
      </w:pPr>
      <w:r>
        <w:rPr>
          <w:bCs/>
          <w:color w:val="111111"/>
          <w:kern w:val="36"/>
          <w:bdr w:val="none" w:sz="0" w:space="0" w:color="auto"/>
          <w:lang w:eastAsia="en-GB"/>
        </w:rPr>
        <w:t xml:space="preserve"> </w:t>
      </w:r>
    </w:p>
    <w:p w14:paraId="72F07D7A" w14:textId="77777777" w:rsidR="00FA59DC" w:rsidRPr="00FA59DC" w:rsidRDefault="00FA59DC" w:rsidP="00FA59DC">
      <w:pPr>
        <w:widowControl w:val="0"/>
        <w:ind w:left="800" w:hanging="800"/>
        <w:rPr>
          <w:bCs/>
          <w:color w:val="111111"/>
          <w:kern w:val="36"/>
          <w:bdr w:val="none" w:sz="0" w:space="0" w:color="auto"/>
          <w:lang w:eastAsia="en-GB"/>
        </w:rPr>
      </w:pPr>
      <w:r>
        <w:rPr>
          <w:bCs/>
          <w:color w:val="111111"/>
          <w:kern w:val="36"/>
          <w:bdr w:val="none" w:sz="0" w:space="0" w:color="auto"/>
          <w:lang w:eastAsia="en-GB"/>
        </w:rPr>
        <w:t>Quillen, Ed.</w:t>
      </w:r>
      <w:r w:rsidRPr="00FA59DC">
        <w:rPr>
          <w:bCs/>
          <w:color w:val="111111"/>
          <w:kern w:val="36"/>
          <w:bdr w:val="none" w:sz="0" w:space="0" w:color="auto"/>
          <w:lang w:eastAsia="en-GB"/>
        </w:rPr>
        <w:t xml:space="preserve"> “Origin of the Laundry List.” </w:t>
      </w:r>
      <w:r w:rsidR="00FC5218" w:rsidRPr="00FC5218">
        <w:rPr>
          <w:bCs/>
          <w:i/>
          <w:color w:val="111111"/>
          <w:kern w:val="36"/>
          <w:bdr w:val="none" w:sz="0" w:space="0" w:color="auto"/>
          <w:lang w:eastAsia="en-GB"/>
        </w:rPr>
        <w:t>The Denver</w:t>
      </w:r>
      <w:r w:rsidR="00FC5218">
        <w:rPr>
          <w:bCs/>
          <w:color w:val="111111"/>
          <w:kern w:val="36"/>
          <w:bdr w:val="none" w:sz="0" w:space="0" w:color="auto"/>
          <w:lang w:eastAsia="en-GB"/>
        </w:rPr>
        <w:t xml:space="preserve"> </w:t>
      </w:r>
      <w:r w:rsidR="00FC5218" w:rsidRPr="00FC5218">
        <w:rPr>
          <w:bCs/>
          <w:i/>
          <w:color w:val="111111"/>
          <w:kern w:val="36"/>
          <w:bdr w:val="none" w:sz="0" w:space="0" w:color="auto"/>
          <w:lang w:eastAsia="en-GB"/>
        </w:rPr>
        <w:t>Post</w:t>
      </w:r>
      <w:r w:rsidRPr="00FA59DC">
        <w:t xml:space="preserve"> </w:t>
      </w:r>
      <w:r>
        <w:t>(</w:t>
      </w:r>
      <w:r>
        <w:rPr>
          <w:bCs/>
          <w:color w:val="111111"/>
          <w:kern w:val="36"/>
          <w:bdr w:val="none" w:sz="0" w:space="0" w:color="auto"/>
          <w:lang w:eastAsia="en-GB"/>
        </w:rPr>
        <w:t>June 5, 2008). O</w:t>
      </w:r>
      <w:r w:rsidRPr="00FA59DC">
        <w:rPr>
          <w:bCs/>
          <w:color w:val="111111"/>
          <w:kern w:val="36"/>
          <w:bdr w:val="none" w:sz="0" w:space="0" w:color="auto"/>
          <w:lang w:eastAsia="en-GB"/>
        </w:rPr>
        <w:t>nline</w:t>
      </w:r>
      <w:r>
        <w:rPr>
          <w:bCs/>
          <w:color w:val="111111"/>
          <w:kern w:val="36"/>
          <w:bdr w:val="none" w:sz="0" w:space="0" w:color="auto"/>
          <w:lang w:eastAsia="en-GB"/>
        </w:rPr>
        <w:t xml:space="preserve">: </w:t>
      </w:r>
      <w:hyperlink r:id="rId28" w:history="1">
        <w:r w:rsidRPr="009C30D0">
          <w:rPr>
            <w:rStyle w:val="Hyperlink"/>
            <w:bCs/>
            <w:kern w:val="36"/>
            <w:bdr w:val="none" w:sz="0" w:space="0" w:color="auto"/>
            <w:lang w:eastAsia="en-GB"/>
          </w:rPr>
          <w:t>http://www.denverpost.com/2008/06/05/origin-of-the-laundry-list/</w:t>
        </w:r>
      </w:hyperlink>
      <w:r>
        <w:rPr>
          <w:bCs/>
          <w:color w:val="111111"/>
          <w:kern w:val="36"/>
          <w:bdr w:val="none" w:sz="0" w:space="0" w:color="auto"/>
          <w:lang w:eastAsia="en-GB"/>
        </w:rPr>
        <w:t xml:space="preserve"> </w:t>
      </w:r>
      <w:r w:rsidRPr="00FA59DC">
        <w:rPr>
          <w:bCs/>
          <w:color w:val="111111"/>
          <w:kern w:val="36"/>
          <w:bdr w:val="none" w:sz="0" w:space="0" w:color="auto"/>
          <w:lang w:eastAsia="en-GB"/>
        </w:rPr>
        <w:t>Accessed: 7 July 2017.</w:t>
      </w:r>
    </w:p>
    <w:p w14:paraId="0F0AAC81" w14:textId="77777777" w:rsidR="00EB5E76" w:rsidRDefault="00EB5E76" w:rsidP="00195437">
      <w:pPr>
        <w:widowControl w:val="0"/>
        <w:rPr>
          <w:lang w:val="en-US"/>
        </w:rPr>
      </w:pPr>
    </w:p>
    <w:p w14:paraId="27889C05" w14:textId="77777777" w:rsidR="001F59F0" w:rsidRDefault="00AA3488" w:rsidP="001F59F0">
      <w:pPr>
        <w:widowControl w:val="0"/>
      </w:pPr>
      <w:r>
        <w:t>Quist, N</w:t>
      </w:r>
      <w:r w:rsidR="00337FD5">
        <w:t>. Inside Baseball and Ethics Consultation:</w:t>
      </w:r>
      <w:r w:rsidR="001F59F0">
        <w:t xml:space="preserve"> A Comment on “Ethics </w:t>
      </w:r>
      <w:r w:rsidR="00337FD5">
        <w:t xml:space="preserve"> </w:t>
      </w:r>
    </w:p>
    <w:p w14:paraId="3ED62669" w14:textId="185F221E" w:rsidR="00337FD5" w:rsidRDefault="00337FD5" w:rsidP="00AA3488">
      <w:pPr>
        <w:widowControl w:val="0"/>
        <w:ind w:left="720"/>
      </w:pPr>
      <w:r>
        <w:t xml:space="preserve">Been Very Good to Us.” </w:t>
      </w:r>
      <w:r w:rsidRPr="00337FD5">
        <w:rPr>
          <w:i/>
        </w:rPr>
        <w:t>The Journal of Clinical Ethics</w:t>
      </w:r>
      <w:r w:rsidR="00AA3488">
        <w:t>, 23.2 (2012)</w:t>
      </w:r>
      <w:r>
        <w:t>, 169-71.</w:t>
      </w:r>
    </w:p>
    <w:p w14:paraId="14AC8E2D" w14:textId="08EF77AB" w:rsidR="001B7343" w:rsidRDefault="001B7343" w:rsidP="00AA3488">
      <w:pPr>
        <w:widowControl w:val="0"/>
        <w:ind w:left="720"/>
      </w:pPr>
    </w:p>
    <w:p w14:paraId="21AF029F" w14:textId="5161561F" w:rsidR="001B7343" w:rsidRDefault="001B7343" w:rsidP="001B7343">
      <w:pPr>
        <w:widowControl w:val="0"/>
      </w:pPr>
      <w:r w:rsidRPr="001B7343">
        <w:rPr>
          <w:i/>
        </w:rPr>
        <w:t>R v. Morgentaler</w:t>
      </w:r>
      <w:r w:rsidR="00E9271E">
        <w:rPr>
          <w:i/>
        </w:rPr>
        <w:t xml:space="preserve"> </w:t>
      </w:r>
      <w:r>
        <w:t xml:space="preserve">1988. 1 S.C.R. 30. </w:t>
      </w:r>
    </w:p>
    <w:p w14:paraId="65CE9D81" w14:textId="1C7D9D09" w:rsidR="001B7343" w:rsidRDefault="002F33A0" w:rsidP="00E9271E">
      <w:pPr>
        <w:widowControl w:val="0"/>
        <w:ind w:left="720"/>
      </w:pPr>
      <w:hyperlink r:id="rId29" w:history="1">
        <w:r w:rsidR="00E9271E" w:rsidRPr="00E37468">
          <w:rPr>
            <w:rStyle w:val="Hyperlink"/>
          </w:rPr>
          <w:t>http://scc-csc.lexum.com/scc-csc/scc-csc/en/item/288/index.do</w:t>
        </w:r>
      </w:hyperlink>
      <w:r w:rsidR="00E9271E">
        <w:t>. Accessed July 22, 2019.</w:t>
      </w:r>
    </w:p>
    <w:p w14:paraId="388C65A2" w14:textId="77777777" w:rsidR="00EB5E76" w:rsidRDefault="00EB5E76" w:rsidP="003F0D66">
      <w:pPr>
        <w:widowControl w:val="0"/>
        <w:ind w:left="800" w:hanging="800"/>
      </w:pPr>
    </w:p>
    <w:p w14:paraId="7D23C95F" w14:textId="77777777" w:rsidR="00337FD5" w:rsidRDefault="00337FD5" w:rsidP="003F0D66">
      <w:pPr>
        <w:widowControl w:val="0"/>
        <w:ind w:left="800" w:hanging="800"/>
      </w:pPr>
      <w:r>
        <w:t>R</w:t>
      </w:r>
      <w:r w:rsidR="00163F5F">
        <w:t>asmussen, L. "The Chiaroscuro of Accountability in the Second E</w:t>
      </w:r>
      <w:r>
        <w:t xml:space="preserve">dition of the Core Competencies for Healthcare Ethics Consultation." </w:t>
      </w:r>
      <w:r w:rsidRPr="001F59F0">
        <w:rPr>
          <w:i/>
        </w:rPr>
        <w:t>Journal of Clinical Ethics</w:t>
      </w:r>
      <w:r w:rsidR="00A226F2">
        <w:t xml:space="preserve"> 24.1 (2013): 32-40. </w:t>
      </w:r>
    </w:p>
    <w:p w14:paraId="60F13353" w14:textId="77777777" w:rsidR="00EB5E76" w:rsidRDefault="00EB5E76" w:rsidP="003F0D66">
      <w:pPr>
        <w:widowControl w:val="0"/>
        <w:ind w:left="800" w:hanging="800"/>
      </w:pPr>
    </w:p>
    <w:p w14:paraId="204AF40F" w14:textId="77777777" w:rsidR="00337FD5" w:rsidRDefault="00337FD5" w:rsidP="003F0D66">
      <w:pPr>
        <w:widowControl w:val="0"/>
        <w:ind w:left="800" w:hanging="800"/>
      </w:pPr>
      <w:r>
        <w:t>Rasmussen</w:t>
      </w:r>
      <w:r w:rsidR="003F0D66">
        <w:t>, Lisa M. "An Ethics Expertise f</w:t>
      </w:r>
      <w:r>
        <w:t xml:space="preserve">or Clinical Ethics Consultation." </w:t>
      </w:r>
      <w:r w:rsidRPr="001F59F0">
        <w:rPr>
          <w:i/>
        </w:rPr>
        <w:t xml:space="preserve">The </w:t>
      </w:r>
      <w:r w:rsidRPr="001F59F0">
        <w:rPr>
          <w:i/>
        </w:rPr>
        <w:lastRenderedPageBreak/>
        <w:t xml:space="preserve">Journal of Law, Medicine </w:t>
      </w:r>
      <w:r w:rsidR="001F59F0">
        <w:rPr>
          <w:i/>
        </w:rPr>
        <w:t>and</w:t>
      </w:r>
      <w:r w:rsidRPr="001F59F0">
        <w:rPr>
          <w:i/>
        </w:rPr>
        <w:t xml:space="preserve"> Ethics</w:t>
      </w:r>
      <w:r w:rsidR="00A226F2">
        <w:t xml:space="preserve"> 39.4 (2011): 649-661. </w:t>
      </w:r>
    </w:p>
    <w:p w14:paraId="7681B56B" w14:textId="77777777" w:rsidR="00195437" w:rsidRDefault="00195437" w:rsidP="00195437">
      <w:pPr>
        <w:widowControl w:val="0"/>
        <w:rPr>
          <w:lang w:val="en-US"/>
        </w:rPr>
      </w:pPr>
    </w:p>
    <w:p w14:paraId="6919BF22" w14:textId="77777777" w:rsidR="00195437" w:rsidRDefault="00195437" w:rsidP="00195437">
      <w:pPr>
        <w:widowControl w:val="0"/>
        <w:rPr>
          <w:lang w:val="en-US"/>
        </w:rPr>
      </w:pPr>
      <w:r>
        <w:rPr>
          <w:lang w:val="en-US"/>
        </w:rPr>
        <w:t xml:space="preserve">Raymond, Nathaniel. “Reboot Ethical Review for the Era of Big Data.” </w:t>
      </w:r>
      <w:r w:rsidRPr="00163F5F">
        <w:rPr>
          <w:i/>
          <w:lang w:val="en-US"/>
        </w:rPr>
        <w:t>Nature</w:t>
      </w:r>
    </w:p>
    <w:p w14:paraId="1BC65F89" w14:textId="77777777" w:rsidR="00195437" w:rsidRDefault="00195437" w:rsidP="00195437">
      <w:pPr>
        <w:widowControl w:val="0"/>
        <w:ind w:firstLine="720"/>
        <w:rPr>
          <w:lang w:val="en-US"/>
        </w:rPr>
      </w:pPr>
      <w:r>
        <w:rPr>
          <w:lang w:val="en-US"/>
        </w:rPr>
        <w:t xml:space="preserve">568 (2019): 277. </w:t>
      </w:r>
    </w:p>
    <w:p w14:paraId="244BB8A1" w14:textId="77777777" w:rsidR="00195437" w:rsidRDefault="00195437" w:rsidP="00195437">
      <w:pPr>
        <w:widowControl w:val="0"/>
        <w:ind w:left="720"/>
      </w:pPr>
      <w:r>
        <w:rPr>
          <w:lang w:val="en-US"/>
        </w:rPr>
        <w:t xml:space="preserve">Online: </w:t>
      </w:r>
      <w:hyperlink r:id="rId30" w:history="1">
        <w:r w:rsidRPr="00D601E3">
          <w:rPr>
            <w:rStyle w:val="Hyperlink"/>
          </w:rPr>
          <w:t>https://www.nature.com/articles/d41586-019-01164-z?utm_source=Nature+Briefing&amp;utm_campaign=7a83897cb0-briefing-dy-20190416&amp;utm_medium=email&amp;utm_term=0_c9dfd39373-7a83897cb0-43265497</w:t>
        </w:r>
      </w:hyperlink>
      <w:r>
        <w:rPr>
          <w:lang w:val="en-US"/>
        </w:rPr>
        <w:t xml:space="preserve"> Accessed: April 18, 2019. </w:t>
      </w:r>
    </w:p>
    <w:p w14:paraId="07F6B243" w14:textId="77777777" w:rsidR="00EB5E76" w:rsidRDefault="00EB5E76" w:rsidP="003F0D66">
      <w:pPr>
        <w:widowControl w:val="0"/>
        <w:ind w:left="800" w:hanging="800"/>
      </w:pPr>
    </w:p>
    <w:p w14:paraId="1E21698B" w14:textId="77777777" w:rsidR="00337FD5" w:rsidRDefault="00337FD5" w:rsidP="003F0D66">
      <w:pPr>
        <w:widowControl w:val="0"/>
        <w:ind w:left="800" w:hanging="800"/>
      </w:pPr>
      <w:r>
        <w:t>Reagan, Leslie J</w:t>
      </w:r>
      <w:r w:rsidR="003F0D66">
        <w:t>. "Reviews of Books: Bioethics in</w:t>
      </w:r>
      <w:r w:rsidR="001F59F0">
        <w:t xml:space="preserve"> America: Origins a</w:t>
      </w:r>
      <w:r>
        <w:t xml:space="preserve">nd Cultural Politics M. L. Tina Stevens." </w:t>
      </w:r>
      <w:r w:rsidRPr="001F59F0">
        <w:rPr>
          <w:i/>
        </w:rPr>
        <w:t>The American Historical Review</w:t>
      </w:r>
      <w:r w:rsidR="00A226F2">
        <w:t xml:space="preserve"> 107.5 (2002): 1599-1600.</w:t>
      </w:r>
    </w:p>
    <w:p w14:paraId="02DAABA1" w14:textId="77777777" w:rsidR="00144CF5" w:rsidRDefault="00144CF5" w:rsidP="003F0D66">
      <w:pPr>
        <w:widowControl w:val="0"/>
        <w:ind w:left="800" w:hanging="800"/>
      </w:pPr>
    </w:p>
    <w:p w14:paraId="19F6E076" w14:textId="77777777" w:rsidR="00144CF5" w:rsidRDefault="00144CF5" w:rsidP="00144CF5">
      <w:pPr>
        <w:widowControl w:val="0"/>
        <w:ind w:left="800" w:hanging="800"/>
      </w:pPr>
      <w:r>
        <w:t>Réaume, Denise. “Is Integrity a Virtue? Dworkin's Theory of Legal Obligation.”</w:t>
      </w:r>
      <w:r w:rsidRPr="00144CF5">
        <w:t xml:space="preserve"> </w:t>
      </w:r>
      <w:r w:rsidRPr="00144CF5">
        <w:rPr>
          <w:i/>
        </w:rPr>
        <w:t>The University of Toronto Law Journal</w:t>
      </w:r>
      <w:r>
        <w:t xml:space="preserve"> 39.4 (1989): 380-409.</w:t>
      </w:r>
    </w:p>
    <w:p w14:paraId="2F0DBF59" w14:textId="77777777" w:rsidR="008E02B5" w:rsidRDefault="008E02B5" w:rsidP="003F0D66">
      <w:pPr>
        <w:widowControl w:val="0"/>
        <w:ind w:left="800" w:hanging="800"/>
      </w:pPr>
    </w:p>
    <w:p w14:paraId="3D7297D1" w14:textId="77777777" w:rsidR="008E02B5" w:rsidRDefault="008E02B5" w:rsidP="008E02B5">
      <w:pPr>
        <w:widowControl w:val="0"/>
        <w:ind w:left="800" w:hanging="800"/>
      </w:pPr>
      <w:r>
        <w:t>Reel, K.</w:t>
      </w:r>
      <w:r>
        <w:tab/>
        <w:t xml:space="preserve"> “Denying Assisted Dying Where Death is </w:t>
      </w:r>
      <w:r w:rsidRPr="008E02B5">
        <w:rPr>
          <w:i/>
        </w:rPr>
        <w:t>Not</w:t>
      </w:r>
      <w:r>
        <w:t xml:space="preserve"> ‘Reasonably Foreseeable’:</w:t>
      </w:r>
    </w:p>
    <w:p w14:paraId="703708A3" w14:textId="77777777" w:rsidR="008E02B5" w:rsidRDefault="008E02B5" w:rsidP="008E02B5">
      <w:pPr>
        <w:widowControl w:val="0"/>
        <w:ind w:left="800" w:hanging="800"/>
      </w:pPr>
      <w:r>
        <w:tab/>
        <w:t>Intolerable Overgeneralization in Canadian End-of-Life Law</w:t>
      </w:r>
      <w:r w:rsidR="00841FA2">
        <w:rPr>
          <w:i/>
        </w:rPr>
        <w:t xml:space="preserve">.” </w:t>
      </w:r>
      <w:r w:rsidRPr="008E02B5">
        <w:rPr>
          <w:i/>
        </w:rPr>
        <w:t>Canadian Journa</w:t>
      </w:r>
      <w:r w:rsidR="00144CF5">
        <w:rPr>
          <w:i/>
        </w:rPr>
        <w:t xml:space="preserve">l of Bioethics </w:t>
      </w:r>
      <w:r w:rsidR="00473D63">
        <w:t xml:space="preserve">1.3 </w:t>
      </w:r>
      <w:r>
        <w:t>(2018)</w:t>
      </w:r>
      <w:r w:rsidRPr="008E02B5">
        <w:t>:</w:t>
      </w:r>
      <w:r>
        <w:t xml:space="preserve"> </w:t>
      </w:r>
      <w:r w:rsidRPr="008E02B5">
        <w:t>71-81.</w:t>
      </w:r>
      <w:r>
        <w:t xml:space="preserve"> </w:t>
      </w:r>
    </w:p>
    <w:p w14:paraId="0A533BA5" w14:textId="77777777" w:rsidR="00EB5E76" w:rsidRDefault="00EB5E76" w:rsidP="003F0D66">
      <w:pPr>
        <w:widowControl w:val="0"/>
        <w:ind w:left="800" w:hanging="800"/>
      </w:pPr>
    </w:p>
    <w:p w14:paraId="3623E81B" w14:textId="77777777" w:rsidR="00337FD5" w:rsidRDefault="00163F5F" w:rsidP="003F0D66">
      <w:pPr>
        <w:widowControl w:val="0"/>
        <w:ind w:left="800" w:hanging="800"/>
      </w:pPr>
      <w:r>
        <w:t>Reel, K. "The Benefits of Practice Standards and Other Practice-Defining Texts: and Why Healthcare Ethicists Ought to Explore T</w:t>
      </w:r>
      <w:r w:rsidR="00337FD5">
        <w:t xml:space="preserve">hem." </w:t>
      </w:r>
      <w:r w:rsidR="00337FD5" w:rsidRPr="001F59F0">
        <w:rPr>
          <w:i/>
        </w:rPr>
        <w:t>HEC Forum</w:t>
      </w:r>
      <w:r w:rsidR="00A226F2">
        <w:t xml:space="preserve"> 24.3 (2012): 203-17. </w:t>
      </w:r>
    </w:p>
    <w:p w14:paraId="1A8C325F" w14:textId="77777777" w:rsidR="00EB5E76" w:rsidRDefault="00EB5E76" w:rsidP="003F0D66">
      <w:pPr>
        <w:widowControl w:val="0"/>
        <w:ind w:left="800" w:hanging="800"/>
      </w:pPr>
    </w:p>
    <w:p w14:paraId="0F7522D5" w14:textId="77777777" w:rsidR="00E5547F" w:rsidRPr="00E5547F" w:rsidRDefault="00337FD5" w:rsidP="003F0D66">
      <w:pPr>
        <w:widowControl w:val="0"/>
        <w:ind w:left="800" w:hanging="800"/>
      </w:pPr>
      <w:r>
        <w:t>Ree</w:t>
      </w:r>
      <w:r w:rsidR="00163F5F">
        <w:t>l, K., Ann M. Heesters and the M</w:t>
      </w:r>
      <w:r>
        <w:t>embe</w:t>
      </w:r>
      <w:r w:rsidR="005014D0">
        <w:t>rs of PHEEP (Practicing Health C</w:t>
      </w:r>
      <w:r>
        <w:t xml:space="preserve">are Ethicists Exploring </w:t>
      </w:r>
      <w:r w:rsidR="00E5547F">
        <w:t>Professionalization)</w:t>
      </w:r>
      <w:r>
        <w:t xml:space="preserve">. </w:t>
      </w:r>
      <w:r w:rsidR="00E5547F" w:rsidRPr="00E5547F">
        <w:t>Commentary</w:t>
      </w:r>
      <w:r w:rsidR="00E5547F">
        <w:t xml:space="preserve"> </w:t>
      </w:r>
      <w:r w:rsidR="00E5547F" w:rsidRPr="00E5547F">
        <w:t>on</w:t>
      </w:r>
      <w:r w:rsidR="00E5547F">
        <w:t xml:space="preserve"> </w:t>
      </w:r>
      <w:r w:rsidR="0029415C">
        <w:t xml:space="preserve">D. K. </w:t>
      </w:r>
      <w:r w:rsidR="00E5547F" w:rsidRPr="00E5547F">
        <w:t>Sokol,</w:t>
      </w:r>
      <w:r w:rsidR="00E5547F">
        <w:t xml:space="preserve"> </w:t>
      </w:r>
      <w:r w:rsidR="00E5547F" w:rsidRPr="00E5547F">
        <w:t>D.K.</w:t>
      </w:r>
      <w:r w:rsidR="00E5547F">
        <w:t xml:space="preserve"> </w:t>
      </w:r>
      <w:r w:rsidR="00E5547F" w:rsidRPr="00E5547F">
        <w:t>(2012).</w:t>
      </w:r>
      <w:r w:rsidR="00E5547F">
        <w:t xml:space="preserve"> “</w:t>
      </w:r>
      <w:r w:rsidR="00E5547F" w:rsidRPr="00E5547F">
        <w:t>Is</w:t>
      </w:r>
      <w:r w:rsidR="00E5547F">
        <w:t xml:space="preserve"> </w:t>
      </w:r>
      <w:r w:rsidR="00163F5F">
        <w:t>B</w:t>
      </w:r>
      <w:r w:rsidR="00E5547F" w:rsidRPr="00E5547F">
        <w:t>ioethics</w:t>
      </w:r>
      <w:r w:rsidR="00E5547F">
        <w:t xml:space="preserve"> </w:t>
      </w:r>
      <w:r w:rsidR="00E5547F" w:rsidRPr="00E5547F">
        <w:t>a</w:t>
      </w:r>
      <w:r w:rsidR="00E5547F">
        <w:t xml:space="preserve"> </w:t>
      </w:r>
      <w:r w:rsidR="00163F5F">
        <w:t>B</w:t>
      </w:r>
      <w:r w:rsidR="00E5547F" w:rsidRPr="00E5547F">
        <w:t>ully?</w:t>
      </w:r>
      <w:r w:rsidR="00E5547F">
        <w:t xml:space="preserve">” </w:t>
      </w:r>
      <w:r w:rsidR="00E5547F" w:rsidRPr="00E5547F">
        <w:rPr>
          <w:i/>
        </w:rPr>
        <w:t>British Medical Journal</w:t>
      </w:r>
      <w:r w:rsidR="00E5547F">
        <w:t xml:space="preserve">, 345. </w:t>
      </w:r>
      <w:hyperlink r:id="rId31" w:history="1">
        <w:r w:rsidR="00E5547F" w:rsidRPr="00E5547F">
          <w:rPr>
            <w:rStyle w:val="Hyperlink"/>
            <w:u w:val="none"/>
          </w:rPr>
          <w:t>http://www.bmj.com/content/345/bmj.e5802/rr/603802</w:t>
        </w:r>
      </w:hyperlink>
      <w:r w:rsidR="00E5547F" w:rsidRPr="00E5547F">
        <w:t>.</w:t>
      </w:r>
      <w:r w:rsidR="0029415C">
        <w:t>11</w:t>
      </w:r>
    </w:p>
    <w:p w14:paraId="1BC60153" w14:textId="77777777" w:rsidR="00EB5E76" w:rsidRPr="00E5547F" w:rsidRDefault="00337FD5" w:rsidP="003F0D66">
      <w:pPr>
        <w:widowControl w:val="0"/>
        <w:ind w:left="800" w:hanging="800"/>
      </w:pPr>
      <w:r w:rsidRPr="00E5547F">
        <w:t xml:space="preserve"> </w:t>
      </w:r>
    </w:p>
    <w:p w14:paraId="162D8C9F" w14:textId="77777777" w:rsidR="00337FD5" w:rsidRDefault="00FA13E0" w:rsidP="003F0D66">
      <w:pPr>
        <w:widowControl w:val="0"/>
        <w:ind w:left="800" w:hanging="800"/>
      </w:pPr>
      <w:r>
        <w:t>Regenberg, Alan C.</w:t>
      </w:r>
      <w:r w:rsidR="00337FD5">
        <w:t xml:space="preserve"> and Debra J. H. Mathews. "Resisting the Tide of Professi</w:t>
      </w:r>
      <w:r w:rsidR="001F59F0">
        <w:t>onalization: Valuing Diversity i</w:t>
      </w:r>
      <w:r w:rsidR="00337FD5">
        <w:t xml:space="preserve">n Bioethics." </w:t>
      </w:r>
      <w:r w:rsidR="00337FD5" w:rsidRPr="001F59F0">
        <w:rPr>
          <w:i/>
        </w:rPr>
        <w:t>The American Journal of Bioethics</w:t>
      </w:r>
      <w:r w:rsidR="00B91B61">
        <w:t xml:space="preserve"> 5.5 (2005): 44-45. </w:t>
      </w:r>
    </w:p>
    <w:p w14:paraId="6C785D77" w14:textId="77777777" w:rsidR="00325F5C" w:rsidRDefault="00325F5C" w:rsidP="003F0D66">
      <w:pPr>
        <w:widowControl w:val="0"/>
        <w:ind w:left="800" w:hanging="800"/>
      </w:pPr>
    </w:p>
    <w:p w14:paraId="60A696CA" w14:textId="77777777" w:rsidR="00A340EA" w:rsidRDefault="00325F5C" w:rsidP="003F0D66">
      <w:pPr>
        <w:widowControl w:val="0"/>
        <w:ind w:left="800" w:hanging="800"/>
      </w:pPr>
      <w:r>
        <w:t xml:space="preserve">Richards, Naomi. “Old Age Rational Suicide.” </w:t>
      </w:r>
      <w:r w:rsidRPr="00325F5C">
        <w:rPr>
          <w:i/>
        </w:rPr>
        <w:t>Sociology Compass</w:t>
      </w:r>
      <w:r w:rsidR="00A30B75">
        <w:rPr>
          <w:i/>
        </w:rPr>
        <w:t xml:space="preserve"> </w:t>
      </w:r>
      <w:r w:rsidR="00A30B75">
        <w:t>11</w:t>
      </w:r>
      <w:r w:rsidRPr="00325F5C">
        <w:t>:e12456</w:t>
      </w:r>
      <w:r w:rsidR="00A30B75">
        <w:t xml:space="preserve"> (207). </w:t>
      </w:r>
      <w:hyperlink r:id="rId32" w:history="1">
        <w:r w:rsidR="00A30B75" w:rsidRPr="007A7658">
          <w:rPr>
            <w:rStyle w:val="Hyperlink"/>
          </w:rPr>
          <w:t>https://onlinelibrary.wiley.com/doi/epdf/10.1111/soc4.12456</w:t>
        </w:r>
      </w:hyperlink>
      <w:r w:rsidR="00A30B75">
        <w:t>. Accessed: 10 February 2019.</w:t>
      </w:r>
    </w:p>
    <w:p w14:paraId="71F3A742" w14:textId="77777777" w:rsidR="00325F5C" w:rsidRDefault="00325F5C" w:rsidP="003F0D66">
      <w:pPr>
        <w:widowControl w:val="0"/>
        <w:ind w:left="800" w:hanging="800"/>
      </w:pPr>
    </w:p>
    <w:p w14:paraId="2B64940D" w14:textId="77777777" w:rsidR="00A340EA" w:rsidRDefault="00A340EA" w:rsidP="003F0D66">
      <w:pPr>
        <w:widowControl w:val="0"/>
        <w:ind w:left="800" w:hanging="800"/>
      </w:pPr>
      <w:r>
        <w:t xml:space="preserve">Rittel, Horst W.J. and Melvin M. Webber. “Dilemmas in a General Theory of Planning.” </w:t>
      </w:r>
      <w:r w:rsidRPr="00A340EA">
        <w:rPr>
          <w:i/>
        </w:rPr>
        <w:t>Policy Sciences</w:t>
      </w:r>
      <w:r>
        <w:t xml:space="preserve"> 4.2 (1973): 155-169. </w:t>
      </w:r>
    </w:p>
    <w:p w14:paraId="6B60D03B" w14:textId="77777777" w:rsidR="002750E9" w:rsidRDefault="002750E9" w:rsidP="003F0D66">
      <w:pPr>
        <w:widowControl w:val="0"/>
        <w:ind w:left="800" w:hanging="800"/>
      </w:pPr>
    </w:p>
    <w:p w14:paraId="5F6237C3" w14:textId="67FF1D1A" w:rsidR="002750E9" w:rsidRDefault="002750E9" w:rsidP="003F0D66">
      <w:pPr>
        <w:widowControl w:val="0"/>
        <w:ind w:left="800" w:hanging="800"/>
      </w:pPr>
      <w:r>
        <w:t>Roberts, Marc J</w:t>
      </w:r>
      <w:r w:rsidR="00492279">
        <w:t>. and Michael R. Reich. “</w:t>
      </w:r>
      <w:r w:rsidR="00492279" w:rsidRPr="00492279">
        <w:t xml:space="preserve">Ethical </w:t>
      </w:r>
      <w:r w:rsidR="00492279">
        <w:t>A</w:t>
      </w:r>
      <w:r w:rsidR="00492279" w:rsidRPr="00492279">
        <w:t xml:space="preserve">nalysis in </w:t>
      </w:r>
      <w:r w:rsidR="00492279">
        <w:t>P</w:t>
      </w:r>
      <w:r w:rsidR="00492279" w:rsidRPr="00492279">
        <w:t xml:space="preserve">ublic </w:t>
      </w:r>
      <w:r w:rsidR="00492279">
        <w:t>H</w:t>
      </w:r>
      <w:r w:rsidR="00492279" w:rsidRPr="00492279">
        <w:t>ealth</w:t>
      </w:r>
      <w:r w:rsidR="00492279">
        <w:t xml:space="preserve">.” </w:t>
      </w:r>
      <w:r w:rsidR="00492279" w:rsidRPr="00492279">
        <w:rPr>
          <w:i/>
        </w:rPr>
        <w:t>The Lancet</w:t>
      </w:r>
      <w:r w:rsidR="00492279">
        <w:t xml:space="preserve"> 359.9311 (2002): </w:t>
      </w:r>
      <w:r w:rsidR="00492279" w:rsidRPr="00492279">
        <w:t>1055-1059</w:t>
      </w:r>
      <w:r w:rsidR="00492279">
        <w:t>.</w:t>
      </w:r>
    </w:p>
    <w:p w14:paraId="410C6954" w14:textId="77777777" w:rsidR="00492279" w:rsidRDefault="00492279" w:rsidP="003F0D66">
      <w:pPr>
        <w:widowControl w:val="0"/>
        <w:ind w:left="800" w:hanging="800"/>
      </w:pPr>
    </w:p>
    <w:p w14:paraId="5EB0D0E2" w14:textId="77777777" w:rsidR="00337FD5" w:rsidRDefault="00337FD5" w:rsidP="003F0D66">
      <w:pPr>
        <w:widowControl w:val="0"/>
        <w:ind w:left="800" w:hanging="800"/>
      </w:pPr>
      <w:r>
        <w:t xml:space="preserve">Rothman, David J. </w:t>
      </w:r>
      <w:r w:rsidR="00DF17F4">
        <w:rPr>
          <w:i/>
        </w:rPr>
        <w:t xml:space="preserve">Strangers at the Bedside: A History of How Law and Bioethics </w:t>
      </w:r>
      <w:r w:rsidR="00DF17F4">
        <w:rPr>
          <w:i/>
        </w:rPr>
        <w:lastRenderedPageBreak/>
        <w:t>Transformed Medical Decision M</w:t>
      </w:r>
      <w:r w:rsidRPr="001F59F0">
        <w:rPr>
          <w:i/>
        </w:rPr>
        <w:t>aking.</w:t>
      </w:r>
      <w:r w:rsidR="00177ED4">
        <w:t xml:space="preserve"> </w:t>
      </w:r>
      <w:r w:rsidR="00BD2D99">
        <w:t>New York: Basic Books, 19</w:t>
      </w:r>
      <w:r w:rsidR="00B91B61">
        <w:t>9</w:t>
      </w:r>
      <w:r w:rsidR="00BD2D99">
        <w:t>1</w:t>
      </w:r>
      <w:r w:rsidR="00B91B61">
        <w:t xml:space="preserve">. </w:t>
      </w:r>
    </w:p>
    <w:p w14:paraId="404A54AE" w14:textId="77777777" w:rsidR="00EB5E76" w:rsidRDefault="00EB5E76" w:rsidP="003F0D66">
      <w:pPr>
        <w:widowControl w:val="0"/>
        <w:ind w:left="800" w:hanging="800"/>
      </w:pPr>
    </w:p>
    <w:p w14:paraId="7E9F643C" w14:textId="77777777" w:rsidR="00337FD5" w:rsidRDefault="00337FD5" w:rsidP="003F0D66">
      <w:pPr>
        <w:widowControl w:val="0"/>
        <w:ind w:left="800" w:hanging="800"/>
      </w:pPr>
      <w:r>
        <w:t>Rowel</w:t>
      </w:r>
      <w:r w:rsidR="00DF17F4">
        <w:t>l, Mary. "The Olivieri D</w:t>
      </w:r>
      <w:r>
        <w:t xml:space="preserve">ebacle: </w:t>
      </w:r>
      <w:r w:rsidR="00DF17F4">
        <w:t>Where Were the Heroes of B</w:t>
      </w:r>
      <w:r>
        <w:t xml:space="preserve">ioethics? A Reply." </w:t>
      </w:r>
      <w:r w:rsidRPr="001F59F0">
        <w:rPr>
          <w:i/>
        </w:rPr>
        <w:t>J Med Ethics</w:t>
      </w:r>
      <w:r w:rsidR="00B91B61">
        <w:t xml:space="preserve"> 30.1 (2004): 50. </w:t>
      </w:r>
    </w:p>
    <w:p w14:paraId="43D54782" w14:textId="77777777" w:rsidR="00EB5E76" w:rsidRDefault="00EB5E76" w:rsidP="003F0D66">
      <w:pPr>
        <w:widowControl w:val="0"/>
        <w:ind w:left="800" w:hanging="800"/>
      </w:pPr>
    </w:p>
    <w:p w14:paraId="68252DDA" w14:textId="77777777" w:rsidR="00337FD5" w:rsidRDefault="00337FD5" w:rsidP="003F0D66">
      <w:pPr>
        <w:widowControl w:val="0"/>
        <w:ind w:left="800" w:hanging="800"/>
      </w:pPr>
      <w:r>
        <w:t>Rubin, Susan</w:t>
      </w:r>
      <w:r w:rsidR="00DF17F4">
        <w:t>, and Laurie Zoloth. "Clinical Ethics and the Road Less Taken: Mapping the Future by Tracking the P</w:t>
      </w:r>
      <w:r>
        <w:t xml:space="preserve">ast." </w:t>
      </w:r>
      <w:r w:rsidRPr="001F59F0">
        <w:rPr>
          <w:i/>
        </w:rPr>
        <w:t xml:space="preserve">Journal of Law, Medicine </w:t>
      </w:r>
      <w:r w:rsidR="001F59F0">
        <w:rPr>
          <w:i/>
        </w:rPr>
        <w:t>and</w:t>
      </w:r>
      <w:r w:rsidRPr="001F59F0">
        <w:rPr>
          <w:i/>
        </w:rPr>
        <w:t xml:space="preserve"> Ethics</w:t>
      </w:r>
      <w:r w:rsidR="00B91B61">
        <w:t xml:space="preserve"> 32.2 (2004): 218-225. </w:t>
      </w:r>
    </w:p>
    <w:p w14:paraId="755CE60C" w14:textId="77777777" w:rsidR="00105A8B" w:rsidRDefault="00105A8B" w:rsidP="003F0D66">
      <w:pPr>
        <w:widowControl w:val="0"/>
        <w:ind w:left="800" w:hanging="800"/>
      </w:pPr>
    </w:p>
    <w:p w14:paraId="07F2631B" w14:textId="77777777" w:rsidR="00337FD5" w:rsidRDefault="00337FD5" w:rsidP="003F0D66">
      <w:pPr>
        <w:widowControl w:val="0"/>
        <w:ind w:left="800" w:hanging="800"/>
      </w:pPr>
      <w:r>
        <w:t xml:space="preserve">Satel, S. (2010). The Limits of Bioethics: Where the Profession Ends and Politics Begins. </w:t>
      </w:r>
      <w:r w:rsidRPr="00135CF6">
        <w:rPr>
          <w:i/>
        </w:rPr>
        <w:t>Policy Review</w:t>
      </w:r>
      <w:r>
        <w:t xml:space="preserve">, 159. </w:t>
      </w:r>
    </w:p>
    <w:p w14:paraId="78D0C950" w14:textId="77777777" w:rsidR="00105A8B" w:rsidRDefault="00105A8B" w:rsidP="003F0D66">
      <w:pPr>
        <w:widowControl w:val="0"/>
        <w:ind w:left="800" w:hanging="800"/>
      </w:pPr>
    </w:p>
    <w:p w14:paraId="7CC7FF57" w14:textId="77777777" w:rsidR="00337FD5" w:rsidRDefault="00337FD5" w:rsidP="003F0D66">
      <w:pPr>
        <w:widowControl w:val="0"/>
        <w:ind w:left="800" w:hanging="800"/>
      </w:pPr>
      <w:r>
        <w:t>Satel, S. (2010). The Right (and Wrong) Answers. Review of Fox and Swazey’s</w:t>
      </w:r>
      <w:r w:rsidR="001F59F0">
        <w:t xml:space="preserve"> </w:t>
      </w:r>
      <w:r w:rsidR="001F59F0" w:rsidRPr="001F59F0">
        <w:rPr>
          <w:i/>
        </w:rPr>
        <w:t>Observing Bioethics</w:t>
      </w:r>
      <w:r w:rsidR="001F59F0">
        <w:t>.</w:t>
      </w:r>
      <w:r>
        <w:t xml:space="preserve"> </w:t>
      </w:r>
      <w:r w:rsidRPr="001F59F0">
        <w:rPr>
          <w:i/>
        </w:rPr>
        <w:t>New Republic</w:t>
      </w:r>
      <w:r>
        <w:t xml:space="preserve">. </w:t>
      </w:r>
      <w:r w:rsidR="001F59F0">
        <w:t xml:space="preserve">Online: </w:t>
      </w:r>
      <w:hyperlink r:id="rId33" w:history="1">
        <w:r w:rsidR="00841FA2" w:rsidRPr="00841FA2">
          <w:rPr>
            <w:rStyle w:val="Hyperlink"/>
            <w:color w:val="auto"/>
          </w:rPr>
          <w:t>https://sallysatelmd.com/articles/2001/who-needs-medical-ethics/</w:t>
        </w:r>
      </w:hyperlink>
      <w:r w:rsidR="00841FA2" w:rsidRPr="00841FA2">
        <w:rPr>
          <w:color w:val="auto"/>
        </w:rPr>
        <w:t xml:space="preserve">. </w:t>
      </w:r>
      <w:r w:rsidR="00841FA2">
        <w:t>Accessed: 30 March 2018.</w:t>
      </w:r>
    </w:p>
    <w:p w14:paraId="1F9BA16C" w14:textId="77777777" w:rsidR="00105A8B" w:rsidRDefault="00105A8B" w:rsidP="003F0D66">
      <w:pPr>
        <w:widowControl w:val="0"/>
        <w:ind w:left="800" w:hanging="800"/>
      </w:pPr>
    </w:p>
    <w:p w14:paraId="308C669B" w14:textId="77777777" w:rsidR="00337FD5" w:rsidRDefault="00337FD5" w:rsidP="003F0D66">
      <w:pPr>
        <w:widowControl w:val="0"/>
        <w:ind w:left="800" w:hanging="800"/>
      </w:pPr>
      <w:r>
        <w:t>Satel,</w:t>
      </w:r>
      <w:r w:rsidR="00DF17F4">
        <w:t xml:space="preserve"> S. and Stolba, C. (2001). Who Needs Medical E</w:t>
      </w:r>
      <w:r>
        <w:t xml:space="preserve">thics? </w:t>
      </w:r>
      <w:r w:rsidRPr="001F59F0">
        <w:rPr>
          <w:i/>
        </w:rPr>
        <w:t>Commentary.</w:t>
      </w:r>
      <w:r w:rsidR="001F59F0" w:rsidRPr="001F59F0">
        <w:t xml:space="preserve"> </w:t>
      </w:r>
      <w:hyperlink r:id="rId34" w:history="1">
        <w:r w:rsidR="00841FA2" w:rsidRPr="00F10F2B">
          <w:rPr>
            <w:rStyle w:val="Hyperlink"/>
          </w:rPr>
          <w:t>https://sallysatelmd.com/articles/2001/who-needs-medical-ethics/</w:t>
        </w:r>
      </w:hyperlink>
      <w:r w:rsidR="00841FA2">
        <w:t>.</w:t>
      </w:r>
    </w:p>
    <w:p w14:paraId="15490EE5" w14:textId="77777777" w:rsidR="00841FA2" w:rsidRDefault="00841FA2" w:rsidP="003F0D66">
      <w:pPr>
        <w:widowControl w:val="0"/>
        <w:ind w:left="800" w:hanging="800"/>
      </w:pPr>
      <w:r>
        <w:tab/>
        <w:t>Accessed: 30 March 2018.</w:t>
      </w:r>
    </w:p>
    <w:p w14:paraId="2ECD1EB7" w14:textId="77777777" w:rsidR="00105A8B" w:rsidRDefault="00105A8B" w:rsidP="003F0D66">
      <w:pPr>
        <w:widowControl w:val="0"/>
        <w:ind w:left="800" w:hanging="800"/>
        <w:rPr>
          <w:lang w:val="en-US"/>
        </w:rPr>
      </w:pPr>
    </w:p>
    <w:p w14:paraId="0E201CD0" w14:textId="77777777" w:rsidR="00C32E2A" w:rsidRDefault="006A73A5" w:rsidP="003F0D66">
      <w:pPr>
        <w:widowControl w:val="0"/>
        <w:ind w:left="800" w:hanging="800"/>
      </w:pPr>
      <w:r>
        <w:rPr>
          <w:lang w:val="en-US"/>
        </w:rPr>
        <w:t>Sav</w:t>
      </w:r>
      <w:r w:rsidR="00DF17F4">
        <w:rPr>
          <w:lang w:val="en-US"/>
        </w:rPr>
        <w:t>ulescu, J. "Editor’s Note: How Can We Make a Difference? The Perils of H</w:t>
      </w:r>
      <w:r>
        <w:rPr>
          <w:lang w:val="en-US"/>
        </w:rPr>
        <w:t xml:space="preserve">eroism." </w:t>
      </w:r>
      <w:r>
        <w:rPr>
          <w:i/>
          <w:iCs/>
          <w:lang w:val="en-US"/>
        </w:rPr>
        <w:t>Journal of Medical Ethics</w:t>
      </w:r>
      <w:r w:rsidR="00B91B61">
        <w:rPr>
          <w:lang w:val="en-US"/>
        </w:rPr>
        <w:t xml:space="preserve"> 30.1 (2004): 52. </w:t>
      </w:r>
    </w:p>
    <w:p w14:paraId="00FE123C" w14:textId="77777777" w:rsidR="00105A8B" w:rsidRDefault="00105A8B" w:rsidP="003F0D66">
      <w:pPr>
        <w:widowControl w:val="0"/>
        <w:ind w:left="800" w:hanging="800"/>
        <w:rPr>
          <w:lang w:val="en-US"/>
        </w:rPr>
      </w:pPr>
    </w:p>
    <w:p w14:paraId="2E0E43E4" w14:textId="77777777" w:rsidR="00C32E2A" w:rsidRDefault="006A73A5" w:rsidP="003F0D66">
      <w:pPr>
        <w:widowControl w:val="0"/>
        <w:ind w:left="800" w:hanging="800"/>
      </w:pPr>
      <w:r>
        <w:rPr>
          <w:lang w:val="en-US"/>
        </w:rPr>
        <w:t xml:space="preserve">Schuklenk, Udo, and Jim Gallagher. "Status, Careers and Influence in Bioethics." </w:t>
      </w:r>
      <w:r>
        <w:rPr>
          <w:i/>
          <w:iCs/>
          <w:lang w:val="en-US"/>
        </w:rPr>
        <w:t>The American Journal of Bioethics</w:t>
      </w:r>
      <w:r w:rsidR="00B91B61">
        <w:rPr>
          <w:lang w:val="en-US"/>
        </w:rPr>
        <w:t xml:space="preserve"> 5.5 (2005): 64-66. </w:t>
      </w:r>
    </w:p>
    <w:p w14:paraId="744F4F3A" w14:textId="77777777" w:rsidR="00105A8B" w:rsidRDefault="00105A8B" w:rsidP="003F0D66">
      <w:pPr>
        <w:widowControl w:val="0"/>
        <w:ind w:left="800" w:hanging="800"/>
        <w:rPr>
          <w:lang w:val="en-US"/>
        </w:rPr>
      </w:pPr>
    </w:p>
    <w:p w14:paraId="219F61C4" w14:textId="77777777" w:rsidR="002F74C1" w:rsidRDefault="006A73A5" w:rsidP="003F0D66">
      <w:pPr>
        <w:widowControl w:val="0"/>
        <w:ind w:left="800" w:hanging="800"/>
        <w:rPr>
          <w:lang w:val="en-US"/>
        </w:rPr>
      </w:pPr>
      <w:r>
        <w:rPr>
          <w:lang w:val="en-US"/>
        </w:rPr>
        <w:t xml:space="preserve">Schuklenk, Udo. "National Bioethics Commissions and Partisan Politics." </w:t>
      </w:r>
      <w:r>
        <w:rPr>
          <w:i/>
          <w:iCs/>
          <w:lang w:val="en-US"/>
        </w:rPr>
        <w:t>Bioethics</w:t>
      </w:r>
      <w:r w:rsidR="00B91B61">
        <w:rPr>
          <w:lang w:val="en-US"/>
        </w:rPr>
        <w:t xml:space="preserve"> 22.6 (2008): ii-iii.</w:t>
      </w:r>
      <w:r w:rsidR="00841FA2">
        <w:rPr>
          <w:lang w:val="en-US"/>
        </w:rPr>
        <w:t xml:space="preserve"> </w:t>
      </w:r>
    </w:p>
    <w:p w14:paraId="7A765778" w14:textId="77777777" w:rsidR="002F74C1" w:rsidRDefault="00B91B61" w:rsidP="002F74C1">
      <w:pPr>
        <w:rPr>
          <w:lang w:val="en-US"/>
        </w:rPr>
      </w:pPr>
      <w:r>
        <w:rPr>
          <w:lang w:val="en-US"/>
        </w:rPr>
        <w:t xml:space="preserve"> </w:t>
      </w:r>
    </w:p>
    <w:p w14:paraId="29068A6F" w14:textId="77777777" w:rsidR="00DF17F4" w:rsidRDefault="002F74C1" w:rsidP="002F74C1">
      <w:pPr>
        <w:rPr>
          <w:lang w:val="en-US"/>
        </w:rPr>
      </w:pPr>
      <w:r w:rsidRPr="002F74C1">
        <w:rPr>
          <w:lang w:val="en-US"/>
        </w:rPr>
        <w:t>Sc</w:t>
      </w:r>
      <w:r w:rsidR="00DF17F4">
        <w:rPr>
          <w:lang w:val="en-US"/>
        </w:rPr>
        <w:t>ofield, Giles. "What – if Anything – Sets Limits to the Clinical E</w:t>
      </w:r>
      <w:r>
        <w:rPr>
          <w:lang w:val="en-US"/>
        </w:rPr>
        <w:t>thics</w:t>
      </w:r>
    </w:p>
    <w:p w14:paraId="7AF99744" w14:textId="77777777" w:rsidR="00C32E2A" w:rsidRDefault="00DF17F4" w:rsidP="00DF17F4">
      <w:pPr>
        <w:ind w:left="720"/>
        <w:rPr>
          <w:lang w:val="en-US"/>
        </w:rPr>
      </w:pPr>
      <w:r>
        <w:rPr>
          <w:lang w:val="en-US"/>
        </w:rPr>
        <w:t>C</w:t>
      </w:r>
      <w:r w:rsidR="002F74C1">
        <w:rPr>
          <w:lang w:val="en-US"/>
        </w:rPr>
        <w:t>onsultant’s</w:t>
      </w:r>
      <w:r>
        <w:rPr>
          <w:lang w:val="en-US"/>
        </w:rPr>
        <w:t xml:space="preserve"> </w:t>
      </w:r>
      <w:r w:rsidR="00BD2D99">
        <w:rPr>
          <w:lang w:val="en-US"/>
        </w:rPr>
        <w:t>‘</w:t>
      </w:r>
      <w:r>
        <w:rPr>
          <w:lang w:val="en-US"/>
        </w:rPr>
        <w:t>E</w:t>
      </w:r>
      <w:r w:rsidR="002F74C1">
        <w:rPr>
          <w:lang w:val="en-US"/>
        </w:rPr>
        <w:t>xpertise</w:t>
      </w:r>
      <w:r w:rsidR="00BD2D99">
        <w:rPr>
          <w:lang w:val="en-US"/>
        </w:rPr>
        <w:t>’</w:t>
      </w:r>
      <w:r w:rsidR="002F74C1">
        <w:rPr>
          <w:lang w:val="en-US"/>
        </w:rPr>
        <w:t>”?</w:t>
      </w:r>
      <w:r w:rsidR="002F74C1" w:rsidRPr="002F74C1">
        <w:rPr>
          <w:lang w:val="en-US"/>
        </w:rPr>
        <w:t xml:space="preserve"> </w:t>
      </w:r>
      <w:r w:rsidR="00C259E2" w:rsidRPr="00C259E2">
        <w:rPr>
          <w:i/>
          <w:lang w:val="en-US"/>
        </w:rPr>
        <w:t>Perspectives in Biology and Medicine</w:t>
      </w:r>
      <w:r w:rsidR="00C259E2">
        <w:rPr>
          <w:lang w:val="en-US"/>
        </w:rPr>
        <w:t xml:space="preserve"> 61.4 (2018): 594-608</w:t>
      </w:r>
      <w:r w:rsidR="002F74C1" w:rsidRPr="002F74C1">
        <w:rPr>
          <w:lang w:val="en-US"/>
        </w:rPr>
        <w:t xml:space="preserve">. </w:t>
      </w:r>
    </w:p>
    <w:p w14:paraId="542D0ED4" w14:textId="77777777" w:rsidR="00696067" w:rsidRDefault="00696067" w:rsidP="00C259E2">
      <w:pPr>
        <w:ind w:firstLine="720"/>
        <w:rPr>
          <w:lang w:val="en-US"/>
        </w:rPr>
      </w:pPr>
    </w:p>
    <w:p w14:paraId="5F9EB00F" w14:textId="77777777" w:rsidR="00696067" w:rsidRPr="008E3860" w:rsidRDefault="00DF17F4" w:rsidP="00696067">
      <w:pPr>
        <w:rPr>
          <w:i/>
          <w:lang w:val="en-US"/>
        </w:rPr>
      </w:pPr>
      <w:r>
        <w:rPr>
          <w:lang w:val="en-US"/>
        </w:rPr>
        <w:t>Scofield, Giles. “I Should Have Known (B</w:t>
      </w:r>
      <w:r w:rsidR="00696067">
        <w:rPr>
          <w:lang w:val="en-US"/>
        </w:rPr>
        <w:t xml:space="preserve">etter?).” </w:t>
      </w:r>
      <w:r w:rsidR="00696067" w:rsidRPr="008E3860">
        <w:rPr>
          <w:i/>
          <w:lang w:val="en-US"/>
        </w:rPr>
        <w:t>Narrative Inquiry in Bioethics</w:t>
      </w:r>
    </w:p>
    <w:p w14:paraId="65D50F81" w14:textId="77777777" w:rsidR="00696067" w:rsidRPr="00C259E2" w:rsidRDefault="00696067" w:rsidP="00696067">
      <w:pPr>
        <w:ind w:firstLine="720"/>
        <w:rPr>
          <w:lang w:val="en-US"/>
        </w:rPr>
      </w:pPr>
      <w:r>
        <w:rPr>
          <w:lang w:val="en-US"/>
        </w:rPr>
        <w:t>6.1 (2016): 34-36.</w:t>
      </w:r>
    </w:p>
    <w:p w14:paraId="39C0C2D2" w14:textId="77777777" w:rsidR="00105A8B" w:rsidRDefault="00105A8B" w:rsidP="003F0D66">
      <w:pPr>
        <w:widowControl w:val="0"/>
        <w:ind w:left="800" w:hanging="800"/>
        <w:rPr>
          <w:lang w:val="en-US"/>
        </w:rPr>
      </w:pPr>
    </w:p>
    <w:p w14:paraId="32FECEE7" w14:textId="77777777" w:rsidR="00C32E2A" w:rsidRDefault="006A73A5" w:rsidP="003F0D66">
      <w:pPr>
        <w:widowControl w:val="0"/>
        <w:ind w:left="800" w:hanging="800"/>
      </w:pPr>
      <w:r>
        <w:rPr>
          <w:lang w:val="en-US"/>
        </w:rPr>
        <w:t xml:space="preserve">Scofield, Giles. "Response: Narcissus Meets Pandora." </w:t>
      </w:r>
      <w:r>
        <w:rPr>
          <w:i/>
          <w:iCs/>
          <w:lang w:val="en-US"/>
        </w:rPr>
        <w:t>The Journal of Law, Medicine &amp; Ethics</w:t>
      </w:r>
      <w:r>
        <w:rPr>
          <w:lang w:val="en-US"/>
        </w:rPr>
        <w:t xml:space="preserve"> 28.3 (2000): 243-244. </w:t>
      </w:r>
    </w:p>
    <w:p w14:paraId="74543ADF" w14:textId="77777777" w:rsidR="00105A8B" w:rsidRDefault="00105A8B" w:rsidP="003F0D66">
      <w:pPr>
        <w:widowControl w:val="0"/>
        <w:ind w:left="800" w:hanging="800"/>
        <w:rPr>
          <w:lang w:val="en-US"/>
        </w:rPr>
      </w:pPr>
    </w:p>
    <w:p w14:paraId="5E637DBD" w14:textId="77777777" w:rsidR="00C32E2A" w:rsidRDefault="006A73A5" w:rsidP="003F0D66">
      <w:pPr>
        <w:widowControl w:val="0"/>
        <w:ind w:left="800" w:hanging="800"/>
      </w:pPr>
      <w:r>
        <w:rPr>
          <w:lang w:val="en-US"/>
        </w:rPr>
        <w:t xml:space="preserve">Scofield, Giles. "Commentary: The Wizard of Oughts." </w:t>
      </w:r>
      <w:r>
        <w:rPr>
          <w:i/>
          <w:iCs/>
          <w:lang w:val="en-US"/>
        </w:rPr>
        <w:t>The Journal of Law, Medicine &amp; Ethics</w:t>
      </w:r>
      <w:r>
        <w:rPr>
          <w:lang w:val="en-US"/>
        </w:rPr>
        <w:t xml:space="preserve"> 28.3 (2000): 232-235. </w:t>
      </w:r>
    </w:p>
    <w:p w14:paraId="29DB97E6" w14:textId="77777777" w:rsidR="00105A8B" w:rsidRDefault="00105A8B" w:rsidP="003F0D66">
      <w:pPr>
        <w:widowControl w:val="0"/>
        <w:ind w:left="800" w:hanging="800"/>
        <w:rPr>
          <w:lang w:val="en-US"/>
        </w:rPr>
      </w:pPr>
    </w:p>
    <w:p w14:paraId="685F1D08" w14:textId="77777777" w:rsidR="00C32E2A" w:rsidRDefault="006A73A5" w:rsidP="003F0D66">
      <w:pPr>
        <w:widowControl w:val="0"/>
        <w:ind w:left="800" w:hanging="800"/>
      </w:pPr>
      <w:r>
        <w:rPr>
          <w:lang w:val="en-US"/>
        </w:rPr>
        <w:t xml:space="preserve">Scofield, Giles. "Motion(less) In Limine." </w:t>
      </w:r>
      <w:r>
        <w:rPr>
          <w:i/>
          <w:iCs/>
          <w:lang w:val="en-US"/>
        </w:rPr>
        <w:t>The Journal of Law, Medicine &amp; Ethics</w:t>
      </w:r>
      <w:r>
        <w:rPr>
          <w:lang w:val="en-US"/>
        </w:rPr>
        <w:t xml:space="preserve"> </w:t>
      </w:r>
      <w:r>
        <w:rPr>
          <w:lang w:val="en-US"/>
        </w:rPr>
        <w:lastRenderedPageBreak/>
        <w:t xml:space="preserve">33.4 (2005): 821-833. </w:t>
      </w:r>
    </w:p>
    <w:p w14:paraId="23E9AAE1" w14:textId="77777777" w:rsidR="00105A8B" w:rsidRDefault="00105A8B" w:rsidP="003F0D66">
      <w:pPr>
        <w:widowControl w:val="0"/>
        <w:ind w:left="800" w:hanging="800"/>
        <w:rPr>
          <w:lang w:val="en-US"/>
        </w:rPr>
      </w:pPr>
    </w:p>
    <w:p w14:paraId="564D2D96" w14:textId="77777777" w:rsidR="00C32E2A" w:rsidRDefault="006A73A5" w:rsidP="003F0D66">
      <w:pPr>
        <w:widowControl w:val="0"/>
        <w:ind w:left="800" w:hanging="800"/>
      </w:pPr>
      <w:r>
        <w:rPr>
          <w:lang w:val="en-US"/>
        </w:rPr>
        <w:t xml:space="preserve">Scofield, Giles R. "The Health Care Ethics Consultant." </w:t>
      </w:r>
      <w:r>
        <w:rPr>
          <w:i/>
          <w:iCs/>
          <w:lang w:val="en-US"/>
        </w:rPr>
        <w:t>HEC Forum</w:t>
      </w:r>
      <w:r>
        <w:rPr>
          <w:lang w:val="en-US"/>
        </w:rPr>
        <w:t xml:space="preserve"> 6.6 (1994): 363-370. </w:t>
      </w:r>
    </w:p>
    <w:p w14:paraId="69DAC801" w14:textId="77777777" w:rsidR="00105A8B" w:rsidRDefault="00105A8B" w:rsidP="003F0D66">
      <w:pPr>
        <w:widowControl w:val="0"/>
        <w:ind w:left="800" w:hanging="800"/>
        <w:rPr>
          <w:lang w:val="en-US"/>
        </w:rPr>
      </w:pPr>
    </w:p>
    <w:p w14:paraId="0937B984" w14:textId="77777777" w:rsidR="00C32E2A" w:rsidRDefault="006A73A5" w:rsidP="003F0D66">
      <w:pPr>
        <w:widowControl w:val="0"/>
        <w:ind w:left="800" w:hanging="800"/>
        <w:rPr>
          <w:lang w:val="en-US"/>
        </w:rPr>
      </w:pPr>
      <w:r>
        <w:rPr>
          <w:lang w:val="en-US"/>
        </w:rPr>
        <w:t xml:space="preserve">Scofield, Giles R. "What Is Medical Ethics Consultation?" </w:t>
      </w:r>
      <w:r>
        <w:rPr>
          <w:i/>
          <w:iCs/>
          <w:lang w:val="en-US"/>
        </w:rPr>
        <w:t>The Journal of Law, Medicine &amp; Ethics</w:t>
      </w:r>
      <w:r>
        <w:rPr>
          <w:lang w:val="en-US"/>
        </w:rPr>
        <w:t xml:space="preserve"> 36.1 (2008): 95-118. </w:t>
      </w:r>
    </w:p>
    <w:p w14:paraId="39D4A6B0" w14:textId="77777777" w:rsidR="00105A8B" w:rsidRDefault="00105A8B" w:rsidP="003F0D66">
      <w:pPr>
        <w:widowControl w:val="0"/>
        <w:ind w:left="800" w:hanging="800"/>
        <w:rPr>
          <w:lang w:val="en-US"/>
        </w:rPr>
      </w:pPr>
    </w:p>
    <w:p w14:paraId="2E0B8E72" w14:textId="77777777" w:rsidR="00F97C8B" w:rsidRDefault="00F97C8B" w:rsidP="003F0D66">
      <w:pPr>
        <w:widowControl w:val="0"/>
        <w:ind w:left="800" w:hanging="800"/>
      </w:pPr>
      <w:r>
        <w:rPr>
          <w:lang w:val="en-US"/>
        </w:rPr>
        <w:t xml:space="preserve">Scofield, Giles R. “Ethics Consultation: The Least Dangerous Profession?” </w:t>
      </w:r>
      <w:r w:rsidRPr="00135CF6">
        <w:rPr>
          <w:i/>
          <w:lang w:val="en-US"/>
        </w:rPr>
        <w:t>Cambridge Quarterly of Healthcare Ethics</w:t>
      </w:r>
      <w:r>
        <w:rPr>
          <w:lang w:val="en-US"/>
        </w:rPr>
        <w:t xml:space="preserve"> 2 (1993), 417-448. </w:t>
      </w:r>
    </w:p>
    <w:p w14:paraId="0C648375" w14:textId="77777777" w:rsidR="00105A8B" w:rsidRDefault="00105A8B" w:rsidP="003F0D66">
      <w:pPr>
        <w:widowControl w:val="0"/>
        <w:ind w:left="800" w:hanging="800"/>
        <w:rPr>
          <w:lang w:val="en-US"/>
        </w:rPr>
      </w:pPr>
    </w:p>
    <w:p w14:paraId="0713E365" w14:textId="77777777" w:rsidR="00C45091" w:rsidRDefault="006A73A5" w:rsidP="00C45091">
      <w:pPr>
        <w:widowControl w:val="0"/>
        <w:ind w:left="800" w:hanging="800"/>
        <w:rPr>
          <w:lang w:val="en-US"/>
        </w:rPr>
      </w:pPr>
      <w:r>
        <w:rPr>
          <w:lang w:val="en-US"/>
        </w:rPr>
        <w:t>Secker, Barbara, Cecile Bensimon, Cheryl Cline, Dianne Godkin, Ann Heest</w:t>
      </w:r>
      <w:r w:rsidR="00DF17F4">
        <w:rPr>
          <w:lang w:val="en-US"/>
        </w:rPr>
        <w:t>ers and Kevin Reel. "Examining Methods to Assess Core Knowledge Competencies: A Canadian P</w:t>
      </w:r>
      <w:r>
        <w:rPr>
          <w:lang w:val="en-US"/>
        </w:rPr>
        <w:t xml:space="preserve">erspective." </w:t>
      </w:r>
      <w:r>
        <w:rPr>
          <w:i/>
          <w:iCs/>
          <w:lang w:val="en-US"/>
        </w:rPr>
        <w:t>The American Journal of Bioethics</w:t>
      </w:r>
      <w:r w:rsidR="00473D63">
        <w:rPr>
          <w:lang w:val="en-US"/>
        </w:rPr>
        <w:t xml:space="preserve"> 14</w:t>
      </w:r>
      <w:r w:rsidR="00B91B61">
        <w:rPr>
          <w:lang w:val="en-US"/>
        </w:rPr>
        <w:t xml:space="preserve">.1 (2014): 30-3. </w:t>
      </w:r>
    </w:p>
    <w:p w14:paraId="21073C89" w14:textId="77777777" w:rsidR="008B7937" w:rsidRDefault="008B7937" w:rsidP="008B7937">
      <w:pPr>
        <w:widowControl w:val="0"/>
        <w:ind w:left="800" w:hanging="800"/>
        <w:rPr>
          <w:lang w:val="en-US"/>
        </w:rPr>
      </w:pPr>
    </w:p>
    <w:p w14:paraId="2DAA1901" w14:textId="77777777" w:rsidR="00C32E2A" w:rsidRDefault="006A73A5" w:rsidP="003F0D66">
      <w:pPr>
        <w:widowControl w:val="0"/>
        <w:ind w:left="800" w:hanging="800"/>
      </w:pPr>
      <w:r>
        <w:rPr>
          <w:lang w:val="en-US"/>
        </w:rPr>
        <w:t>Self, D. J. "Is</w:t>
      </w:r>
      <w:r w:rsidR="00DF17F4">
        <w:rPr>
          <w:lang w:val="en-US"/>
        </w:rPr>
        <w:t xml:space="preserve"> Ethics Consultation D</w:t>
      </w:r>
      <w:r w:rsidR="00401996">
        <w:rPr>
          <w:lang w:val="en-US"/>
        </w:rPr>
        <w:t>angerous?</w:t>
      </w:r>
      <w:r>
        <w:rPr>
          <w:lang w:val="en-US"/>
        </w:rPr>
        <w:t xml:space="preserve">" </w:t>
      </w:r>
      <w:r>
        <w:rPr>
          <w:i/>
          <w:iCs/>
          <w:lang w:val="en-US"/>
        </w:rPr>
        <w:t>Cambridge Quarterly of Health care Ethics</w:t>
      </w:r>
      <w:r w:rsidR="00B91B61">
        <w:rPr>
          <w:lang w:val="en-US"/>
        </w:rPr>
        <w:t xml:space="preserve"> 2.4 (1993): 442-5. </w:t>
      </w:r>
    </w:p>
    <w:p w14:paraId="718E0EE8" w14:textId="77777777" w:rsidR="00105A8B" w:rsidRDefault="00105A8B" w:rsidP="003F0D66">
      <w:pPr>
        <w:widowControl w:val="0"/>
        <w:ind w:left="800" w:hanging="800"/>
        <w:rPr>
          <w:lang w:val="en-US"/>
        </w:rPr>
      </w:pPr>
    </w:p>
    <w:p w14:paraId="71DEC86C" w14:textId="77777777" w:rsidR="00C32E2A" w:rsidRDefault="006A73A5" w:rsidP="003F0D66">
      <w:pPr>
        <w:widowControl w:val="0"/>
        <w:ind w:left="800" w:hanging="800"/>
      </w:pPr>
      <w:r>
        <w:rPr>
          <w:lang w:val="en-US"/>
        </w:rPr>
        <w:t xml:space="preserve">Sherwin, S. "Whither Bioethics? How Feminism Can Help Reorient Bioethics." </w:t>
      </w:r>
      <w:r>
        <w:rPr>
          <w:i/>
          <w:iCs/>
          <w:lang w:val="en-US"/>
        </w:rPr>
        <w:t>International Journal of Feminist Approaches to Bioethics</w:t>
      </w:r>
      <w:r w:rsidR="00401996">
        <w:rPr>
          <w:lang w:val="en-US"/>
        </w:rPr>
        <w:t xml:space="preserve"> 1.1 (2008): 7</w:t>
      </w:r>
      <w:r w:rsidR="00B91B61">
        <w:rPr>
          <w:lang w:val="en-US"/>
        </w:rPr>
        <w:t xml:space="preserve">-27. </w:t>
      </w:r>
    </w:p>
    <w:p w14:paraId="0ABBD80A" w14:textId="77777777" w:rsidR="00105A8B" w:rsidRDefault="00105A8B" w:rsidP="003F0D66">
      <w:pPr>
        <w:widowControl w:val="0"/>
        <w:ind w:left="800" w:hanging="800"/>
        <w:rPr>
          <w:lang w:val="en-US"/>
        </w:rPr>
      </w:pPr>
    </w:p>
    <w:p w14:paraId="635BB466" w14:textId="77777777" w:rsidR="00C32E2A" w:rsidRDefault="006A73A5" w:rsidP="003F0D66">
      <w:pPr>
        <w:widowControl w:val="0"/>
        <w:ind w:left="800" w:hanging="800"/>
        <w:rPr>
          <w:lang w:val="en-US"/>
        </w:rPr>
      </w:pPr>
      <w:r>
        <w:rPr>
          <w:lang w:val="en-US"/>
        </w:rPr>
        <w:t xml:space="preserve">Shields, Jon A. "Bioethical Politics." </w:t>
      </w:r>
      <w:r w:rsidR="00135CF6">
        <w:rPr>
          <w:i/>
          <w:iCs/>
          <w:lang w:val="en-US"/>
        </w:rPr>
        <w:t>S</w:t>
      </w:r>
      <w:r>
        <w:rPr>
          <w:i/>
          <w:iCs/>
          <w:lang w:val="en-US"/>
        </w:rPr>
        <w:t>ociety</w:t>
      </w:r>
      <w:r>
        <w:rPr>
          <w:lang w:val="en-US"/>
        </w:rPr>
        <w:t xml:space="preserve"> 43</w:t>
      </w:r>
      <w:r w:rsidR="00B91B61">
        <w:rPr>
          <w:lang w:val="en-US"/>
        </w:rPr>
        <w:t xml:space="preserve">.3 (2006): 19-24. </w:t>
      </w:r>
    </w:p>
    <w:p w14:paraId="502492CF" w14:textId="77777777" w:rsidR="00105A8B" w:rsidRDefault="00105A8B" w:rsidP="003F0D66">
      <w:pPr>
        <w:widowControl w:val="0"/>
        <w:ind w:left="800" w:hanging="800"/>
        <w:rPr>
          <w:lang w:val="en-US"/>
        </w:rPr>
      </w:pPr>
    </w:p>
    <w:p w14:paraId="2620DC4D" w14:textId="77777777" w:rsidR="007B4499" w:rsidRDefault="00C1177D" w:rsidP="003F0D66">
      <w:pPr>
        <w:widowControl w:val="0"/>
        <w:ind w:left="800" w:hanging="800"/>
        <w:rPr>
          <w:lang w:val="en-US"/>
        </w:rPr>
      </w:pPr>
      <w:r w:rsidRPr="00C1177D">
        <w:rPr>
          <w:lang w:val="en-US"/>
        </w:rPr>
        <w:t xml:space="preserve">Shuchman, Miriam. (2005). </w:t>
      </w:r>
      <w:r w:rsidRPr="00135CF6">
        <w:rPr>
          <w:i/>
          <w:lang w:val="en-US"/>
        </w:rPr>
        <w:t>The Drug Trial: Nancy Olivieri and the case that rocked the Hospital for Sick Children</w:t>
      </w:r>
      <w:r w:rsidRPr="00C1177D">
        <w:rPr>
          <w:lang w:val="en-US"/>
        </w:rPr>
        <w:t>, First ed. Toronto: Random House.</w:t>
      </w:r>
    </w:p>
    <w:p w14:paraId="55B04C4A" w14:textId="77777777" w:rsidR="007B4499" w:rsidRDefault="007B4499" w:rsidP="003F0D66">
      <w:pPr>
        <w:widowControl w:val="0"/>
        <w:ind w:left="800" w:hanging="800"/>
        <w:rPr>
          <w:lang w:val="en-US"/>
        </w:rPr>
      </w:pPr>
    </w:p>
    <w:p w14:paraId="676B9650" w14:textId="77777777" w:rsidR="00C1177D" w:rsidRDefault="007B4499" w:rsidP="003F0D66">
      <w:pPr>
        <w:widowControl w:val="0"/>
        <w:ind w:left="800" w:hanging="800"/>
        <w:rPr>
          <w:lang w:val="en-US"/>
        </w:rPr>
      </w:pPr>
      <w:r>
        <w:rPr>
          <w:lang w:val="en-US"/>
        </w:rPr>
        <w:t>Sibbald, Barbara.</w:t>
      </w:r>
      <w:r w:rsidR="00C1177D" w:rsidRPr="00C1177D">
        <w:rPr>
          <w:lang w:val="en-US"/>
        </w:rPr>
        <w:t xml:space="preserve"> </w:t>
      </w:r>
      <w:r>
        <w:rPr>
          <w:lang w:val="en-US"/>
        </w:rPr>
        <w:t>“</w:t>
      </w:r>
      <w:r w:rsidR="00DF17F4">
        <w:rPr>
          <w:lang w:val="en-US"/>
        </w:rPr>
        <w:t>Doctors Left to Define Foreseeable Death in New L</w:t>
      </w:r>
      <w:r w:rsidRPr="007B4499">
        <w:rPr>
          <w:lang w:val="en-US"/>
        </w:rPr>
        <w:t>aw</w:t>
      </w:r>
      <w:r>
        <w:rPr>
          <w:lang w:val="en-US"/>
        </w:rPr>
        <w:t xml:space="preserve">.” </w:t>
      </w:r>
      <w:r w:rsidRPr="007B4499">
        <w:rPr>
          <w:i/>
          <w:lang w:val="en-US"/>
        </w:rPr>
        <w:t>Canadian Medical Association Journal</w:t>
      </w:r>
      <w:r>
        <w:rPr>
          <w:lang w:val="en-US"/>
        </w:rPr>
        <w:t xml:space="preserve"> 188.11 (2016)</w:t>
      </w:r>
      <w:r w:rsidRPr="007B4499">
        <w:rPr>
          <w:lang w:val="en-US"/>
        </w:rPr>
        <w:t>: E243–E244</w:t>
      </w:r>
      <w:r>
        <w:rPr>
          <w:lang w:val="en-US"/>
        </w:rPr>
        <w:t xml:space="preserve">. </w:t>
      </w:r>
    </w:p>
    <w:p w14:paraId="25725654" w14:textId="77777777" w:rsidR="00105A8B" w:rsidRDefault="00105A8B" w:rsidP="003F0D66">
      <w:pPr>
        <w:widowControl w:val="0"/>
        <w:ind w:left="800" w:hanging="800"/>
        <w:rPr>
          <w:lang w:val="en-US"/>
        </w:rPr>
      </w:pPr>
    </w:p>
    <w:p w14:paraId="2E669122" w14:textId="77777777" w:rsidR="00C1177D" w:rsidRPr="00C1177D" w:rsidRDefault="00C1177D" w:rsidP="003F0D66">
      <w:pPr>
        <w:widowControl w:val="0"/>
        <w:ind w:left="800" w:hanging="800"/>
        <w:rPr>
          <w:lang w:val="en-US"/>
        </w:rPr>
      </w:pPr>
      <w:r w:rsidRPr="00C1177D">
        <w:rPr>
          <w:lang w:val="en-US"/>
        </w:rPr>
        <w:t xml:space="preserve">Siegler, Mark, and Peter A. Singer. "Clinical Ethics Consultation: Godsend or God Squad?" </w:t>
      </w:r>
      <w:r w:rsidRPr="00135CF6">
        <w:rPr>
          <w:i/>
          <w:lang w:val="en-US"/>
        </w:rPr>
        <w:t xml:space="preserve">The American Journal of Medicine </w:t>
      </w:r>
      <w:r>
        <w:rPr>
          <w:lang w:val="en-US"/>
        </w:rPr>
        <w:t xml:space="preserve">85.6 (1988): 759-760. </w:t>
      </w:r>
    </w:p>
    <w:p w14:paraId="2FDA9D2B" w14:textId="77777777" w:rsidR="00105A8B" w:rsidRDefault="00105A8B" w:rsidP="003F0D66">
      <w:pPr>
        <w:widowControl w:val="0"/>
        <w:ind w:left="800" w:hanging="800"/>
        <w:rPr>
          <w:lang w:val="en-US"/>
        </w:rPr>
      </w:pPr>
    </w:p>
    <w:p w14:paraId="70CC4FF6" w14:textId="77777777" w:rsidR="00C1177D" w:rsidRDefault="00C1177D" w:rsidP="003F0D66">
      <w:pPr>
        <w:widowControl w:val="0"/>
        <w:ind w:left="800" w:hanging="800"/>
        <w:rPr>
          <w:lang w:val="en-US"/>
        </w:rPr>
      </w:pPr>
      <w:r w:rsidRPr="00C1177D">
        <w:rPr>
          <w:lang w:val="en-US"/>
        </w:rPr>
        <w:t xml:space="preserve">Simpson, C. (2012). </w:t>
      </w:r>
      <w:r w:rsidR="007B4499">
        <w:rPr>
          <w:lang w:val="en-US"/>
        </w:rPr>
        <w:t>“</w:t>
      </w:r>
      <w:r w:rsidR="008407FE">
        <w:rPr>
          <w:lang w:val="en-US"/>
        </w:rPr>
        <w:t>Getting E</w:t>
      </w:r>
      <w:r w:rsidRPr="00C1177D">
        <w:rPr>
          <w:lang w:val="en-US"/>
        </w:rPr>
        <w:t>ngaged: Exploring Professionalization in Canada.</w:t>
      </w:r>
      <w:r w:rsidR="007B4499">
        <w:rPr>
          <w:lang w:val="en-US"/>
        </w:rPr>
        <w:t>”</w:t>
      </w:r>
      <w:r w:rsidRPr="00C1177D">
        <w:rPr>
          <w:lang w:val="en-US"/>
        </w:rPr>
        <w:t xml:space="preserve"> </w:t>
      </w:r>
      <w:r w:rsidRPr="00C1177D">
        <w:rPr>
          <w:i/>
          <w:lang w:val="en-US"/>
        </w:rPr>
        <w:t>HEC Forum</w:t>
      </w:r>
      <w:r w:rsidR="00D149AA">
        <w:rPr>
          <w:lang w:val="en-US"/>
        </w:rPr>
        <w:t xml:space="preserve"> 24(3): 149-151</w:t>
      </w:r>
      <w:r w:rsidRPr="00C1177D">
        <w:rPr>
          <w:lang w:val="en-US"/>
        </w:rPr>
        <w:t>.</w:t>
      </w:r>
    </w:p>
    <w:p w14:paraId="69248C4C" w14:textId="77777777" w:rsidR="00105A8B" w:rsidRDefault="00105A8B" w:rsidP="003F0D66">
      <w:pPr>
        <w:widowControl w:val="0"/>
        <w:ind w:left="800" w:hanging="800"/>
        <w:rPr>
          <w:lang w:val="en-US"/>
        </w:rPr>
      </w:pPr>
    </w:p>
    <w:p w14:paraId="3A272A3C" w14:textId="77777777" w:rsidR="00C1177D" w:rsidRDefault="008407FE" w:rsidP="003F0D66">
      <w:pPr>
        <w:widowControl w:val="0"/>
        <w:ind w:left="800" w:hanging="800"/>
        <w:rPr>
          <w:lang w:val="en-US"/>
        </w:rPr>
      </w:pPr>
      <w:r>
        <w:rPr>
          <w:lang w:val="en-US"/>
        </w:rPr>
        <w:t>Simpson, C. "Mapping our Practice? Some Conceptual "Bumps" for us to C</w:t>
      </w:r>
      <w:r w:rsidR="00C1177D" w:rsidRPr="00C1177D">
        <w:rPr>
          <w:lang w:val="en-US"/>
        </w:rPr>
        <w:t xml:space="preserve">onsider." </w:t>
      </w:r>
      <w:r w:rsidR="00C1177D" w:rsidRPr="00C1177D">
        <w:rPr>
          <w:i/>
          <w:lang w:val="en-US"/>
        </w:rPr>
        <w:t>HEC Forum</w:t>
      </w:r>
      <w:r w:rsidR="00B91B61">
        <w:rPr>
          <w:lang w:val="en-US"/>
        </w:rPr>
        <w:t xml:space="preserve"> 24.3 (2012): 219-26. </w:t>
      </w:r>
    </w:p>
    <w:p w14:paraId="0B8C057C" w14:textId="77777777" w:rsidR="00105A8B" w:rsidRDefault="00105A8B" w:rsidP="003F0D66">
      <w:pPr>
        <w:widowControl w:val="0"/>
        <w:ind w:left="800" w:hanging="800"/>
        <w:rPr>
          <w:lang w:val="en-US"/>
        </w:rPr>
      </w:pPr>
    </w:p>
    <w:p w14:paraId="15BB16AE" w14:textId="77777777" w:rsidR="00105A8B" w:rsidRDefault="00D262ED" w:rsidP="003F0D66">
      <w:pPr>
        <w:widowControl w:val="0"/>
        <w:ind w:left="800" w:hanging="800"/>
        <w:rPr>
          <w:lang w:val="en-US"/>
        </w:rPr>
      </w:pPr>
      <w:r>
        <w:rPr>
          <w:lang w:val="en-US"/>
        </w:rPr>
        <w:t xml:space="preserve">Smith </w:t>
      </w:r>
      <w:r w:rsidR="00C1177D" w:rsidRPr="00C1177D">
        <w:rPr>
          <w:lang w:val="en-US"/>
        </w:rPr>
        <w:t>Iltis, Ana. "Bioethics As Methodological Case Resolution: Specif</w:t>
      </w:r>
      <w:r w:rsidR="007B4499">
        <w:rPr>
          <w:lang w:val="en-US"/>
        </w:rPr>
        <w:t>ication, Specified Principlism a</w:t>
      </w:r>
      <w:r w:rsidR="00C1177D" w:rsidRPr="00C1177D">
        <w:rPr>
          <w:lang w:val="en-US"/>
        </w:rPr>
        <w:t xml:space="preserve">nd Casuistry." </w:t>
      </w:r>
      <w:r w:rsidR="00C1177D" w:rsidRPr="00135CF6">
        <w:rPr>
          <w:i/>
          <w:lang w:val="en-US"/>
        </w:rPr>
        <w:t>The Journal of Medicine and Philosophy</w:t>
      </w:r>
      <w:r w:rsidR="00C1177D" w:rsidRPr="00C1177D">
        <w:rPr>
          <w:lang w:val="en-US"/>
        </w:rPr>
        <w:t xml:space="preserve"> 25.3 (2000): 271-284. </w:t>
      </w:r>
    </w:p>
    <w:p w14:paraId="4561C044" w14:textId="77777777" w:rsidR="00B91B61" w:rsidRDefault="00B91B61" w:rsidP="003F0D66">
      <w:pPr>
        <w:widowControl w:val="0"/>
        <w:ind w:left="800" w:hanging="800"/>
        <w:rPr>
          <w:lang w:val="en-US"/>
        </w:rPr>
      </w:pPr>
    </w:p>
    <w:p w14:paraId="5219CD3D" w14:textId="77777777" w:rsidR="00375BE8" w:rsidRPr="00C1177D" w:rsidRDefault="00375BE8" w:rsidP="003F0D66">
      <w:pPr>
        <w:widowControl w:val="0"/>
        <w:ind w:left="800" w:hanging="800"/>
        <w:rPr>
          <w:lang w:val="en-US"/>
        </w:rPr>
      </w:pPr>
      <w:r w:rsidRPr="00375BE8">
        <w:rPr>
          <w:lang w:val="en-US"/>
        </w:rPr>
        <w:lastRenderedPageBreak/>
        <w:t>Smith, M.L., K. W</w:t>
      </w:r>
      <w:r w:rsidR="008407FE">
        <w:rPr>
          <w:lang w:val="en-US"/>
        </w:rPr>
        <w:t>eise, and E. Kodish. "Toward a Competency-B</w:t>
      </w:r>
      <w:r w:rsidRPr="00375BE8">
        <w:rPr>
          <w:lang w:val="en-US"/>
        </w:rPr>
        <w:t xml:space="preserve">ased </w:t>
      </w:r>
      <w:r w:rsidR="008407FE">
        <w:rPr>
          <w:lang w:val="en-US"/>
        </w:rPr>
        <w:t>Certification of Clinical Ethics Consultants: A Four Step P</w:t>
      </w:r>
      <w:r w:rsidRPr="00375BE8">
        <w:rPr>
          <w:lang w:val="en-US"/>
        </w:rPr>
        <w:t xml:space="preserve">rocess." </w:t>
      </w:r>
      <w:r w:rsidRPr="00135CF6">
        <w:rPr>
          <w:i/>
          <w:lang w:val="en-US"/>
        </w:rPr>
        <w:t>Journal of Clinical Ethics</w:t>
      </w:r>
      <w:r w:rsidR="00473D63">
        <w:rPr>
          <w:lang w:val="en-US"/>
        </w:rPr>
        <w:t xml:space="preserve"> 21.1 (2010): </w:t>
      </w:r>
      <w:r w:rsidRPr="00375BE8">
        <w:rPr>
          <w:lang w:val="en-US"/>
        </w:rPr>
        <w:t xml:space="preserve">14-22. </w:t>
      </w:r>
    </w:p>
    <w:p w14:paraId="42E38383" w14:textId="77777777" w:rsidR="00105A8B" w:rsidRDefault="00105A8B" w:rsidP="003F0D66">
      <w:pPr>
        <w:widowControl w:val="0"/>
        <w:ind w:left="800" w:hanging="800"/>
        <w:rPr>
          <w:lang w:val="en-US"/>
        </w:rPr>
      </w:pPr>
    </w:p>
    <w:p w14:paraId="2D391713" w14:textId="77777777" w:rsidR="00375BE8" w:rsidRPr="00375BE8" w:rsidRDefault="00375BE8" w:rsidP="003F0D66">
      <w:pPr>
        <w:widowControl w:val="0"/>
        <w:ind w:left="800" w:hanging="800"/>
        <w:rPr>
          <w:lang w:val="en-US"/>
        </w:rPr>
      </w:pPr>
      <w:r w:rsidRPr="00375BE8">
        <w:rPr>
          <w:lang w:val="en-US"/>
        </w:rPr>
        <w:t>Smith, W</w:t>
      </w:r>
      <w:r w:rsidR="00D149AA">
        <w:rPr>
          <w:lang w:val="en-US"/>
        </w:rPr>
        <w:t>.</w:t>
      </w:r>
      <w:r w:rsidR="008407FE">
        <w:rPr>
          <w:lang w:val="en-US"/>
        </w:rPr>
        <w:t>J. "The Question of M</w:t>
      </w:r>
      <w:r w:rsidRPr="00375BE8">
        <w:rPr>
          <w:lang w:val="en-US"/>
        </w:rPr>
        <w:t>eth</w:t>
      </w:r>
      <w:r w:rsidR="008407FE">
        <w:rPr>
          <w:lang w:val="en-US"/>
        </w:rPr>
        <w:t>od in Ethics Consultation: Transforming a Career into a P</w:t>
      </w:r>
      <w:r w:rsidRPr="00375BE8">
        <w:rPr>
          <w:lang w:val="en-US"/>
        </w:rPr>
        <w:t xml:space="preserve">rofession?" </w:t>
      </w:r>
      <w:r w:rsidRPr="00135CF6">
        <w:rPr>
          <w:i/>
          <w:lang w:val="en-US"/>
        </w:rPr>
        <w:t>American Journal of Bioethics</w:t>
      </w:r>
      <w:r w:rsidRPr="00375BE8">
        <w:rPr>
          <w:lang w:val="en-US"/>
        </w:rPr>
        <w:t xml:space="preserve"> 1.4 (2001): 42-3. </w:t>
      </w:r>
    </w:p>
    <w:p w14:paraId="02370F9E" w14:textId="77777777" w:rsidR="00105A8B" w:rsidRDefault="00105A8B" w:rsidP="003F0D66">
      <w:pPr>
        <w:widowControl w:val="0"/>
        <w:ind w:left="800" w:hanging="800"/>
        <w:rPr>
          <w:lang w:val="en-US"/>
        </w:rPr>
      </w:pPr>
    </w:p>
    <w:p w14:paraId="155EE077" w14:textId="77777777" w:rsidR="00C1177D" w:rsidRDefault="00C1177D" w:rsidP="003F0D66">
      <w:pPr>
        <w:widowControl w:val="0"/>
        <w:ind w:left="800" w:hanging="800"/>
        <w:rPr>
          <w:lang w:val="en-US"/>
        </w:rPr>
      </w:pPr>
      <w:r w:rsidRPr="00C1177D">
        <w:rPr>
          <w:lang w:val="en-US"/>
        </w:rPr>
        <w:t xml:space="preserve">Society for Health and Human Values–Society for Bioethics Consultation. </w:t>
      </w:r>
      <w:r w:rsidRPr="00135CF6">
        <w:rPr>
          <w:i/>
          <w:lang w:val="en-US"/>
        </w:rPr>
        <w:t>Core Competencies for Health Care Ethics Consultation: The Report of the American Society for Bioethics and Humanities</w:t>
      </w:r>
      <w:r w:rsidRPr="00C1177D">
        <w:rPr>
          <w:lang w:val="en-US"/>
        </w:rPr>
        <w:t>. Glenview, IL: American Society for Bioethics Consultation; 1998.</w:t>
      </w:r>
    </w:p>
    <w:p w14:paraId="73D5F452" w14:textId="77777777" w:rsidR="00105A8B" w:rsidRDefault="00105A8B" w:rsidP="003F0D66">
      <w:pPr>
        <w:widowControl w:val="0"/>
        <w:ind w:left="800" w:hanging="800"/>
        <w:rPr>
          <w:lang w:val="en-US"/>
        </w:rPr>
      </w:pPr>
    </w:p>
    <w:p w14:paraId="720ADC61" w14:textId="77777777" w:rsidR="00375BE8" w:rsidRDefault="00375BE8" w:rsidP="003F0D66">
      <w:pPr>
        <w:widowControl w:val="0"/>
        <w:ind w:left="800" w:hanging="800"/>
        <w:rPr>
          <w:lang w:val="en-US"/>
        </w:rPr>
      </w:pPr>
      <w:r w:rsidRPr="00375BE8">
        <w:rPr>
          <w:lang w:val="en-US"/>
        </w:rPr>
        <w:t xml:space="preserve">Sokol, Daniel. "Is Bioethics a Bully?" </w:t>
      </w:r>
      <w:r w:rsidRPr="00375BE8">
        <w:rPr>
          <w:i/>
          <w:lang w:val="en-US"/>
        </w:rPr>
        <w:t>British Medical Journal</w:t>
      </w:r>
      <w:r w:rsidR="00473D63">
        <w:rPr>
          <w:lang w:val="en-US"/>
        </w:rPr>
        <w:t xml:space="preserve"> </w:t>
      </w:r>
      <w:r w:rsidRPr="00375BE8">
        <w:rPr>
          <w:lang w:val="en-US"/>
        </w:rPr>
        <w:t>345</w:t>
      </w:r>
      <w:r w:rsidR="004E2900">
        <w:rPr>
          <w:lang w:val="en-US"/>
        </w:rPr>
        <w:t xml:space="preserve">: e5802 (2012). </w:t>
      </w:r>
      <w:hyperlink r:id="rId35" w:history="1">
        <w:r w:rsidR="004E2900" w:rsidRPr="007A7658">
          <w:rPr>
            <w:rStyle w:val="Hyperlink"/>
            <w:lang w:val="en-US"/>
          </w:rPr>
          <w:t>https://www.bmj.com/content/345/bmj.e5802</w:t>
        </w:r>
      </w:hyperlink>
      <w:r w:rsidR="004E2900">
        <w:rPr>
          <w:lang w:val="en-US"/>
        </w:rPr>
        <w:t>. Accessed:</w:t>
      </w:r>
      <w:r w:rsidRPr="00375BE8">
        <w:rPr>
          <w:lang w:val="en-US"/>
        </w:rPr>
        <w:t xml:space="preserve"> </w:t>
      </w:r>
      <w:r w:rsidR="004E2900">
        <w:rPr>
          <w:lang w:val="en-US"/>
        </w:rPr>
        <w:t>4 September 2012.</w:t>
      </w:r>
    </w:p>
    <w:p w14:paraId="25B57957" w14:textId="77777777" w:rsidR="00105A8B" w:rsidRDefault="00105A8B" w:rsidP="004E2900">
      <w:pPr>
        <w:widowControl w:val="0"/>
        <w:rPr>
          <w:lang w:val="en-US"/>
        </w:rPr>
      </w:pPr>
    </w:p>
    <w:p w14:paraId="3DFCBB13" w14:textId="77777777" w:rsidR="00375BE8" w:rsidRPr="00C1177D" w:rsidRDefault="00375BE8" w:rsidP="003F0D66">
      <w:pPr>
        <w:widowControl w:val="0"/>
        <w:ind w:left="800" w:hanging="800"/>
        <w:rPr>
          <w:lang w:val="en-US"/>
        </w:rPr>
      </w:pPr>
      <w:r w:rsidRPr="00375BE8">
        <w:rPr>
          <w:lang w:val="en-US"/>
        </w:rPr>
        <w:t>Sokol, D. K. "Sw</w:t>
      </w:r>
      <w:r w:rsidR="00135CF6">
        <w:rPr>
          <w:lang w:val="en-US"/>
        </w:rPr>
        <w:t>eetening the Scent: Commentary o</w:t>
      </w:r>
      <w:r w:rsidRPr="00375BE8">
        <w:rPr>
          <w:lang w:val="en-US"/>
        </w:rPr>
        <w:t xml:space="preserve">n “What Principlism Misses." </w:t>
      </w:r>
      <w:r w:rsidRPr="00375BE8">
        <w:rPr>
          <w:i/>
          <w:lang w:val="en-US"/>
        </w:rPr>
        <w:t>Journal of Medical Ethics</w:t>
      </w:r>
      <w:r w:rsidRPr="00375BE8">
        <w:rPr>
          <w:lang w:val="en-US"/>
        </w:rPr>
        <w:t xml:space="preserve"> 35.4 (2009): 232-233. </w:t>
      </w:r>
    </w:p>
    <w:p w14:paraId="23A191C9" w14:textId="77777777" w:rsidR="00105A8B" w:rsidRDefault="00105A8B" w:rsidP="003F0D66">
      <w:pPr>
        <w:widowControl w:val="0"/>
        <w:ind w:left="800" w:hanging="800"/>
        <w:rPr>
          <w:lang w:val="en-US"/>
        </w:rPr>
      </w:pPr>
    </w:p>
    <w:p w14:paraId="0862833F" w14:textId="77777777" w:rsidR="00375BE8" w:rsidRDefault="00375BE8" w:rsidP="003F0D66">
      <w:pPr>
        <w:widowControl w:val="0"/>
        <w:ind w:left="800" w:hanging="800"/>
        <w:rPr>
          <w:lang w:val="en-US"/>
        </w:rPr>
      </w:pPr>
      <w:r w:rsidRPr="00375BE8">
        <w:rPr>
          <w:lang w:val="en-US"/>
        </w:rPr>
        <w:t xml:space="preserve">Spike, Jeffrey P. "Resolving the Vexing Question of Credentialing: Finding the Aristotelian Mean." </w:t>
      </w:r>
      <w:r w:rsidRPr="008407FE">
        <w:rPr>
          <w:i/>
          <w:lang w:val="en-US"/>
        </w:rPr>
        <w:t>HEC Forum</w:t>
      </w:r>
      <w:r w:rsidRPr="00375BE8">
        <w:rPr>
          <w:lang w:val="en-US"/>
        </w:rPr>
        <w:t xml:space="preserve"> 21.3 (2009): 263-273. </w:t>
      </w:r>
    </w:p>
    <w:p w14:paraId="4651B658" w14:textId="77777777" w:rsidR="008B7937" w:rsidRDefault="008B7937" w:rsidP="003F0D66">
      <w:pPr>
        <w:widowControl w:val="0"/>
        <w:ind w:left="800" w:hanging="800"/>
        <w:rPr>
          <w:lang w:val="en-US"/>
        </w:rPr>
      </w:pPr>
    </w:p>
    <w:p w14:paraId="47CD191F" w14:textId="77777777" w:rsidR="008B7937" w:rsidRDefault="008B7937" w:rsidP="008B7937">
      <w:pPr>
        <w:widowControl w:val="0"/>
        <w:ind w:left="800" w:hanging="800"/>
        <w:rPr>
          <w:lang w:val="en-US"/>
        </w:rPr>
      </w:pPr>
      <w:r>
        <w:rPr>
          <w:lang w:val="en-US"/>
        </w:rPr>
        <w:t xml:space="preserve">Steinkamp, </w:t>
      </w:r>
      <w:r w:rsidRPr="00337FD5">
        <w:rPr>
          <w:lang w:val="en-US"/>
        </w:rPr>
        <w:t>Norbert L</w:t>
      </w:r>
      <w:r>
        <w:rPr>
          <w:lang w:val="en-US"/>
        </w:rPr>
        <w:t>,</w:t>
      </w:r>
      <w:r w:rsidRPr="00337FD5">
        <w:rPr>
          <w:lang w:val="en-US"/>
        </w:rPr>
        <w:t xml:space="preserve"> </w:t>
      </w:r>
      <w:r>
        <w:rPr>
          <w:lang w:val="en-US"/>
        </w:rPr>
        <w:t xml:space="preserve">Bert Gordijn, and Henk ten Have. "Ethical Expertise Revisited: Reply To Giles Scofield." </w:t>
      </w:r>
      <w:r>
        <w:rPr>
          <w:i/>
          <w:iCs/>
          <w:lang w:val="en-US"/>
        </w:rPr>
        <w:t>Kennedy Institute of Ethics Journal</w:t>
      </w:r>
      <w:r>
        <w:rPr>
          <w:lang w:val="en-US"/>
        </w:rPr>
        <w:t xml:space="preserve"> 18.4 (2008): 385-392. </w:t>
      </w:r>
    </w:p>
    <w:p w14:paraId="22499B39" w14:textId="77777777" w:rsidR="00105A8B" w:rsidRDefault="00105A8B" w:rsidP="008B7937">
      <w:pPr>
        <w:widowControl w:val="0"/>
        <w:rPr>
          <w:lang w:val="en-US"/>
        </w:rPr>
      </w:pPr>
    </w:p>
    <w:p w14:paraId="7CD48ED4" w14:textId="77777777" w:rsidR="00375BE8" w:rsidRDefault="008B7937" w:rsidP="003F0D66">
      <w:pPr>
        <w:widowControl w:val="0"/>
        <w:ind w:left="800" w:hanging="800"/>
        <w:rPr>
          <w:lang w:val="en-US"/>
        </w:rPr>
      </w:pPr>
      <w:r>
        <w:rPr>
          <w:lang w:val="en-US"/>
        </w:rPr>
        <w:t>Steinkamp, Norbert</w:t>
      </w:r>
      <w:r w:rsidR="00375BE8" w:rsidRPr="00375BE8">
        <w:rPr>
          <w:lang w:val="en-US"/>
        </w:rPr>
        <w:t>, B</w:t>
      </w:r>
      <w:r>
        <w:rPr>
          <w:lang w:val="en-US"/>
        </w:rPr>
        <w:t>ert Gordijn, and Henk</w:t>
      </w:r>
      <w:r w:rsidR="00375BE8" w:rsidRPr="00375BE8">
        <w:rPr>
          <w:lang w:val="en-US"/>
        </w:rPr>
        <w:t xml:space="preserve"> ten Have. "Debating ethical expertise." </w:t>
      </w:r>
      <w:r w:rsidR="00375BE8" w:rsidRPr="008B7937">
        <w:rPr>
          <w:i/>
          <w:lang w:val="en-US"/>
        </w:rPr>
        <w:t xml:space="preserve">Kennedy Institute Ethics Journal </w:t>
      </w:r>
      <w:r w:rsidR="00375BE8" w:rsidRPr="00375BE8">
        <w:rPr>
          <w:lang w:val="en-US"/>
        </w:rPr>
        <w:t xml:space="preserve">18.2 (2008): 173-92. </w:t>
      </w:r>
    </w:p>
    <w:p w14:paraId="017852E8" w14:textId="77777777" w:rsidR="008B7937" w:rsidRPr="00375BE8" w:rsidRDefault="008B7937" w:rsidP="003F0D66">
      <w:pPr>
        <w:widowControl w:val="0"/>
        <w:ind w:left="800" w:hanging="800"/>
        <w:rPr>
          <w:lang w:val="en-US"/>
        </w:rPr>
      </w:pPr>
    </w:p>
    <w:p w14:paraId="00113360" w14:textId="77777777" w:rsidR="00105A8B" w:rsidRDefault="008407FE" w:rsidP="003F0D66">
      <w:pPr>
        <w:widowControl w:val="0"/>
        <w:ind w:left="800" w:hanging="800"/>
        <w:rPr>
          <w:lang w:val="en-US"/>
        </w:rPr>
      </w:pPr>
      <w:r>
        <w:rPr>
          <w:lang w:val="en-US"/>
        </w:rPr>
        <w:t>Strong, Carson. "Lost In Translation: R</w:t>
      </w:r>
      <w:r w:rsidR="00375BE8" w:rsidRPr="00375BE8">
        <w:rPr>
          <w:lang w:val="en-US"/>
        </w:rPr>
        <w:t>eligi</w:t>
      </w:r>
      <w:r>
        <w:rPr>
          <w:lang w:val="en-US"/>
        </w:rPr>
        <w:t>ous Arguments Made S</w:t>
      </w:r>
      <w:r w:rsidR="008A6D82">
        <w:rPr>
          <w:lang w:val="en-US"/>
        </w:rPr>
        <w:t>ecular."</w:t>
      </w:r>
      <w:r w:rsidR="00375BE8" w:rsidRPr="00375BE8">
        <w:rPr>
          <w:lang w:val="en-US"/>
        </w:rPr>
        <w:t xml:space="preserve"> </w:t>
      </w:r>
      <w:r w:rsidR="00375BE8" w:rsidRPr="008A6D82">
        <w:rPr>
          <w:i/>
          <w:lang w:val="en-US"/>
        </w:rPr>
        <w:t>American Journal of Bioethics</w:t>
      </w:r>
      <w:r w:rsidR="00375BE8" w:rsidRPr="00375BE8">
        <w:rPr>
          <w:lang w:val="en-US"/>
        </w:rPr>
        <w:t xml:space="preserve"> 5.3 (2005): 29-31. </w:t>
      </w:r>
    </w:p>
    <w:p w14:paraId="2EEC99FB" w14:textId="77777777" w:rsidR="00B91B61" w:rsidRDefault="00B91B61" w:rsidP="003F0D66">
      <w:pPr>
        <w:widowControl w:val="0"/>
        <w:ind w:left="800" w:hanging="800"/>
        <w:rPr>
          <w:lang w:val="en-US"/>
        </w:rPr>
      </w:pPr>
    </w:p>
    <w:p w14:paraId="45DC08B0" w14:textId="77777777" w:rsidR="00375BE8" w:rsidRDefault="00375BE8" w:rsidP="003F0D66">
      <w:pPr>
        <w:widowControl w:val="0"/>
        <w:ind w:left="800" w:hanging="800"/>
        <w:rPr>
          <w:lang w:val="en-US"/>
        </w:rPr>
      </w:pPr>
      <w:r w:rsidRPr="00375BE8">
        <w:rPr>
          <w:lang w:val="en-US"/>
        </w:rPr>
        <w:t>St</w:t>
      </w:r>
      <w:r w:rsidR="008407FE">
        <w:rPr>
          <w:lang w:val="en-US"/>
        </w:rPr>
        <w:t>rong, Carson. "Theoretical and Practical Problems with Wide Reflective Equilibrium in B</w:t>
      </w:r>
      <w:r w:rsidRPr="00375BE8">
        <w:rPr>
          <w:lang w:val="en-US"/>
        </w:rPr>
        <w:t xml:space="preserve">ioethics." </w:t>
      </w:r>
      <w:r w:rsidRPr="007B4499">
        <w:rPr>
          <w:i/>
          <w:lang w:val="en-US"/>
        </w:rPr>
        <w:t>Theoretical Medicine and Bioethics</w:t>
      </w:r>
      <w:r w:rsidRPr="00375BE8">
        <w:rPr>
          <w:lang w:val="en-US"/>
        </w:rPr>
        <w:t xml:space="preserve"> 31.2 (2010): 123-140. </w:t>
      </w:r>
    </w:p>
    <w:p w14:paraId="254614C7" w14:textId="77777777" w:rsidR="00105A8B" w:rsidRDefault="00105A8B" w:rsidP="003F0D66">
      <w:pPr>
        <w:widowControl w:val="0"/>
        <w:ind w:left="800" w:hanging="800"/>
        <w:rPr>
          <w:lang w:val="en-US"/>
        </w:rPr>
      </w:pPr>
    </w:p>
    <w:p w14:paraId="0C97E75E" w14:textId="77777777" w:rsidR="00375BE8" w:rsidRDefault="00375BE8" w:rsidP="003F0D66">
      <w:pPr>
        <w:widowControl w:val="0"/>
        <w:ind w:left="800" w:hanging="800"/>
        <w:rPr>
          <w:lang w:val="en-US"/>
        </w:rPr>
      </w:pPr>
      <w:r w:rsidRPr="00375BE8">
        <w:rPr>
          <w:lang w:val="en-US"/>
        </w:rPr>
        <w:t xml:space="preserve">Swiderski, Deborah M., Katharine M. Ettinger, Mayris Webber, and Nancy N. Dubler. "The Clinical Ethics Credentialing Project: Preliminary Notes from a Pilot Project to Establish Quality Measures for Ethics Consultation." </w:t>
      </w:r>
      <w:r w:rsidRPr="00AA3488">
        <w:rPr>
          <w:i/>
          <w:lang w:val="en-US"/>
        </w:rPr>
        <w:t>HEC Forum</w:t>
      </w:r>
      <w:r w:rsidRPr="00375BE8">
        <w:rPr>
          <w:lang w:val="en-US"/>
        </w:rPr>
        <w:t xml:space="preserve"> 22.1 (2010): 65-72. </w:t>
      </w:r>
    </w:p>
    <w:p w14:paraId="2371CF7E" w14:textId="77777777" w:rsidR="00D56740" w:rsidRDefault="00D56740" w:rsidP="00D56740">
      <w:pPr>
        <w:widowControl w:val="0"/>
        <w:ind w:left="800" w:hanging="800"/>
        <w:rPr>
          <w:lang w:val="en-US"/>
        </w:rPr>
      </w:pPr>
    </w:p>
    <w:p w14:paraId="77E45686" w14:textId="7ADDC4E2" w:rsidR="00D56740" w:rsidRDefault="00D56740" w:rsidP="003F0D66">
      <w:pPr>
        <w:widowControl w:val="0"/>
        <w:ind w:left="800" w:hanging="800"/>
        <w:rPr>
          <w:lang w:val="en-US"/>
        </w:rPr>
      </w:pPr>
      <w:r>
        <w:rPr>
          <w:lang w:val="en-US"/>
        </w:rPr>
        <w:t>Tarzian, A. J., Wocial, L. D., and the</w:t>
      </w:r>
      <w:r w:rsidRPr="00D56740">
        <w:rPr>
          <w:lang w:val="en-US"/>
        </w:rPr>
        <w:t xml:space="preserve"> ASBH Clinical Ethics Consultation Affairs Committee. </w:t>
      </w:r>
      <w:r>
        <w:rPr>
          <w:lang w:val="en-US"/>
        </w:rPr>
        <w:t>“A C</w:t>
      </w:r>
      <w:r w:rsidRPr="00D56740">
        <w:rPr>
          <w:lang w:val="en-US"/>
        </w:rPr>
        <w:t xml:space="preserve">ode of </w:t>
      </w:r>
      <w:r>
        <w:rPr>
          <w:lang w:val="en-US"/>
        </w:rPr>
        <w:t>E</w:t>
      </w:r>
      <w:r w:rsidRPr="00D56740">
        <w:rPr>
          <w:lang w:val="en-US"/>
        </w:rPr>
        <w:t>thics</w:t>
      </w:r>
      <w:r>
        <w:rPr>
          <w:lang w:val="en-US"/>
        </w:rPr>
        <w:t xml:space="preserve"> </w:t>
      </w:r>
      <w:r w:rsidRPr="00D56740">
        <w:rPr>
          <w:lang w:val="en-US"/>
        </w:rPr>
        <w:t xml:space="preserve">for </w:t>
      </w:r>
      <w:r>
        <w:rPr>
          <w:lang w:val="en-US"/>
        </w:rPr>
        <w:t>H</w:t>
      </w:r>
      <w:r w:rsidRPr="00D56740">
        <w:rPr>
          <w:lang w:val="en-US"/>
        </w:rPr>
        <w:t xml:space="preserve">ealth </w:t>
      </w:r>
      <w:r>
        <w:rPr>
          <w:lang w:val="en-US"/>
        </w:rPr>
        <w:t>C</w:t>
      </w:r>
      <w:r w:rsidRPr="00D56740">
        <w:rPr>
          <w:lang w:val="en-US"/>
        </w:rPr>
        <w:t xml:space="preserve">are </w:t>
      </w:r>
      <w:r>
        <w:rPr>
          <w:lang w:val="en-US"/>
        </w:rPr>
        <w:t>E</w:t>
      </w:r>
      <w:r w:rsidRPr="00D56740">
        <w:rPr>
          <w:lang w:val="en-US"/>
        </w:rPr>
        <w:t xml:space="preserve">thics </w:t>
      </w:r>
      <w:r>
        <w:rPr>
          <w:lang w:val="en-US"/>
        </w:rPr>
        <w:t>C</w:t>
      </w:r>
      <w:r w:rsidRPr="00D56740">
        <w:rPr>
          <w:lang w:val="en-US"/>
        </w:rPr>
        <w:t xml:space="preserve">onsultants: </w:t>
      </w:r>
      <w:r w:rsidRPr="00D56740">
        <w:rPr>
          <w:lang w:val="en-US"/>
        </w:rPr>
        <w:lastRenderedPageBreak/>
        <w:t xml:space="preserve">Journey to the </w:t>
      </w:r>
      <w:r>
        <w:rPr>
          <w:lang w:val="en-US"/>
        </w:rPr>
        <w:t>P</w:t>
      </w:r>
      <w:r w:rsidRPr="00D56740">
        <w:rPr>
          <w:lang w:val="en-US"/>
        </w:rPr>
        <w:t xml:space="preserve">resent and </w:t>
      </w:r>
      <w:r>
        <w:rPr>
          <w:lang w:val="en-US"/>
        </w:rPr>
        <w:t>I</w:t>
      </w:r>
      <w:r w:rsidRPr="00D56740">
        <w:rPr>
          <w:lang w:val="en-US"/>
        </w:rPr>
        <w:t xml:space="preserve">mplications for the </w:t>
      </w:r>
      <w:r>
        <w:rPr>
          <w:lang w:val="en-US"/>
        </w:rPr>
        <w:t>F</w:t>
      </w:r>
      <w:r w:rsidRPr="00D56740">
        <w:rPr>
          <w:lang w:val="en-US"/>
        </w:rPr>
        <w:t>ield.</w:t>
      </w:r>
      <w:r>
        <w:rPr>
          <w:lang w:val="en-US"/>
        </w:rPr>
        <w:t>”</w:t>
      </w:r>
      <w:r w:rsidRPr="00D56740">
        <w:rPr>
          <w:lang w:val="en-US"/>
        </w:rPr>
        <w:t xml:space="preserve"> </w:t>
      </w:r>
      <w:r w:rsidRPr="00D56740">
        <w:rPr>
          <w:i/>
          <w:lang w:val="en-US"/>
        </w:rPr>
        <w:t>American Journal of Bioethics</w:t>
      </w:r>
      <w:r>
        <w:rPr>
          <w:lang w:val="en-US"/>
        </w:rPr>
        <w:t>.</w:t>
      </w:r>
      <w:r w:rsidRPr="00D56740">
        <w:rPr>
          <w:lang w:val="en-US"/>
        </w:rPr>
        <w:t xml:space="preserve"> 15</w:t>
      </w:r>
      <w:r>
        <w:rPr>
          <w:lang w:val="en-US"/>
        </w:rPr>
        <w:t>.</w:t>
      </w:r>
      <w:r w:rsidRPr="00D56740">
        <w:rPr>
          <w:lang w:val="en-US"/>
        </w:rPr>
        <w:t>5</w:t>
      </w:r>
      <w:r>
        <w:rPr>
          <w:lang w:val="en-US"/>
        </w:rPr>
        <w:t xml:space="preserve"> (2015):</w:t>
      </w:r>
      <w:r w:rsidRPr="00D56740">
        <w:rPr>
          <w:lang w:val="en-US"/>
        </w:rPr>
        <w:t xml:space="preserve"> 38-51. </w:t>
      </w:r>
    </w:p>
    <w:p w14:paraId="25073850" w14:textId="77777777" w:rsidR="00D56740" w:rsidRDefault="00D56740" w:rsidP="003F0D66">
      <w:pPr>
        <w:widowControl w:val="0"/>
        <w:ind w:left="800" w:hanging="800"/>
        <w:rPr>
          <w:lang w:val="en-US"/>
        </w:rPr>
      </w:pPr>
    </w:p>
    <w:p w14:paraId="5298CC5C" w14:textId="5A66A804" w:rsidR="00C32E2A" w:rsidRDefault="008407FE" w:rsidP="003F0D66">
      <w:pPr>
        <w:widowControl w:val="0"/>
        <w:ind w:left="800" w:hanging="800"/>
      </w:pPr>
      <w:r>
        <w:rPr>
          <w:lang w:val="en-US"/>
        </w:rPr>
        <w:t>Tarzian, A. "Health Care Ethics Consultation: An Update on Core Competencies and Emerging S</w:t>
      </w:r>
      <w:r w:rsidR="006A73A5">
        <w:rPr>
          <w:lang w:val="en-US"/>
        </w:rPr>
        <w:t>tandards from the American Society</w:t>
      </w:r>
      <w:r>
        <w:rPr>
          <w:lang w:val="en-US"/>
        </w:rPr>
        <w:t xml:space="preserve"> </w:t>
      </w:r>
      <w:r w:rsidR="006C4E10">
        <w:rPr>
          <w:lang w:val="en-US"/>
        </w:rPr>
        <w:t>f</w:t>
      </w:r>
      <w:r>
        <w:rPr>
          <w:lang w:val="en-US"/>
        </w:rPr>
        <w:t>or Bioethics and Humanities' Core Competencies Update Task F</w:t>
      </w:r>
      <w:r w:rsidR="006A73A5">
        <w:rPr>
          <w:lang w:val="en-US"/>
        </w:rPr>
        <w:t xml:space="preserve">orce." </w:t>
      </w:r>
      <w:r w:rsidR="002A10C2">
        <w:rPr>
          <w:i/>
          <w:iCs/>
          <w:lang w:val="en-US"/>
        </w:rPr>
        <w:t>American Journal of Bioethics</w:t>
      </w:r>
      <w:r w:rsidR="00910054">
        <w:rPr>
          <w:i/>
          <w:iCs/>
          <w:lang w:val="en-US"/>
        </w:rPr>
        <w:t xml:space="preserve"> </w:t>
      </w:r>
      <w:r w:rsidR="006A73A5" w:rsidRPr="00910054">
        <w:rPr>
          <w:iCs/>
          <w:lang w:val="en-US"/>
        </w:rPr>
        <w:t>13</w:t>
      </w:r>
      <w:r w:rsidR="00D149AA">
        <w:rPr>
          <w:iCs/>
          <w:lang w:val="en-US"/>
        </w:rPr>
        <w:t>.2</w:t>
      </w:r>
      <w:r w:rsidR="006A73A5" w:rsidRPr="00910054">
        <w:rPr>
          <w:lang w:val="en-US"/>
        </w:rPr>
        <w:t xml:space="preserve"> (2013):</w:t>
      </w:r>
      <w:r w:rsidR="006A73A5">
        <w:rPr>
          <w:lang w:val="en-US"/>
        </w:rPr>
        <w:t xml:space="preserve"> 3-13. </w:t>
      </w:r>
    </w:p>
    <w:p w14:paraId="4AE4D48A" w14:textId="77777777" w:rsidR="00105A8B" w:rsidRDefault="00105A8B" w:rsidP="003F0D66">
      <w:pPr>
        <w:widowControl w:val="0"/>
        <w:ind w:left="800" w:hanging="800"/>
        <w:rPr>
          <w:lang w:val="en-US"/>
        </w:rPr>
      </w:pPr>
    </w:p>
    <w:p w14:paraId="47BA9A48" w14:textId="77777777" w:rsidR="00C32E2A" w:rsidRDefault="006A73A5" w:rsidP="003F0D66">
      <w:pPr>
        <w:widowControl w:val="0"/>
        <w:ind w:left="800" w:hanging="800"/>
      </w:pPr>
      <w:r>
        <w:rPr>
          <w:lang w:val="en-US"/>
        </w:rPr>
        <w:t xml:space="preserve">Tarzian, Anita J. "Credentials for Clinical Ethics Consultation: Are We There Yet?" </w:t>
      </w:r>
      <w:r>
        <w:rPr>
          <w:i/>
          <w:iCs/>
          <w:lang w:val="en-US"/>
        </w:rPr>
        <w:t>HEC Forum</w:t>
      </w:r>
      <w:r>
        <w:rPr>
          <w:lang w:val="en-US"/>
        </w:rPr>
        <w:t xml:space="preserve"> 21.3 (2009): 241-248. </w:t>
      </w:r>
    </w:p>
    <w:p w14:paraId="5CBDA86D" w14:textId="77777777" w:rsidR="00105A8B" w:rsidRDefault="00105A8B" w:rsidP="003F0D66">
      <w:pPr>
        <w:widowControl w:val="0"/>
        <w:ind w:left="800" w:hanging="800"/>
        <w:rPr>
          <w:lang w:val="en-US"/>
        </w:rPr>
      </w:pPr>
    </w:p>
    <w:p w14:paraId="72F3497E" w14:textId="77777777" w:rsidR="001C7A3C" w:rsidRDefault="006A73A5" w:rsidP="003F0D66">
      <w:pPr>
        <w:widowControl w:val="0"/>
        <w:ind w:left="800" w:hanging="800"/>
        <w:rPr>
          <w:lang w:val="en-US"/>
        </w:rPr>
      </w:pPr>
      <w:r>
        <w:rPr>
          <w:lang w:val="en-US"/>
        </w:rPr>
        <w:t xml:space="preserve">Thomas, John E., and Wilfrid J. Waluchow. </w:t>
      </w:r>
      <w:r w:rsidR="008407FE">
        <w:rPr>
          <w:i/>
          <w:iCs/>
          <w:lang w:val="en-US"/>
        </w:rPr>
        <w:t>Well and good: Case studies in Biomedical E</w:t>
      </w:r>
      <w:r>
        <w:rPr>
          <w:i/>
          <w:iCs/>
          <w:lang w:val="en-US"/>
        </w:rPr>
        <w:t>thics</w:t>
      </w:r>
      <w:r w:rsidR="008407FE">
        <w:rPr>
          <w:lang w:val="en-US"/>
        </w:rPr>
        <w:t>. Rev. E</w:t>
      </w:r>
      <w:r>
        <w:rPr>
          <w:lang w:val="en-US"/>
        </w:rPr>
        <w:t>d. Peterborough: Broadview Press, 1990.</w:t>
      </w:r>
    </w:p>
    <w:p w14:paraId="7A575630" w14:textId="77777777" w:rsidR="001C7A3C" w:rsidRDefault="001C7A3C" w:rsidP="003F0D66">
      <w:pPr>
        <w:widowControl w:val="0"/>
        <w:ind w:left="800" w:hanging="800"/>
        <w:rPr>
          <w:lang w:val="en-US"/>
        </w:rPr>
      </w:pPr>
    </w:p>
    <w:p w14:paraId="0392738A" w14:textId="77777777" w:rsidR="00C32E2A" w:rsidRPr="00D172DE" w:rsidRDefault="001C7A3C" w:rsidP="00D172DE">
      <w:pPr>
        <w:widowControl w:val="0"/>
        <w:ind w:left="800" w:hanging="800"/>
        <w:rPr>
          <w:lang w:val="en-US"/>
        </w:rPr>
      </w:pPr>
      <w:r>
        <w:rPr>
          <w:lang w:val="en-US"/>
        </w:rPr>
        <w:t xml:space="preserve">Thompson, Jon, Patricia Baird, and Jocelyn Downie. </w:t>
      </w:r>
      <w:r w:rsidR="00D172DE" w:rsidRPr="00D172DE">
        <w:rPr>
          <w:i/>
          <w:lang w:val="en-US"/>
        </w:rPr>
        <w:t xml:space="preserve">The Olivieri </w:t>
      </w:r>
      <w:r w:rsidRPr="00D172DE">
        <w:rPr>
          <w:i/>
          <w:lang w:val="en-US"/>
        </w:rPr>
        <w:t>Report</w:t>
      </w:r>
      <w:r w:rsidR="008407FE">
        <w:rPr>
          <w:i/>
          <w:lang w:val="en-US"/>
        </w:rPr>
        <w:t>: The Complete Text of the R</w:t>
      </w:r>
      <w:r w:rsidR="00D172DE" w:rsidRPr="00D172DE">
        <w:rPr>
          <w:i/>
          <w:lang w:val="en-US"/>
        </w:rPr>
        <w:t xml:space="preserve">eport of </w:t>
      </w:r>
      <w:r w:rsidR="008407FE">
        <w:rPr>
          <w:i/>
          <w:lang w:val="en-US"/>
        </w:rPr>
        <w:t>the Independent Inquiry C</w:t>
      </w:r>
      <w:r w:rsidR="00D172DE" w:rsidRPr="00D172DE">
        <w:rPr>
          <w:i/>
          <w:lang w:val="en-US"/>
        </w:rPr>
        <w:t>ommissioned by the Canadian Association of University Teachers</w:t>
      </w:r>
      <w:r w:rsidR="00D172DE">
        <w:rPr>
          <w:lang w:val="en-US"/>
        </w:rPr>
        <w:t>. Toronto: J Lorimer, 2011.</w:t>
      </w:r>
    </w:p>
    <w:p w14:paraId="2467319A" w14:textId="77777777" w:rsidR="00105A8B" w:rsidRDefault="00105A8B" w:rsidP="003F0D66">
      <w:pPr>
        <w:widowControl w:val="0"/>
        <w:ind w:left="800" w:hanging="800"/>
        <w:rPr>
          <w:lang w:val="en-US"/>
        </w:rPr>
      </w:pPr>
    </w:p>
    <w:p w14:paraId="25E6AAD4" w14:textId="77777777" w:rsidR="00C32E2A" w:rsidRDefault="006A73A5" w:rsidP="003F0D66">
      <w:pPr>
        <w:widowControl w:val="0"/>
        <w:ind w:left="800" w:hanging="800"/>
      </w:pPr>
      <w:r>
        <w:rPr>
          <w:lang w:val="en-US"/>
        </w:rPr>
        <w:t xml:space="preserve">Toulmin, S. "How Medicine Saved the Life of Ethics." </w:t>
      </w:r>
      <w:r>
        <w:rPr>
          <w:i/>
          <w:iCs/>
          <w:lang w:val="en-US"/>
        </w:rPr>
        <w:t>Perspectives in Biology and Medicine</w:t>
      </w:r>
      <w:r>
        <w:rPr>
          <w:lang w:val="en-US"/>
        </w:rPr>
        <w:t xml:space="preserve"> 25.4 (1982): 736-750. </w:t>
      </w:r>
    </w:p>
    <w:p w14:paraId="1D343E3D" w14:textId="77777777" w:rsidR="00135CF6" w:rsidRDefault="00135CF6" w:rsidP="00841FA2">
      <w:pPr>
        <w:widowControl w:val="0"/>
      </w:pPr>
    </w:p>
    <w:p w14:paraId="78447EFA" w14:textId="77777777" w:rsidR="00135CF6" w:rsidRDefault="008407FE" w:rsidP="00135CF6">
      <w:pPr>
        <w:widowControl w:val="0"/>
        <w:ind w:left="800" w:hanging="800"/>
      </w:pPr>
      <w:r>
        <w:t>Tronto, Joan. “Who is A</w:t>
      </w:r>
      <w:r w:rsidR="00135CF6">
        <w:t>uth</w:t>
      </w:r>
      <w:r>
        <w:t>orized to Do Applied Ethics? Inherently Political Dimensions of Applied E</w:t>
      </w:r>
      <w:r w:rsidR="00135CF6">
        <w:t xml:space="preserve">thics.” </w:t>
      </w:r>
      <w:r w:rsidR="00135CF6" w:rsidRPr="008407FE">
        <w:rPr>
          <w:i/>
        </w:rPr>
        <w:t>Ethical Theory and Moral Practice</w:t>
      </w:r>
      <w:r w:rsidR="00135CF6">
        <w:t xml:space="preserve"> 14.4 (2018): 407-417.</w:t>
      </w:r>
    </w:p>
    <w:p w14:paraId="76C82E55" w14:textId="77777777" w:rsidR="00105A8B" w:rsidRDefault="00105A8B" w:rsidP="00DA441D">
      <w:pPr>
        <w:widowControl w:val="0"/>
        <w:rPr>
          <w:lang w:val="en-US"/>
        </w:rPr>
      </w:pPr>
    </w:p>
    <w:p w14:paraId="78A67A45" w14:textId="77777777" w:rsidR="00C32E2A" w:rsidRDefault="006A73A5" w:rsidP="003F0D66">
      <w:pPr>
        <w:widowControl w:val="0"/>
        <w:ind w:left="800" w:hanging="800"/>
        <w:rPr>
          <w:lang w:val="en-US"/>
        </w:rPr>
      </w:pPr>
      <w:r>
        <w:rPr>
          <w:lang w:val="en-US"/>
        </w:rPr>
        <w:t xml:space="preserve">Turner, Leigh. "Politics, Bioethics, and Science Policy." </w:t>
      </w:r>
      <w:r>
        <w:rPr>
          <w:i/>
          <w:iCs/>
          <w:lang w:val="en-US"/>
        </w:rPr>
        <w:t>HEC Forum</w:t>
      </w:r>
      <w:r>
        <w:rPr>
          <w:lang w:val="en-US"/>
        </w:rPr>
        <w:t xml:space="preserve"> 20.1 (2008): 29-47. </w:t>
      </w:r>
    </w:p>
    <w:p w14:paraId="25ADB1F6" w14:textId="77777777" w:rsidR="00DA441D" w:rsidRDefault="00DA441D" w:rsidP="003F0D66">
      <w:pPr>
        <w:widowControl w:val="0"/>
        <w:ind w:left="800" w:hanging="800"/>
        <w:rPr>
          <w:lang w:val="en-US"/>
        </w:rPr>
      </w:pPr>
    </w:p>
    <w:p w14:paraId="1390FED0" w14:textId="77777777" w:rsidR="00DA441D" w:rsidRPr="00DA441D" w:rsidRDefault="00DA441D" w:rsidP="00DA441D">
      <w:pPr>
        <w:widowControl w:val="0"/>
        <w:ind w:left="800" w:hanging="800"/>
      </w:pPr>
      <w:r>
        <w:rPr>
          <w:lang w:val="en-US"/>
        </w:rPr>
        <w:t xml:space="preserve">Turner, Leigh. "Bioethics in Pluralistic Societies." </w:t>
      </w:r>
      <w:r>
        <w:rPr>
          <w:i/>
          <w:iCs/>
          <w:lang w:val="en-US"/>
        </w:rPr>
        <w:t>Medicine, Health Care and Philosophy</w:t>
      </w:r>
      <w:r>
        <w:rPr>
          <w:lang w:val="en-US"/>
        </w:rPr>
        <w:t xml:space="preserve"> 7.2 (2004): 201-208. </w:t>
      </w:r>
    </w:p>
    <w:p w14:paraId="3C8C403D" w14:textId="77777777" w:rsidR="00105A8B" w:rsidRDefault="00105A8B" w:rsidP="003F0D66">
      <w:pPr>
        <w:widowControl w:val="0"/>
        <w:ind w:left="800" w:hanging="800"/>
        <w:rPr>
          <w:lang w:val="en-US"/>
        </w:rPr>
      </w:pPr>
    </w:p>
    <w:p w14:paraId="6B89335B" w14:textId="77777777" w:rsidR="00C71E51" w:rsidRPr="00C71E51" w:rsidRDefault="00C71E51" w:rsidP="003F0D66">
      <w:pPr>
        <w:widowControl w:val="0"/>
        <w:ind w:left="800" w:hanging="800"/>
      </w:pPr>
      <w:r w:rsidRPr="00C71E51">
        <w:rPr>
          <w:lang w:val="en-US"/>
        </w:rPr>
        <w:t xml:space="preserve">United States Department of Veteran Affairs National Center for Ethics in Health Care, Integrated Ethics Program at </w:t>
      </w:r>
      <w:hyperlink r:id="rId36" w:history="1">
        <w:r w:rsidRPr="00C71E51">
          <w:rPr>
            <w:rStyle w:val="Hyperlink"/>
            <w:lang w:val="en-US"/>
          </w:rPr>
          <w:t>http://www.ethics.va.gov/integratedethics/</w:t>
        </w:r>
      </w:hyperlink>
    </w:p>
    <w:p w14:paraId="09842A0A" w14:textId="77777777" w:rsidR="00105A8B" w:rsidRDefault="00105A8B" w:rsidP="003F0D66">
      <w:pPr>
        <w:widowControl w:val="0"/>
        <w:ind w:left="800" w:hanging="800"/>
        <w:rPr>
          <w:lang w:val="en-US"/>
        </w:rPr>
      </w:pPr>
    </w:p>
    <w:p w14:paraId="2E4D7E67" w14:textId="77777777" w:rsidR="00C32E2A" w:rsidRDefault="00DA441D" w:rsidP="003F0D66">
      <w:pPr>
        <w:widowControl w:val="0"/>
        <w:ind w:left="800" w:hanging="800"/>
        <w:rPr>
          <w:lang w:val="en-US"/>
        </w:rPr>
      </w:pPr>
      <w:r>
        <w:rPr>
          <w:lang w:val="en-US"/>
        </w:rPr>
        <w:t>Veatch, RM. "Ethics Consultation: Permission from Patients and Other Problems of M</w:t>
      </w:r>
      <w:r w:rsidR="006A73A5">
        <w:rPr>
          <w:lang w:val="en-US"/>
        </w:rPr>
        <w:t xml:space="preserve">ethod." </w:t>
      </w:r>
      <w:r w:rsidR="006A73A5">
        <w:rPr>
          <w:i/>
          <w:iCs/>
          <w:lang w:val="en-US"/>
        </w:rPr>
        <w:t>American Journal of Bioethics</w:t>
      </w:r>
      <w:r w:rsidR="006A73A5">
        <w:rPr>
          <w:lang w:val="en-US"/>
        </w:rPr>
        <w:t xml:space="preserve"> 1.4 (2001): 43-5. </w:t>
      </w:r>
    </w:p>
    <w:p w14:paraId="6DF6F4CE" w14:textId="77777777" w:rsidR="00105A8B" w:rsidRDefault="00105A8B" w:rsidP="003F0D66">
      <w:pPr>
        <w:widowControl w:val="0"/>
        <w:ind w:left="800" w:hanging="800"/>
      </w:pPr>
    </w:p>
    <w:p w14:paraId="361A764D" w14:textId="77777777" w:rsidR="00375BE8" w:rsidRDefault="00375BE8" w:rsidP="003F0D66">
      <w:pPr>
        <w:widowControl w:val="0"/>
        <w:ind w:left="800" w:hanging="800"/>
      </w:pPr>
      <w:r w:rsidRPr="00375BE8">
        <w:t xml:space="preserve">Verkerk, M. and Lindemann, H. (2012) Toward a Naturalized Clinical Ethics. </w:t>
      </w:r>
      <w:r w:rsidRPr="00AA3488">
        <w:rPr>
          <w:i/>
        </w:rPr>
        <w:t>Kennedy Institute of Ethics Journal</w:t>
      </w:r>
      <w:r w:rsidRPr="00375BE8">
        <w:t>. 22(4), 289-306.</w:t>
      </w:r>
    </w:p>
    <w:p w14:paraId="30393E5E" w14:textId="77777777" w:rsidR="00105A8B" w:rsidRDefault="00105A8B" w:rsidP="003F0D66">
      <w:pPr>
        <w:widowControl w:val="0"/>
        <w:ind w:left="800" w:hanging="800"/>
        <w:rPr>
          <w:lang w:val="en-US"/>
        </w:rPr>
      </w:pPr>
    </w:p>
    <w:p w14:paraId="1F1A6030" w14:textId="77777777" w:rsidR="00C32E2A" w:rsidRPr="008823A9" w:rsidRDefault="00DA441D" w:rsidP="003F0D66">
      <w:pPr>
        <w:widowControl w:val="0"/>
        <w:ind w:left="800" w:hanging="800"/>
        <w:rPr>
          <w:lang w:val="en-US"/>
        </w:rPr>
      </w:pPr>
      <w:r>
        <w:rPr>
          <w:lang w:val="en-US"/>
        </w:rPr>
        <w:t>Volpe, RL. "Training Currently Practicing Members of the Ethics Consultation Service: One Institution’s E</w:t>
      </w:r>
      <w:r w:rsidR="006A73A5">
        <w:rPr>
          <w:lang w:val="en-US"/>
        </w:rPr>
        <w:t xml:space="preserve">xperience." </w:t>
      </w:r>
      <w:r w:rsidR="006A73A5">
        <w:rPr>
          <w:i/>
          <w:iCs/>
          <w:lang w:val="en-US"/>
        </w:rPr>
        <w:t>Journal of Clinical Ethics</w:t>
      </w:r>
      <w:r w:rsidR="006A73A5">
        <w:rPr>
          <w:lang w:val="en-US"/>
        </w:rPr>
        <w:t xml:space="preserve"> 22.3 </w:t>
      </w:r>
      <w:r w:rsidR="006A73A5" w:rsidRPr="008823A9">
        <w:rPr>
          <w:lang w:val="en-US"/>
        </w:rPr>
        <w:lastRenderedPageBreak/>
        <w:t xml:space="preserve">(2011): 217-22. </w:t>
      </w:r>
    </w:p>
    <w:p w14:paraId="51E8C237" w14:textId="77777777" w:rsidR="009377A9" w:rsidRPr="008823A9" w:rsidRDefault="009377A9" w:rsidP="003F0D66">
      <w:pPr>
        <w:widowControl w:val="0"/>
        <w:ind w:left="800" w:hanging="800"/>
      </w:pPr>
    </w:p>
    <w:p w14:paraId="696F9B55" w14:textId="77777777" w:rsidR="00105A8B" w:rsidRPr="008823A9" w:rsidRDefault="009377A9" w:rsidP="003F0D66">
      <w:pPr>
        <w:widowControl w:val="0"/>
        <w:ind w:left="800" w:hanging="800"/>
        <w:rPr>
          <w:lang w:val="en-US"/>
        </w:rPr>
      </w:pPr>
      <w:r w:rsidRPr="008823A9">
        <w:rPr>
          <w:lang w:val="en-US"/>
        </w:rPr>
        <w:t xml:space="preserve">Vulnerable Persons Secretariat. </w:t>
      </w:r>
      <w:r w:rsidRPr="008823A9">
        <w:rPr>
          <w:i/>
          <w:lang w:val="en-US"/>
        </w:rPr>
        <w:t>Vulnerable Persons Standard.</w:t>
      </w:r>
      <w:r w:rsidR="00B57FCC" w:rsidRPr="008823A9">
        <w:rPr>
          <w:lang w:val="en-US"/>
        </w:rPr>
        <w:t xml:space="preserve"> </w:t>
      </w:r>
      <w:hyperlink r:id="rId37" w:history="1">
        <w:r w:rsidR="00B57FCC" w:rsidRPr="008823A9">
          <w:rPr>
            <w:rStyle w:val="Hyperlink"/>
            <w:lang w:val="en-US"/>
          </w:rPr>
          <w:t>http://www.vps-npv.ca/read-the-standard-20</w:t>
        </w:r>
      </w:hyperlink>
      <w:r w:rsidR="00B57FCC" w:rsidRPr="008823A9">
        <w:rPr>
          <w:lang w:val="en-US"/>
        </w:rPr>
        <w:t>. Accessed: 11 February 11, 2019.</w:t>
      </w:r>
      <w:r w:rsidRPr="008823A9">
        <w:rPr>
          <w:lang w:val="en-US"/>
        </w:rPr>
        <w:t xml:space="preserve"> </w:t>
      </w:r>
    </w:p>
    <w:p w14:paraId="79A70689" w14:textId="77777777" w:rsidR="009377A9" w:rsidRPr="008823A9" w:rsidRDefault="009377A9" w:rsidP="003F0D66">
      <w:pPr>
        <w:widowControl w:val="0"/>
        <w:ind w:left="800" w:hanging="800"/>
        <w:rPr>
          <w:szCs w:val="20"/>
          <w:lang w:val="en-US"/>
        </w:rPr>
      </w:pPr>
    </w:p>
    <w:p w14:paraId="17B29CE0" w14:textId="77777777" w:rsidR="00910C2A" w:rsidRDefault="00924944" w:rsidP="003F0D66">
      <w:pPr>
        <w:widowControl w:val="0"/>
        <w:ind w:left="800" w:hanging="800"/>
        <w:rPr>
          <w:szCs w:val="20"/>
        </w:rPr>
      </w:pPr>
      <w:r w:rsidRPr="00910C2A">
        <w:rPr>
          <w:szCs w:val="20"/>
        </w:rPr>
        <w:t>Walker</w:t>
      </w:r>
      <w:r w:rsidR="008823A9" w:rsidRPr="00910C2A">
        <w:rPr>
          <w:szCs w:val="20"/>
        </w:rPr>
        <w:t xml:space="preserve">, Margaret Urban. </w:t>
      </w:r>
      <w:r w:rsidRPr="00910C2A">
        <w:rPr>
          <w:szCs w:val="20"/>
        </w:rPr>
        <w:t xml:space="preserve">“Keeping Moral Space Open: New Images of Ethics Consulting” </w:t>
      </w:r>
      <w:r w:rsidRPr="00910C2A">
        <w:rPr>
          <w:i/>
          <w:szCs w:val="20"/>
        </w:rPr>
        <w:t>Hastings Center Report</w:t>
      </w:r>
      <w:r w:rsidRPr="00910C2A">
        <w:rPr>
          <w:szCs w:val="20"/>
        </w:rPr>
        <w:t xml:space="preserve"> 23.2 (1993)</w:t>
      </w:r>
      <w:r w:rsidR="00910C2A">
        <w:rPr>
          <w:szCs w:val="20"/>
        </w:rPr>
        <w:t xml:space="preserve">: </w:t>
      </w:r>
      <w:r w:rsidR="008823A9">
        <w:rPr>
          <w:szCs w:val="20"/>
        </w:rPr>
        <w:t>33-40</w:t>
      </w:r>
      <w:r w:rsidRPr="00910C2A">
        <w:rPr>
          <w:szCs w:val="20"/>
        </w:rPr>
        <w:t xml:space="preserve">.  </w:t>
      </w:r>
    </w:p>
    <w:p w14:paraId="3A38EE74" w14:textId="77777777" w:rsidR="00910C2A" w:rsidRDefault="00910C2A" w:rsidP="003F0D66">
      <w:pPr>
        <w:widowControl w:val="0"/>
        <w:ind w:left="800" w:hanging="800"/>
        <w:rPr>
          <w:szCs w:val="20"/>
        </w:rPr>
      </w:pPr>
    </w:p>
    <w:p w14:paraId="3520B102" w14:textId="77777777" w:rsidR="00910C2A" w:rsidRDefault="006A73A5" w:rsidP="003F0D66">
      <w:pPr>
        <w:widowControl w:val="0"/>
        <w:ind w:left="800" w:hanging="800"/>
      </w:pPr>
      <w:r>
        <w:rPr>
          <w:lang w:val="en-US"/>
        </w:rPr>
        <w:t>Walker, Margaret</w:t>
      </w:r>
      <w:r w:rsidR="00B91B61">
        <w:rPr>
          <w:lang w:val="en-US"/>
        </w:rPr>
        <w:t xml:space="preserve"> Urban. "Feminism, Ethics, and t</w:t>
      </w:r>
      <w:r w:rsidR="00AA3488">
        <w:rPr>
          <w:lang w:val="en-US"/>
        </w:rPr>
        <w:t>he Question o</w:t>
      </w:r>
      <w:r>
        <w:rPr>
          <w:lang w:val="en-US"/>
        </w:rPr>
        <w:t xml:space="preserve">f Theory." </w:t>
      </w:r>
      <w:r>
        <w:rPr>
          <w:i/>
          <w:iCs/>
          <w:lang w:val="en-US"/>
        </w:rPr>
        <w:t>Hypatia</w:t>
      </w:r>
      <w:r>
        <w:rPr>
          <w:lang w:val="en-US"/>
        </w:rPr>
        <w:t xml:space="preserve"> 7.3 (1992): 23-38. </w:t>
      </w:r>
    </w:p>
    <w:p w14:paraId="42335D89" w14:textId="77777777" w:rsidR="008823A9" w:rsidRDefault="008823A9" w:rsidP="00910C2A">
      <w:pPr>
        <w:widowControl w:val="0"/>
        <w:ind w:left="800" w:hanging="800"/>
        <w:rPr>
          <w:lang w:val="en-US"/>
        </w:rPr>
      </w:pPr>
    </w:p>
    <w:p w14:paraId="4798395F" w14:textId="77777777" w:rsidR="008823A9" w:rsidRDefault="008823A9" w:rsidP="008823A9">
      <w:pPr>
        <w:widowControl w:val="0"/>
        <w:ind w:left="800" w:hanging="800"/>
      </w:pPr>
      <w:r>
        <w:rPr>
          <w:lang w:val="en-US"/>
        </w:rPr>
        <w:t xml:space="preserve">Walker, Margaret Urban. "Moral Understandings: Alternative Epistemology for a Feminist Ethics." </w:t>
      </w:r>
      <w:r>
        <w:rPr>
          <w:i/>
          <w:iCs/>
          <w:lang w:val="en-US"/>
        </w:rPr>
        <w:t>Hypatia</w:t>
      </w:r>
      <w:r>
        <w:rPr>
          <w:lang w:val="en-US"/>
        </w:rPr>
        <w:t xml:space="preserve"> 4.2 (1989): 15-28. </w:t>
      </w:r>
    </w:p>
    <w:p w14:paraId="35DDBADE" w14:textId="77777777" w:rsidR="00105A8B" w:rsidRDefault="00105A8B" w:rsidP="00910C2A">
      <w:pPr>
        <w:widowControl w:val="0"/>
        <w:rPr>
          <w:lang w:val="en-US"/>
        </w:rPr>
      </w:pPr>
    </w:p>
    <w:p w14:paraId="1656A9D2" w14:textId="77777777" w:rsidR="00C32E2A" w:rsidRDefault="006A73A5" w:rsidP="003F0D66">
      <w:pPr>
        <w:widowControl w:val="0"/>
        <w:ind w:left="800" w:hanging="800"/>
      </w:pPr>
      <w:r>
        <w:rPr>
          <w:lang w:val="en-US"/>
        </w:rPr>
        <w:t xml:space="preserve">Walker, T. "What Principlism Misses." </w:t>
      </w:r>
      <w:r>
        <w:rPr>
          <w:i/>
          <w:iCs/>
          <w:lang w:val="en-US"/>
        </w:rPr>
        <w:t>Journal of Medical Ethics</w:t>
      </w:r>
      <w:r>
        <w:rPr>
          <w:lang w:val="en-US"/>
        </w:rPr>
        <w:t xml:space="preserve"> 35.4 (2009): 229-231. </w:t>
      </w:r>
    </w:p>
    <w:p w14:paraId="15BDA898" w14:textId="77777777" w:rsidR="007D0DDA" w:rsidRDefault="007D0DDA" w:rsidP="007D0DDA">
      <w:pPr>
        <w:widowControl w:val="0"/>
        <w:ind w:left="800" w:hanging="800"/>
        <w:rPr>
          <w:lang w:val="en-US"/>
        </w:rPr>
      </w:pPr>
    </w:p>
    <w:p w14:paraId="27F997C0" w14:textId="77777777" w:rsidR="00105A8B" w:rsidRDefault="007D0DDA" w:rsidP="007D0DDA">
      <w:pPr>
        <w:widowControl w:val="0"/>
        <w:ind w:left="800" w:hanging="800"/>
        <w:rPr>
          <w:lang w:val="en-US"/>
        </w:rPr>
      </w:pPr>
      <w:r>
        <w:rPr>
          <w:lang w:val="en-US"/>
        </w:rPr>
        <w:t xml:space="preserve">Waluchow, Wilfrid J. </w:t>
      </w:r>
      <w:r w:rsidRPr="007D0DDA">
        <w:rPr>
          <w:i/>
          <w:lang w:val="en-US"/>
        </w:rPr>
        <w:t xml:space="preserve">A Common Law Theory of Judicial Review: The Living Tree. </w:t>
      </w:r>
      <w:r>
        <w:rPr>
          <w:lang w:val="en-US"/>
        </w:rPr>
        <w:t>New York: Cambridge University Press, 2007.</w:t>
      </w:r>
    </w:p>
    <w:p w14:paraId="2D3F73FF" w14:textId="77777777" w:rsidR="007D0DDA" w:rsidRDefault="007D0DDA" w:rsidP="003F0D66">
      <w:pPr>
        <w:widowControl w:val="0"/>
        <w:ind w:left="800" w:hanging="800"/>
        <w:rPr>
          <w:lang w:val="en-US"/>
        </w:rPr>
      </w:pPr>
    </w:p>
    <w:p w14:paraId="7651CFE8" w14:textId="77777777" w:rsidR="00C32E2A" w:rsidRDefault="006A73A5" w:rsidP="003F0D66">
      <w:pPr>
        <w:widowControl w:val="0"/>
        <w:ind w:left="800" w:hanging="800"/>
      </w:pPr>
      <w:r>
        <w:rPr>
          <w:lang w:val="en-US"/>
        </w:rPr>
        <w:t xml:space="preserve">Waluchow, Wilfrid J. </w:t>
      </w:r>
      <w:r w:rsidR="00DA441D">
        <w:rPr>
          <w:i/>
          <w:iCs/>
          <w:lang w:val="en-US"/>
        </w:rPr>
        <w:t>The Dimensions of E</w:t>
      </w:r>
      <w:r>
        <w:rPr>
          <w:i/>
          <w:iCs/>
          <w:lang w:val="en-US"/>
        </w:rPr>
        <w:t>th</w:t>
      </w:r>
      <w:r w:rsidR="00DA441D">
        <w:rPr>
          <w:i/>
          <w:iCs/>
          <w:lang w:val="en-US"/>
        </w:rPr>
        <w:t>ics: An Introduction to Ethical T</w:t>
      </w:r>
      <w:r>
        <w:rPr>
          <w:i/>
          <w:iCs/>
          <w:lang w:val="en-US"/>
        </w:rPr>
        <w:t>heory</w:t>
      </w:r>
      <w:r>
        <w:rPr>
          <w:lang w:val="en-US"/>
        </w:rPr>
        <w:t xml:space="preserve">. Peterborough, Ont.: Broadview Press, 2003. </w:t>
      </w:r>
    </w:p>
    <w:p w14:paraId="3BA1E20E" w14:textId="77777777" w:rsidR="00105A8B" w:rsidRDefault="00105A8B" w:rsidP="003F0D66">
      <w:pPr>
        <w:widowControl w:val="0"/>
        <w:ind w:left="800" w:hanging="800"/>
        <w:rPr>
          <w:lang w:val="en-US"/>
        </w:rPr>
      </w:pPr>
    </w:p>
    <w:p w14:paraId="4C6A06C8" w14:textId="77777777" w:rsidR="00C32E2A" w:rsidRDefault="006A73A5" w:rsidP="003F0D66">
      <w:pPr>
        <w:widowControl w:val="0"/>
        <w:ind w:left="800" w:hanging="800"/>
      </w:pPr>
      <w:r>
        <w:rPr>
          <w:lang w:val="en-US"/>
        </w:rPr>
        <w:t>Watkins, Liza T., Galit Sacajiu, and Alison Karasz. "The Rol</w:t>
      </w:r>
      <w:r w:rsidR="00B91B61">
        <w:rPr>
          <w:lang w:val="en-US"/>
        </w:rPr>
        <w:t>e of the Bioethicist i</w:t>
      </w:r>
      <w:r w:rsidR="00AA3488">
        <w:rPr>
          <w:lang w:val="en-US"/>
        </w:rPr>
        <w:t>n Family Meetings a</w:t>
      </w:r>
      <w:r>
        <w:rPr>
          <w:lang w:val="en-US"/>
        </w:rPr>
        <w:t xml:space="preserve">bout End of Life Care." </w:t>
      </w:r>
      <w:r>
        <w:rPr>
          <w:i/>
          <w:iCs/>
          <w:lang w:val="en-US"/>
        </w:rPr>
        <w:t>Social Science &amp; Medicine</w:t>
      </w:r>
      <w:r>
        <w:rPr>
          <w:lang w:val="en-US"/>
        </w:rPr>
        <w:t xml:space="preserve"> 65.11 (2007): 2328-2341. </w:t>
      </w:r>
    </w:p>
    <w:p w14:paraId="1A92FC60" w14:textId="77777777" w:rsidR="00105A8B" w:rsidRDefault="00105A8B" w:rsidP="003F0D66">
      <w:pPr>
        <w:widowControl w:val="0"/>
        <w:ind w:left="800" w:hanging="800"/>
        <w:rPr>
          <w:lang w:val="en-US"/>
        </w:rPr>
      </w:pPr>
    </w:p>
    <w:p w14:paraId="13E8C0ED" w14:textId="77777777" w:rsidR="00B91B61" w:rsidRDefault="006A73A5" w:rsidP="003F0D66">
      <w:pPr>
        <w:widowControl w:val="0"/>
        <w:ind w:left="800" w:hanging="800"/>
        <w:rPr>
          <w:lang w:val="en-US"/>
        </w:rPr>
      </w:pPr>
      <w:r>
        <w:rPr>
          <w:lang w:val="en-US"/>
        </w:rPr>
        <w:t xml:space="preserve">Wear, Delese, and Mark G. Kuczewski. "The Professionalism Movement: Can We Pause?" </w:t>
      </w:r>
      <w:r>
        <w:rPr>
          <w:i/>
          <w:iCs/>
          <w:lang w:val="en-US"/>
        </w:rPr>
        <w:t>The American Journal of Bioethics</w:t>
      </w:r>
      <w:r>
        <w:rPr>
          <w:lang w:val="en-US"/>
        </w:rPr>
        <w:t xml:space="preserve"> 4.2 (2004): 1-10. </w:t>
      </w:r>
    </w:p>
    <w:p w14:paraId="633DF39A" w14:textId="77777777" w:rsidR="00C32E2A" w:rsidRDefault="00C32E2A" w:rsidP="003F0D66">
      <w:pPr>
        <w:widowControl w:val="0"/>
        <w:ind w:left="800" w:hanging="800"/>
      </w:pPr>
    </w:p>
    <w:p w14:paraId="5AB73AED" w14:textId="77777777" w:rsidR="00C32E2A" w:rsidRDefault="006A73A5" w:rsidP="003F0D66">
      <w:pPr>
        <w:widowControl w:val="0"/>
        <w:ind w:left="800" w:hanging="800"/>
        <w:rPr>
          <w:lang w:val="en-US"/>
        </w:rPr>
      </w:pPr>
      <w:r>
        <w:rPr>
          <w:lang w:val="en-US"/>
        </w:rPr>
        <w:t xml:space="preserve">Williams-Jones, Bryn. "Book Review: Who Owns Life?" </w:t>
      </w:r>
      <w:r>
        <w:rPr>
          <w:i/>
          <w:iCs/>
          <w:lang w:val="en-US"/>
        </w:rPr>
        <w:t>Theoretical Medicine and Bioethics</w:t>
      </w:r>
      <w:r>
        <w:rPr>
          <w:lang w:val="en-US"/>
        </w:rPr>
        <w:t xml:space="preserve"> 25.2 (2004): 165-169. </w:t>
      </w:r>
    </w:p>
    <w:p w14:paraId="425C8A16" w14:textId="77777777" w:rsidR="00105A8B" w:rsidRDefault="00105A8B" w:rsidP="003F0D66">
      <w:pPr>
        <w:widowControl w:val="0"/>
        <w:ind w:left="800" w:hanging="800"/>
      </w:pPr>
    </w:p>
    <w:p w14:paraId="732A4EB9" w14:textId="77777777" w:rsidR="00C32E2A" w:rsidRDefault="006A73A5" w:rsidP="003F0D66">
      <w:pPr>
        <w:widowControl w:val="0"/>
        <w:ind w:left="800" w:hanging="800"/>
        <w:rPr>
          <w:lang w:val="en-US"/>
        </w:rPr>
      </w:pPr>
      <w:r>
        <w:rPr>
          <w:lang w:val="en-US"/>
        </w:rPr>
        <w:t xml:space="preserve">Wolf, Susan M., and Jeffrey P. Kahn. "Bioethics Matures: The Field Faces The Future." </w:t>
      </w:r>
      <w:r>
        <w:rPr>
          <w:i/>
          <w:iCs/>
          <w:lang w:val="en-US"/>
        </w:rPr>
        <w:t>Hastings Center Report</w:t>
      </w:r>
      <w:r>
        <w:rPr>
          <w:lang w:val="en-US"/>
        </w:rPr>
        <w:t xml:space="preserve"> 35.4 (2005): 22-24. </w:t>
      </w:r>
    </w:p>
    <w:p w14:paraId="391AFC27" w14:textId="77777777" w:rsidR="00A340EA" w:rsidRDefault="00A340EA" w:rsidP="003F0D66">
      <w:pPr>
        <w:widowControl w:val="0"/>
        <w:ind w:left="800" w:hanging="800"/>
        <w:rPr>
          <w:lang w:val="en-US"/>
        </w:rPr>
      </w:pPr>
    </w:p>
    <w:p w14:paraId="5B484234" w14:textId="77777777" w:rsidR="00A340EA" w:rsidRDefault="00A340EA" w:rsidP="003F0D66">
      <w:pPr>
        <w:widowControl w:val="0"/>
        <w:ind w:left="800" w:hanging="800"/>
      </w:pPr>
      <w:r>
        <w:rPr>
          <w:lang w:val="en-US"/>
        </w:rPr>
        <w:t xml:space="preserve">Young, Adrienne M. “Solving the Wicked Problem of Hospital Malnutrition.” </w:t>
      </w:r>
      <w:r w:rsidRPr="00A340EA">
        <w:rPr>
          <w:i/>
          <w:lang w:val="en-US"/>
        </w:rPr>
        <w:t>Nutrition and Dietetics</w:t>
      </w:r>
      <w:r>
        <w:rPr>
          <w:lang w:val="en-US"/>
        </w:rPr>
        <w:t xml:space="preserve"> 72 (2015): 200-2004.</w:t>
      </w:r>
    </w:p>
    <w:p w14:paraId="7E209D27" w14:textId="77777777" w:rsidR="00105A8B" w:rsidRDefault="00105A8B" w:rsidP="003F0D66">
      <w:pPr>
        <w:widowControl w:val="0"/>
        <w:ind w:left="800" w:hanging="800"/>
        <w:rPr>
          <w:lang w:val="en-US"/>
        </w:rPr>
      </w:pPr>
    </w:p>
    <w:p w14:paraId="4439E052" w14:textId="77777777" w:rsidR="00C32E2A" w:rsidRDefault="006A73A5" w:rsidP="003F0D66">
      <w:pPr>
        <w:widowControl w:val="0"/>
        <w:ind w:left="800" w:hanging="800"/>
      </w:pPr>
      <w:r>
        <w:rPr>
          <w:lang w:val="en-US"/>
        </w:rPr>
        <w:t xml:space="preserve">Zoloth-Dorfman, L, and SB Rubin. "Navigators and captains: expertise in clinical ethics consultation." </w:t>
      </w:r>
      <w:r>
        <w:rPr>
          <w:i/>
          <w:iCs/>
          <w:lang w:val="en-US"/>
        </w:rPr>
        <w:t>Theoretical Medicine</w:t>
      </w:r>
      <w:r w:rsidR="00B91B61">
        <w:rPr>
          <w:lang w:val="en-US"/>
        </w:rPr>
        <w:t xml:space="preserve"> 18.4 (1997): 421-32. </w:t>
      </w:r>
    </w:p>
    <w:p w14:paraId="7B5F8D11" w14:textId="77777777" w:rsidR="00C71E51" w:rsidRDefault="00C71E51" w:rsidP="003F0D66"/>
    <w:p w14:paraId="1BB3B8DE" w14:textId="77777777" w:rsidR="0003773E" w:rsidRDefault="0003773E" w:rsidP="001032EA">
      <w:pPr>
        <w:jc w:val="right"/>
        <w:rPr>
          <w:lang w:val="en-US"/>
        </w:rPr>
      </w:pPr>
    </w:p>
    <w:p w14:paraId="58C7E182" w14:textId="77777777" w:rsidR="00C32E2A" w:rsidRPr="0003773E" w:rsidRDefault="0003773E" w:rsidP="0003773E">
      <w:pPr>
        <w:tabs>
          <w:tab w:val="left" w:pos="6960"/>
        </w:tabs>
        <w:rPr>
          <w:lang w:val="en-US"/>
        </w:rPr>
      </w:pPr>
      <w:r>
        <w:rPr>
          <w:lang w:val="en-US"/>
        </w:rPr>
        <w:tab/>
      </w:r>
    </w:p>
    <w:sectPr w:rsidR="00C32E2A" w:rsidRPr="0003773E" w:rsidSect="00323B00">
      <w:pgSz w:w="12240" w:h="15840"/>
      <w:pgMar w:top="2155" w:right="2155" w:bottom="1418" w:left="2155" w:header="720" w:footer="86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F364" w14:textId="77777777" w:rsidR="002F33A0" w:rsidRDefault="002F33A0">
      <w:r>
        <w:separator/>
      </w:r>
    </w:p>
  </w:endnote>
  <w:endnote w:type="continuationSeparator" w:id="0">
    <w:p w14:paraId="062F1C13" w14:textId="77777777" w:rsidR="002F33A0" w:rsidRDefault="002F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396601"/>
      <w:docPartObj>
        <w:docPartGallery w:val="Page Numbers (Bottom of Page)"/>
        <w:docPartUnique/>
      </w:docPartObj>
    </w:sdtPr>
    <w:sdtEndPr>
      <w:rPr>
        <w:noProof/>
      </w:rPr>
    </w:sdtEndPr>
    <w:sdtContent>
      <w:p w14:paraId="03E4F9A5" w14:textId="1880EF30" w:rsidR="00BB3FE0" w:rsidRDefault="00BB3FE0">
        <w:pPr>
          <w:pStyle w:val="Footer"/>
          <w:jc w:val="center"/>
        </w:pPr>
        <w:r>
          <w:fldChar w:fldCharType="begin"/>
        </w:r>
        <w:r>
          <w:instrText xml:space="preserve"> PAGE   \* MERGEFORMAT </w:instrText>
        </w:r>
        <w:r>
          <w:fldChar w:fldCharType="separate"/>
        </w:r>
        <w:r w:rsidR="002570C4">
          <w:rPr>
            <w:noProof/>
          </w:rPr>
          <w:t>ix</w:t>
        </w:r>
        <w:r>
          <w:rPr>
            <w:noProof/>
          </w:rPr>
          <w:fldChar w:fldCharType="end"/>
        </w:r>
      </w:p>
    </w:sdtContent>
  </w:sdt>
  <w:p w14:paraId="0249E56B" w14:textId="77777777" w:rsidR="00BB3FE0" w:rsidRDefault="00BB3FE0">
    <w:pPr>
      <w:pStyle w:val="Footer"/>
      <w:tabs>
        <w:tab w:val="clear" w:pos="9026"/>
        <w:tab w:val="right" w:pos="86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DD83" w14:textId="710B45D9" w:rsidR="00BB3FE0" w:rsidRDefault="00BB3FE0">
    <w:pPr>
      <w:pStyle w:val="Footer"/>
      <w:jc w:val="center"/>
    </w:pPr>
  </w:p>
  <w:p w14:paraId="409FDECE" w14:textId="77777777" w:rsidR="00BB3FE0" w:rsidRDefault="00BB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760A" w14:textId="77777777" w:rsidR="002F33A0" w:rsidRDefault="002F33A0">
      <w:r>
        <w:separator/>
      </w:r>
    </w:p>
  </w:footnote>
  <w:footnote w:type="continuationSeparator" w:id="0">
    <w:p w14:paraId="74290140" w14:textId="77777777" w:rsidR="002F33A0" w:rsidRDefault="002F33A0">
      <w:r>
        <w:continuationSeparator/>
      </w:r>
    </w:p>
  </w:footnote>
  <w:footnote w:type="continuationNotice" w:id="1">
    <w:p w14:paraId="028CBBD8" w14:textId="77777777" w:rsidR="002F33A0" w:rsidRDefault="002F33A0"/>
  </w:footnote>
  <w:footnote w:id="2">
    <w:p w14:paraId="70A0B303" w14:textId="77777777" w:rsidR="00BB3FE0" w:rsidRPr="008E071C" w:rsidRDefault="00BB3FE0" w:rsidP="00EB6311">
      <w:pPr>
        <w:pStyle w:val="FootnoteText"/>
        <w:ind w:firstLine="720"/>
      </w:pPr>
      <w:r w:rsidRPr="00EB6311">
        <w:rPr>
          <w:rStyle w:val="FootnoteReference"/>
          <w:sz w:val="20"/>
        </w:rPr>
        <w:footnoteRef/>
      </w:r>
      <w:r w:rsidRPr="00EB6311">
        <w:rPr>
          <w:sz w:val="20"/>
        </w:rPr>
        <w:t xml:space="preserve"> </w:t>
      </w:r>
      <w:r w:rsidRPr="00EB6311">
        <w:rPr>
          <w:rFonts w:eastAsia="Arial Unicode MS" w:hAnsi="Arial Unicode MS" w:cs="Arial Unicode MS"/>
          <w:sz w:val="20"/>
        </w:rPr>
        <w:t xml:space="preserve">In using the term unregulated I do not mean to suggest that PHEs face no constraints on their practice. Their work is circumscribed in a variety of important ways. Like others employed in health care they are subject to institutional policies, legal standards, and a wide range of organizational conventions. Most also have role descriptions that describe their institutional responsibilities (although these may be written in fairly general terms and may include phrases like </w:t>
      </w:r>
      <w:r w:rsidRPr="00EB6311">
        <w:rPr>
          <w:rFonts w:ascii="Arial Unicode MS" w:eastAsia="Arial Unicode MS" w:cs="Arial Unicode MS"/>
          <w:sz w:val="20"/>
        </w:rPr>
        <w:t>‘</w:t>
      </w:r>
      <w:r w:rsidRPr="00EB6311">
        <w:rPr>
          <w:rFonts w:eastAsia="Arial Unicode MS" w:hAnsi="Arial Unicode MS" w:cs="Arial Unicode MS"/>
          <w:sz w:val="20"/>
        </w:rPr>
        <w:t>other duties as required.</w:t>
      </w:r>
      <w:r w:rsidRPr="00EB6311">
        <w:rPr>
          <w:rFonts w:ascii="Arial Unicode MS" w:eastAsia="Arial Unicode MS" w:cs="Arial Unicode MS"/>
          <w:sz w:val="20"/>
        </w:rPr>
        <w:t>’</w:t>
      </w:r>
      <w:r w:rsidRPr="00EB6311">
        <w:rPr>
          <w:rFonts w:eastAsia="Arial Unicode MS" w:hAnsi="Arial Unicode MS" w:cs="Arial Unicode MS"/>
          <w:sz w:val="20"/>
        </w:rPr>
        <w:t>) What ethicists do not have, and this can elicit incredulous responses in health care settings, is a professional college or other regulatory body that establishes the obligations that practitioners owe to their c</w:t>
      </w:r>
      <w:r>
        <w:rPr>
          <w:rFonts w:eastAsia="Arial Unicode MS" w:hAnsi="Arial Unicode MS" w:cs="Arial Unicode MS"/>
          <w:sz w:val="20"/>
        </w:rPr>
        <w:t>olleagues</w:t>
      </w:r>
      <w:r w:rsidRPr="00EB6311">
        <w:rPr>
          <w:rFonts w:eastAsia="Arial Unicode MS" w:hAnsi="Arial Unicode MS" w:cs="Arial Unicode MS"/>
          <w:sz w:val="20"/>
        </w:rPr>
        <w:t xml:space="preserve"> and to the public, and that describes the penalties associated with breaches of duty.    </w:t>
      </w:r>
    </w:p>
    <w:p w14:paraId="60006097" w14:textId="77777777" w:rsidR="00BB3FE0" w:rsidRDefault="00BB3FE0">
      <w:pPr>
        <w:pStyle w:val="FootnoteText"/>
      </w:pPr>
    </w:p>
  </w:footnote>
  <w:footnote w:id="3">
    <w:p w14:paraId="09866D48" w14:textId="77777777" w:rsidR="00BB3FE0" w:rsidRPr="00EB6311" w:rsidRDefault="00BB3FE0" w:rsidP="00EB6311">
      <w:pPr>
        <w:pStyle w:val="FootnoteText"/>
        <w:ind w:firstLine="720"/>
        <w:rPr>
          <w:rFonts w:eastAsia="Arial Unicode MS" w:hAnsi="Arial Unicode MS" w:cs="Arial Unicode MS"/>
          <w:sz w:val="20"/>
          <w:szCs w:val="20"/>
        </w:rPr>
      </w:pPr>
      <w:r w:rsidRPr="00EB6311">
        <w:rPr>
          <w:sz w:val="20"/>
          <w:szCs w:val="20"/>
          <w:vertAlign w:val="superscript"/>
        </w:rPr>
        <w:footnoteRef/>
      </w:r>
      <w:r w:rsidRPr="00EB6311">
        <w:rPr>
          <w:rFonts w:eastAsia="Arial Unicode MS" w:hAnsi="Arial Unicode MS" w:cs="Arial Unicode MS"/>
          <w:sz w:val="20"/>
          <w:szCs w:val="20"/>
        </w:rPr>
        <w:t xml:space="preserve"> A qualification is in order here. A few years ago, </w:t>
      </w:r>
      <w:r>
        <w:rPr>
          <w:rFonts w:eastAsia="Arial Unicode MS" w:hAnsi="Arial Unicode MS" w:cs="Arial Unicode MS"/>
          <w:sz w:val="20"/>
          <w:szCs w:val="20"/>
        </w:rPr>
        <w:t>the Canadian government</w:t>
      </w:r>
      <w:r w:rsidRPr="00EB6311">
        <w:rPr>
          <w:rFonts w:eastAsia="Arial Unicode MS" w:hAnsi="Arial Unicode MS" w:cs="Arial Unicode MS"/>
          <w:sz w:val="20"/>
          <w:szCs w:val="20"/>
        </w:rPr>
        <w:t xml:space="preserve"> faced sharp criticisms from health economists, bioethicists, and some professional associations over the limitations it placed on</w:t>
      </w:r>
      <w:r>
        <w:rPr>
          <w:rFonts w:eastAsia="Arial Unicode MS" w:hAnsi="Arial Unicode MS" w:cs="Arial Unicode MS"/>
          <w:sz w:val="20"/>
          <w:szCs w:val="20"/>
        </w:rPr>
        <w:t xml:space="preserve"> the range of services that would</w:t>
      </w:r>
      <w:r w:rsidRPr="00EB6311">
        <w:rPr>
          <w:rFonts w:eastAsia="Arial Unicode MS" w:hAnsi="Arial Unicode MS" w:cs="Arial Unicode MS"/>
          <w:sz w:val="20"/>
          <w:szCs w:val="20"/>
        </w:rPr>
        <w:t xml:space="preserve"> be funded for the treatment of </w:t>
      </w:r>
      <w:r>
        <w:rPr>
          <w:rFonts w:eastAsia="Arial Unicode MS" w:hAnsi="Arial Unicode MS" w:cs="Arial Unicode MS"/>
          <w:sz w:val="20"/>
          <w:szCs w:val="20"/>
        </w:rPr>
        <w:t>un</w:t>
      </w:r>
      <w:r w:rsidRPr="00EB6311">
        <w:rPr>
          <w:rFonts w:eastAsia="Arial Unicode MS" w:hAnsi="Arial Unicode MS" w:cs="Arial Unicode MS"/>
          <w:sz w:val="20"/>
          <w:szCs w:val="20"/>
        </w:rPr>
        <w:t>insured</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 xml:space="preserve">patients. The debates over the content of the Interim Federal Health Plan evoked (at least implicitly) questions concerning the nature and obligations of community. Some uninsured patients, typically undocumented </w:t>
      </w:r>
      <w:r w:rsidRPr="00EB6311">
        <w:rPr>
          <w:rFonts w:eastAsia="Arial Unicode MS" w:hAnsi="Arial Unicode MS" w:cs="Arial Unicode MS"/>
          <w:sz w:val="20"/>
          <w:szCs w:val="20"/>
          <w:lang w:val="en-GB"/>
        </w:rPr>
        <w:t>labourers</w:t>
      </w:r>
      <w:r w:rsidRPr="00EB6311">
        <w:rPr>
          <w:rFonts w:eastAsia="Arial Unicode MS" w:hAnsi="Arial Unicode MS" w:cs="Arial Unicode MS"/>
          <w:sz w:val="20"/>
          <w:szCs w:val="20"/>
        </w:rPr>
        <w:t>, have lived and worked in Canada for decades and many have Canadian-born spouses and children. It can be a great challenge for healthcare workers to deny them services, such as kidney dialysis or organ transplantation, when their need is great and the prospect of a return to the</w:t>
      </w:r>
      <w:r>
        <w:rPr>
          <w:rFonts w:eastAsia="Arial Unicode MS" w:hAnsi="Arial Unicode MS" w:cs="Arial Unicode MS"/>
          <w:sz w:val="20"/>
          <w:szCs w:val="20"/>
        </w:rPr>
        <w:t>ir country of origin entails</w:t>
      </w:r>
      <w:r w:rsidRPr="00EB6311">
        <w:rPr>
          <w:rFonts w:eastAsia="Arial Unicode MS" w:hAnsi="Arial Unicode MS" w:cs="Arial Unicode MS"/>
          <w:sz w:val="20"/>
          <w:szCs w:val="20"/>
        </w:rPr>
        <w:t xml:space="preserve"> great hardship or certain death. These are not, however, debates that are typically held in the emergency rooms and operating theatres of the country. There the questions raised are very focused and pragmatic and seek solutions to the immediate problems of identifiable patients. Clinicians may chafe against the cost constraints that limit the treatment options that they can offer to those on their caseload but it is relatively rare for them to</w:t>
      </w:r>
      <w:r>
        <w:rPr>
          <w:rFonts w:eastAsia="Arial Unicode MS" w:hAnsi="Arial Unicode MS" w:cs="Arial Unicode MS"/>
          <w:sz w:val="20"/>
          <w:szCs w:val="20"/>
        </w:rPr>
        <w:t xml:space="preserve"> expand their field of enquiry</w:t>
      </w:r>
      <w:r w:rsidRPr="00EB6311">
        <w:rPr>
          <w:rFonts w:eastAsia="Arial Unicode MS" w:hAnsi="Arial Unicode MS" w:cs="Arial Unicode MS"/>
          <w:sz w:val="20"/>
          <w:szCs w:val="20"/>
        </w:rPr>
        <w:t xml:space="preserve"> to include reflections on conceptions of justice and community.</w:t>
      </w:r>
    </w:p>
    <w:p w14:paraId="051B1044" w14:textId="77777777" w:rsidR="00BB3FE0" w:rsidRPr="00EB6311" w:rsidRDefault="00BB3FE0">
      <w:pPr>
        <w:pStyle w:val="FootnoteText"/>
        <w:rPr>
          <w:sz w:val="20"/>
          <w:szCs w:val="20"/>
        </w:rPr>
      </w:pPr>
    </w:p>
  </w:footnote>
  <w:footnote w:id="4">
    <w:p w14:paraId="7A4BC183" w14:textId="77777777" w:rsidR="00BB3FE0" w:rsidRPr="00EB6311" w:rsidRDefault="00BB3FE0" w:rsidP="00EB6311">
      <w:pPr>
        <w:ind w:firstLine="720"/>
        <w:rPr>
          <w:rFonts w:eastAsia="Arial Unicode MS" w:hAnsi="Arial Unicode MS" w:cs="Arial Unicode MS"/>
          <w:sz w:val="20"/>
          <w:szCs w:val="20"/>
          <w:lang w:val="en-US"/>
        </w:rPr>
      </w:pPr>
      <w:r w:rsidRPr="00EB6311">
        <w:rPr>
          <w:sz w:val="20"/>
          <w:szCs w:val="20"/>
          <w:vertAlign w:val="superscript"/>
        </w:rPr>
        <w:footnoteRef/>
      </w:r>
      <w:r w:rsidRPr="00EB6311">
        <w:rPr>
          <w:rFonts w:eastAsia="Arial Unicode MS" w:hAnsi="Arial Unicode MS" w:cs="Arial Unicode MS"/>
          <w:sz w:val="20"/>
          <w:szCs w:val="20"/>
          <w:lang w:val="en-US"/>
        </w:rPr>
        <w:t xml:space="preserve"> Typically the public becomes aware of ethical issues arising in health care when cases like those of Teresa Schiavo or Hassan Rasouli become front-page news, news that can be quite sensational. The Schiavo case featured a family fractured by disputes over decision-making authority for an incapable patient. (In re Guardianship of Schiavo, 851 So. 2d 182 (Fla. 2d Dist. Ct. App. 2003). The Rasouli case, recently before the Canadian Supreme Court, foregrounded questions concerning the authority of surrogate decision-makers and the importance of procedural justice in so-called futility cases. While no clinical ethicist would describe these as easy cases, I</w:t>
      </w:r>
      <w:r w:rsidRPr="00EB6311">
        <w:rPr>
          <w:rFonts w:ascii="Arial Unicode MS" w:eastAsia="Arial Unicode MS" w:cs="Arial Unicode MS"/>
          <w:sz w:val="20"/>
          <w:szCs w:val="20"/>
          <w:lang w:val="en-US"/>
        </w:rPr>
        <w:t>’</w:t>
      </w:r>
      <w:r w:rsidRPr="00EB6311">
        <w:rPr>
          <w:rFonts w:eastAsia="Arial Unicode MS" w:hAnsi="Arial Unicode MS" w:cs="Arial Unicode MS"/>
          <w:sz w:val="20"/>
          <w:szCs w:val="20"/>
          <w:lang w:val="en-US"/>
        </w:rPr>
        <w:t xml:space="preserve">d wager that few would describe them as novel.   </w:t>
      </w:r>
    </w:p>
    <w:p w14:paraId="474BC35D" w14:textId="77777777" w:rsidR="00BB3FE0" w:rsidRPr="00EB6311" w:rsidRDefault="00BB3FE0">
      <w:pPr>
        <w:rPr>
          <w:sz w:val="20"/>
          <w:szCs w:val="20"/>
        </w:rPr>
      </w:pPr>
      <w:r w:rsidRPr="00EB6311">
        <w:rPr>
          <w:rFonts w:eastAsia="Arial Unicode MS" w:hAnsi="Arial Unicode MS" w:cs="Arial Unicode MS"/>
          <w:sz w:val="20"/>
          <w:szCs w:val="20"/>
          <w:lang w:val="en-US"/>
        </w:rPr>
        <w:t xml:space="preserve">    </w:t>
      </w:r>
    </w:p>
  </w:footnote>
  <w:footnote w:id="5">
    <w:p w14:paraId="40929B88" w14:textId="77777777" w:rsidR="00BB3FE0" w:rsidRDefault="00BB3FE0" w:rsidP="00EB6311">
      <w:pPr>
        <w:pStyle w:val="FootnoteText"/>
        <w:ind w:firstLine="720"/>
      </w:pPr>
      <w:r w:rsidRPr="00EB6311">
        <w:rPr>
          <w:sz w:val="20"/>
          <w:szCs w:val="20"/>
          <w:vertAlign w:val="superscript"/>
        </w:rPr>
        <w:footnoteRef/>
      </w:r>
      <w:r w:rsidRPr="00EB6311">
        <w:rPr>
          <w:rFonts w:eastAsia="Arial Unicode MS" w:hAnsi="Arial Unicode MS" w:cs="Arial Unicode MS"/>
          <w:sz w:val="20"/>
          <w:szCs w:val="20"/>
        </w:rPr>
        <w:t xml:space="preserve"> According to research conducted by Ellen Fox, formerly of the United States</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 xml:space="preserve">Department of Veterans Affairs, and reported by Mark P. Aulisio in </w:t>
      </w:r>
      <w:r w:rsidRPr="00EB6311">
        <w:rPr>
          <w:rFonts w:eastAsia="Arial Unicode MS" w:hAnsi="Arial Unicode MS" w:cs="Arial Unicode MS"/>
          <w:i/>
          <w:iCs/>
          <w:sz w:val="20"/>
          <w:szCs w:val="20"/>
        </w:rPr>
        <w:t>Ethics Consultation from Theory to Practice</w:t>
      </w:r>
      <w:r w:rsidRPr="00EB6311">
        <w:rPr>
          <w:rFonts w:eastAsia="Arial Unicode MS" w:hAnsi="Arial Unicode MS" w:cs="Arial Unicode MS"/>
          <w:sz w:val="20"/>
          <w:szCs w:val="20"/>
        </w:rPr>
        <w:t xml:space="preserve">, </w:t>
      </w:r>
      <w:r w:rsidRPr="00EB6311">
        <w:rPr>
          <w:rFonts w:ascii="Arial Unicode MS" w:eastAsia="Arial Unicode MS" w:cs="Arial Unicode MS"/>
          <w:sz w:val="20"/>
          <w:szCs w:val="20"/>
        </w:rPr>
        <w:t>“</w:t>
      </w:r>
      <w:r w:rsidRPr="00EB6311">
        <w:rPr>
          <w:rFonts w:eastAsia="Arial Unicode MS" w:hAnsi="Arial Unicode MS" w:cs="Arial Unicode MS"/>
          <w:sz w:val="20"/>
          <w:szCs w:val="20"/>
        </w:rPr>
        <w:t>100% of US hospitals with 400 beds or more, federal hospitals, or hospitals that are members of the Council of Teaching Hospitals and over 81% of all US hospitals have an ethics consultation service of some kind</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p. 20. My own informal inquir</w:t>
      </w:r>
      <w:r>
        <w:rPr>
          <w:rFonts w:eastAsia="Arial Unicode MS" w:hAnsi="Arial Unicode MS" w:cs="Arial Unicode MS"/>
          <w:sz w:val="20"/>
          <w:szCs w:val="20"/>
        </w:rPr>
        <w:t>i</w:t>
      </w:r>
      <w:r w:rsidRPr="00EB6311">
        <w:rPr>
          <w:rFonts w:eastAsia="Arial Unicode MS" w:hAnsi="Arial Unicode MS" w:cs="Arial Unicode MS"/>
          <w:sz w:val="20"/>
          <w:szCs w:val="20"/>
        </w:rPr>
        <w:t>es confirm that the Canadian context is much the same and I</w:t>
      </w:r>
      <w:r>
        <w:rPr>
          <w:rFonts w:eastAsia="Arial Unicode MS" w:hAnsi="Arial Unicode MS" w:cs="Arial Unicode MS"/>
          <w:sz w:val="20"/>
          <w:szCs w:val="20"/>
        </w:rPr>
        <w:t xml:space="preserve"> am unaware of any academically-</w:t>
      </w:r>
      <w:r w:rsidRPr="00EB6311">
        <w:rPr>
          <w:rFonts w:eastAsia="Arial Unicode MS" w:hAnsi="Arial Unicode MS" w:cs="Arial Unicode MS"/>
          <w:sz w:val="20"/>
          <w:szCs w:val="20"/>
        </w:rPr>
        <w:t>affiliated Canadian hospital that does not have a health care ethicist in its employ.</w:t>
      </w:r>
      <w:r>
        <w:rPr>
          <w:rFonts w:eastAsia="Arial Unicode MS" w:hAnsi="Arial Unicode MS" w:cs="Arial Unicode MS"/>
        </w:rPr>
        <w:t xml:space="preserve">    </w:t>
      </w:r>
    </w:p>
  </w:footnote>
  <w:footnote w:id="6">
    <w:p w14:paraId="53657497" w14:textId="77777777" w:rsidR="00BB3FE0" w:rsidRPr="00EB6311" w:rsidRDefault="00BB3FE0" w:rsidP="00EB6311">
      <w:pPr>
        <w:pStyle w:val="FootnoteText"/>
        <w:ind w:firstLine="720"/>
        <w:rPr>
          <w:rFonts w:eastAsia="Arial Unicode MS" w:hAnsi="Arial Unicode MS" w:cs="Arial Unicode MS"/>
          <w:sz w:val="20"/>
          <w:szCs w:val="20"/>
        </w:rPr>
      </w:pPr>
      <w:r w:rsidRPr="00EB6311">
        <w:rPr>
          <w:sz w:val="20"/>
          <w:szCs w:val="20"/>
          <w:vertAlign w:val="superscript"/>
        </w:rPr>
        <w:footnoteRef/>
      </w:r>
      <w:r w:rsidRPr="00EB6311">
        <w:rPr>
          <w:rFonts w:eastAsia="Arial Unicode MS" w:hAnsi="Arial Unicode MS" w:cs="Arial Unicode MS"/>
          <w:sz w:val="20"/>
          <w:szCs w:val="20"/>
        </w:rPr>
        <w:t xml:space="preserve"> Dworkin coined the phrase, propositions of law, to encompass "all the various statements and claims people make about what the law allows or prohibits or entitles them to have." </w:t>
      </w:r>
      <w:r w:rsidRPr="00EB6311">
        <w:rPr>
          <w:rFonts w:eastAsia="Arial Unicode MS" w:hAnsi="Arial Unicode MS" w:cs="Arial Unicode MS"/>
          <w:i/>
          <w:iCs/>
          <w:sz w:val="20"/>
          <w:szCs w:val="20"/>
        </w:rPr>
        <w:t>Law's Empire</w:t>
      </w:r>
      <w:r w:rsidRPr="00EB6311">
        <w:rPr>
          <w:rFonts w:eastAsia="Arial Unicode MS" w:hAnsi="Arial Unicode MS" w:cs="Arial Unicode MS"/>
          <w:sz w:val="20"/>
          <w:szCs w:val="20"/>
        </w:rPr>
        <w:t>, 4.</w:t>
      </w:r>
    </w:p>
    <w:p w14:paraId="7636A9EE" w14:textId="77777777" w:rsidR="00BB3FE0" w:rsidRPr="00EB6311" w:rsidRDefault="00BB3FE0" w:rsidP="004D6CF0">
      <w:pPr>
        <w:pStyle w:val="FootnoteText"/>
        <w:rPr>
          <w:sz w:val="20"/>
          <w:szCs w:val="20"/>
        </w:rPr>
      </w:pPr>
    </w:p>
  </w:footnote>
  <w:footnote w:id="7">
    <w:p w14:paraId="2A2210F0" w14:textId="77777777" w:rsidR="00BB3FE0" w:rsidRDefault="00BB3FE0" w:rsidP="00EB6311">
      <w:pPr>
        <w:pStyle w:val="FootnoteText"/>
        <w:ind w:firstLine="720"/>
      </w:pPr>
      <w:r w:rsidRPr="00EB6311">
        <w:rPr>
          <w:sz w:val="20"/>
          <w:szCs w:val="20"/>
          <w:vertAlign w:val="superscript"/>
        </w:rPr>
        <w:footnoteRef/>
      </w:r>
      <w:r w:rsidRPr="00EB6311">
        <w:rPr>
          <w:rFonts w:eastAsia="Arial Unicode MS" w:hAnsi="Arial Unicode MS" w:cs="Arial Unicode MS"/>
          <w:sz w:val="20"/>
          <w:szCs w:val="20"/>
        </w:rPr>
        <w:t xml:space="preserve"> I do not mean to </w:t>
      </w:r>
      <w:r w:rsidRPr="00EB6311">
        <w:rPr>
          <w:rFonts w:eastAsia="Arial Unicode MS"/>
          <w:sz w:val="20"/>
          <w:szCs w:val="20"/>
        </w:rPr>
        <w:t>suggest that such cases never present health care providers with challenges in acceding to the requests of legally authorized decision-makers. An unmarried, incapable patient may have two adult children with equal standing under the Act who hold utterly divergent views concerning their parent’s preferences or best interests. The province’s Consent and Capacity Board deals with these cases often, but their task is rarely the straightforward</w:t>
      </w:r>
      <w:r w:rsidRPr="00EB6311">
        <w:rPr>
          <w:rFonts w:eastAsia="Arial Unicode MS" w:hAnsi="Arial Unicode MS" w:cs="Arial Unicode MS"/>
          <w:sz w:val="20"/>
          <w:szCs w:val="20"/>
        </w:rPr>
        <w:t>, empirical one of identifying who has the legal right to act on a parent</w:t>
      </w:r>
      <w:r w:rsidRPr="00EB6311">
        <w:rPr>
          <w:rFonts w:ascii="Arial Unicode MS" w:eastAsia="Arial Unicode MS" w:cs="Arial Unicode MS"/>
          <w:sz w:val="20"/>
          <w:szCs w:val="20"/>
        </w:rPr>
        <w:t>’</w:t>
      </w:r>
      <w:r w:rsidRPr="00EB6311">
        <w:rPr>
          <w:rFonts w:eastAsia="Arial Unicode MS" w:hAnsi="Arial Unicode MS" w:cs="Arial Unicode MS"/>
          <w:sz w:val="20"/>
          <w:szCs w:val="20"/>
        </w:rPr>
        <w:t>s behalf.</w:t>
      </w:r>
      <w:r>
        <w:rPr>
          <w:rFonts w:eastAsia="Arial Unicode MS" w:hAnsi="Arial Unicode MS" w:cs="Arial Unicode MS"/>
        </w:rPr>
        <w:t xml:space="preserve">  </w:t>
      </w:r>
    </w:p>
  </w:footnote>
  <w:footnote w:id="8">
    <w:p w14:paraId="77F09C3A" w14:textId="77777777" w:rsidR="00BB3FE0" w:rsidRDefault="00BB3FE0" w:rsidP="00EB6311">
      <w:pPr>
        <w:pStyle w:val="FootnoteText"/>
        <w:ind w:firstLine="720"/>
      </w:pPr>
      <w:r w:rsidRPr="00EB6311">
        <w:rPr>
          <w:rStyle w:val="FootnoteReference"/>
          <w:sz w:val="20"/>
        </w:rPr>
        <w:footnoteRef/>
      </w:r>
      <w:r w:rsidRPr="00EB6311">
        <w:rPr>
          <w:sz w:val="20"/>
        </w:rPr>
        <w:t xml:space="preserve"> My position should in no way be confused with an economic liberal or classical liberal point of view. Others may well endorse such an orientation to the practice but I do not.</w:t>
      </w:r>
    </w:p>
  </w:footnote>
  <w:footnote w:id="9">
    <w:p w14:paraId="64A6637D" w14:textId="347707E9" w:rsidR="00BB3FE0" w:rsidRPr="00C81A68" w:rsidRDefault="00BB3FE0" w:rsidP="00C81A68">
      <w:pPr>
        <w:ind w:firstLine="720"/>
        <w:rPr>
          <w:sz w:val="20"/>
          <w:szCs w:val="20"/>
        </w:rPr>
      </w:pPr>
      <w:r w:rsidRPr="00C81A68">
        <w:rPr>
          <w:sz w:val="20"/>
          <w:szCs w:val="20"/>
          <w:vertAlign w:val="superscript"/>
        </w:rPr>
        <w:footnoteRef/>
      </w:r>
      <w:r>
        <w:rPr>
          <w:rFonts w:eastAsia="Arial Unicode MS"/>
          <w:sz w:val="20"/>
          <w:szCs w:val="20"/>
          <w:lang w:val="en-US"/>
        </w:rPr>
        <w:t xml:space="preserve"> </w:t>
      </w:r>
      <w:r w:rsidRPr="00C81A68">
        <w:rPr>
          <w:rFonts w:eastAsia="Arial Unicode MS"/>
          <w:sz w:val="20"/>
          <w:szCs w:val="20"/>
          <w:lang w:val="en-US"/>
        </w:rPr>
        <w:t xml:space="preserve">Some work of this sort has already been done. A relatively early and influential document was presented at the Canadian Bioethics Society’s 2008 spring meeting and is described in an article by Paula Chidwick et al. “Exploring a Model Role Description for Ethicists.” </w:t>
      </w:r>
      <w:r w:rsidRPr="00C81A68">
        <w:rPr>
          <w:rFonts w:eastAsia="Arial Unicode MS"/>
          <w:i/>
          <w:sz w:val="20"/>
          <w:szCs w:val="20"/>
          <w:lang w:val="en-US"/>
        </w:rPr>
        <w:t xml:space="preserve">HEC Forum </w:t>
      </w:r>
      <w:r w:rsidRPr="00C81A68">
        <w:rPr>
          <w:rFonts w:eastAsia="Arial Unicode MS"/>
          <w:sz w:val="20"/>
          <w:szCs w:val="20"/>
          <w:lang w:val="en-US"/>
        </w:rPr>
        <w:t>22 (2010): 31- 40.</w:t>
      </w:r>
    </w:p>
  </w:footnote>
  <w:footnote w:id="10">
    <w:p w14:paraId="5E43AD84" w14:textId="77777777" w:rsidR="00BB3FE0" w:rsidRPr="00EB6311" w:rsidRDefault="00BB3FE0" w:rsidP="00EB6311">
      <w:pPr>
        <w:pStyle w:val="FootnoteText"/>
        <w:ind w:firstLine="720"/>
        <w:rPr>
          <w:rFonts w:eastAsia="Arial Unicode MS" w:hAnsi="Arial Unicode MS" w:cs="Arial Unicode MS"/>
          <w:sz w:val="20"/>
          <w:szCs w:val="20"/>
        </w:rPr>
      </w:pPr>
      <w:r w:rsidRPr="00EB6311">
        <w:rPr>
          <w:sz w:val="20"/>
          <w:szCs w:val="20"/>
          <w:vertAlign w:val="superscript"/>
        </w:rPr>
        <w:footnoteRef/>
      </w:r>
      <w:r w:rsidRPr="00EB6311">
        <w:rPr>
          <w:rFonts w:eastAsia="Arial Unicode MS" w:hAnsi="Arial Unicode MS" w:cs="Arial Unicode MS"/>
          <w:sz w:val="20"/>
          <w:szCs w:val="20"/>
        </w:rPr>
        <w:t xml:space="preserve"> For this purpose the label "research" refers to investigations into topics that have ethical dimensions, such as whether it is ever permissible for minor children to donate solid organs to</w:t>
      </w:r>
      <w:r>
        <w:rPr>
          <w:rFonts w:eastAsia="Arial Unicode MS" w:hAnsi="Arial Unicode MS" w:cs="Arial Unicode MS"/>
        </w:rPr>
        <w:t xml:space="preserve"> </w:t>
      </w:r>
      <w:r w:rsidRPr="00EB6311">
        <w:rPr>
          <w:rFonts w:eastAsia="Arial Unicode MS" w:hAnsi="Arial Unicode MS" w:cs="Arial Unicode MS"/>
          <w:sz w:val="20"/>
          <w:szCs w:val="20"/>
        </w:rPr>
        <w:t>family members. Clinical ethics consultants may engage in research that is empirical or conceptual in nature in their efforts to contribute to their field, and their approaches to these questions will depend to a large extent on the disciplinary training they received prior to entering the field or the colleagues with whom they collaborate. Both types of research are familiar and legitimate for health care ethicists to pursue. I want to distinguish these activities, however, from another common responsibility of the practicing ethicist; that is, the research review and evaluation that she may perform as a member of a Research Ethics Board (REB) or an Institutional Review Board (IRB). I would concede the point that research review can raise complex questions but when it does so I would argue that the activity that ensues might better be categorized as research ethics consultation rather than research ethics review. For a description of research ethics consultation see: Elie Dolgin</w:t>
      </w:r>
      <w:r w:rsidRPr="00EB6311">
        <w:rPr>
          <w:rFonts w:ascii="Arial Unicode MS" w:eastAsia="Arial Unicode MS" w:cs="Arial Unicode MS"/>
          <w:sz w:val="20"/>
          <w:szCs w:val="20"/>
        </w:rPr>
        <w:t>’</w:t>
      </w:r>
      <w:r w:rsidRPr="00EB6311">
        <w:rPr>
          <w:rFonts w:eastAsia="Arial Unicode MS" w:hAnsi="Arial Unicode MS" w:cs="Arial Unicode MS"/>
          <w:sz w:val="20"/>
          <w:szCs w:val="20"/>
        </w:rPr>
        <w:t xml:space="preserve">s piece </w:t>
      </w:r>
      <w:r w:rsidRPr="00EB6311">
        <w:rPr>
          <w:rFonts w:ascii="Arial Unicode MS" w:eastAsia="Arial Unicode MS" w:cs="Arial Unicode MS"/>
          <w:sz w:val="20"/>
          <w:szCs w:val="20"/>
        </w:rPr>
        <w:t>“</w:t>
      </w:r>
      <w:r w:rsidRPr="00EB6311">
        <w:rPr>
          <w:rFonts w:eastAsia="Arial Unicode MS" w:hAnsi="Arial Unicode MS" w:cs="Arial Unicode MS"/>
          <w:sz w:val="20"/>
          <w:szCs w:val="20"/>
        </w:rPr>
        <w:t>Human-subjects research: The Ethics Squad</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 xml:space="preserve">in </w:t>
      </w:r>
      <w:r w:rsidRPr="00EB6311">
        <w:rPr>
          <w:rFonts w:eastAsia="Arial Unicode MS" w:hAnsi="Arial Unicode MS" w:cs="Arial Unicode MS"/>
          <w:i/>
          <w:iCs/>
          <w:sz w:val="20"/>
          <w:szCs w:val="20"/>
        </w:rPr>
        <w:t xml:space="preserve">Nature. </w:t>
      </w:r>
      <w:r w:rsidRPr="00EB6311">
        <w:rPr>
          <w:rFonts w:eastAsia="Arial Unicode MS" w:hAnsi="Arial Unicode MS" w:cs="Arial Unicode MS"/>
          <w:sz w:val="20"/>
          <w:szCs w:val="20"/>
        </w:rPr>
        <w:t xml:space="preserve">Online: </w:t>
      </w:r>
      <w:hyperlink r:id="rId1" w:history="1">
        <w:r w:rsidRPr="00EB6311">
          <w:rPr>
            <w:rStyle w:val="Hyperlink1"/>
            <w:rFonts w:eastAsia="Arial Unicode MS" w:hAnsi="Arial Unicode MS" w:cs="Arial Unicode MS"/>
            <w:sz w:val="20"/>
            <w:szCs w:val="20"/>
          </w:rPr>
          <w:t>http://www.nature.com/news/human-subjects-research-the-ethics-squad-1.16186</w:t>
        </w:r>
      </w:hyperlink>
      <w:r w:rsidRPr="00EB6311">
        <w:rPr>
          <w:rFonts w:eastAsia="Arial Unicode MS" w:hAnsi="Arial Unicode MS" w:cs="Arial Unicode MS"/>
          <w:sz w:val="20"/>
          <w:szCs w:val="20"/>
        </w:rPr>
        <w:t>. Accessed: January 26, 2018.</w:t>
      </w:r>
    </w:p>
    <w:p w14:paraId="65648B80" w14:textId="77777777" w:rsidR="00BB3FE0" w:rsidRPr="00EB6311" w:rsidRDefault="00BB3FE0" w:rsidP="00AF0F94">
      <w:pPr>
        <w:pStyle w:val="FootnoteText"/>
        <w:rPr>
          <w:rFonts w:eastAsia="Verdana"/>
          <w:sz w:val="20"/>
          <w:szCs w:val="20"/>
        </w:rPr>
      </w:pPr>
    </w:p>
  </w:footnote>
  <w:footnote w:id="11">
    <w:p w14:paraId="5D489294" w14:textId="7F442873" w:rsidR="00BB3FE0" w:rsidRDefault="00BB3FE0" w:rsidP="00EB6311">
      <w:pPr>
        <w:pStyle w:val="FootnoteText"/>
        <w:ind w:firstLine="720"/>
      </w:pPr>
      <w:r w:rsidRPr="00EB6311">
        <w:rPr>
          <w:sz w:val="20"/>
          <w:szCs w:val="20"/>
          <w:vertAlign w:val="superscript"/>
        </w:rPr>
        <w:footnoteRef/>
      </w:r>
      <w:r>
        <w:rPr>
          <w:rFonts w:eastAsia="Arial Unicode MS" w:hAnsi="Arial Unicode MS" w:cs="Arial Unicode MS"/>
          <w:sz w:val="20"/>
          <w:szCs w:val="20"/>
        </w:rPr>
        <w:t xml:space="preserve"> </w:t>
      </w:r>
      <w:r w:rsidRPr="00EB6311">
        <w:rPr>
          <w:rFonts w:eastAsia="Arial Unicode MS" w:hAnsi="Arial Unicode MS" w:cs="Arial Unicode MS"/>
          <w:sz w:val="20"/>
          <w:szCs w:val="20"/>
        </w:rPr>
        <w:t>Sally Bean, who is a practicing health care ethics consultant in Toronto, has made a compelling argument for the existence of composite consultation cases which straddle the distinctions that are typically drawn between clinical, organizational, and research ethics. As many practicing healthcare ethicists can attest, a case concerning the appropriate limits of patient care may prompt reflections on the adequacy or defensibility of organizational policy, or may raise concerns about the permeable membrane that separates innovative therapy from research. The implications of Bean</w:t>
      </w:r>
      <w:r w:rsidRPr="00EB6311">
        <w:rPr>
          <w:rFonts w:ascii="Arial Unicode MS" w:eastAsia="Arial Unicode MS" w:cs="Arial Unicode MS"/>
          <w:sz w:val="20"/>
          <w:szCs w:val="20"/>
        </w:rPr>
        <w:t>’</w:t>
      </w:r>
      <w:r w:rsidRPr="00EB6311">
        <w:rPr>
          <w:rFonts w:eastAsia="Arial Unicode MS" w:hAnsi="Arial Unicode MS" w:cs="Arial Unicode MS"/>
          <w:sz w:val="20"/>
          <w:szCs w:val="20"/>
        </w:rPr>
        <w:t xml:space="preserve">s </w:t>
      </w:r>
      <w:r w:rsidRPr="00EB6311">
        <w:rPr>
          <w:rFonts w:ascii="Arial Unicode MS" w:eastAsia="Arial Unicode MS" w:cs="Arial Unicode MS"/>
          <w:sz w:val="20"/>
          <w:szCs w:val="20"/>
        </w:rPr>
        <w:t>“</w:t>
      </w:r>
      <w:r w:rsidRPr="00EB6311">
        <w:rPr>
          <w:rFonts w:eastAsia="Arial Unicode MS" w:hAnsi="Arial Unicode MS" w:cs="Arial Unicode MS"/>
          <w:sz w:val="20"/>
          <w:szCs w:val="20"/>
        </w:rPr>
        <w:t>hybrid taxonomy</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go beyond the challenge to adequately log and report what ethicists do. Indeed, this way of thinking may provoke skepticism about the very nature of consultation work. This is a point to which I will return in due course.</w:t>
      </w:r>
      <w:r>
        <w:rPr>
          <w:rFonts w:eastAsia="Arial Unicode MS" w:hAnsi="Arial Unicode MS" w:cs="Arial Unicode MS"/>
        </w:rPr>
        <w:t xml:space="preserve">  </w:t>
      </w:r>
    </w:p>
  </w:footnote>
  <w:footnote w:id="12">
    <w:p w14:paraId="442C12E1" w14:textId="64D3F0BF" w:rsidR="00BB3FE0" w:rsidRPr="00EB6311" w:rsidRDefault="00BB3FE0" w:rsidP="00EB6311">
      <w:pPr>
        <w:pStyle w:val="FootnoteText"/>
        <w:ind w:firstLine="720"/>
        <w:rPr>
          <w:sz w:val="20"/>
          <w:szCs w:val="20"/>
        </w:rPr>
      </w:pPr>
      <w:r w:rsidRPr="00EB6311">
        <w:rPr>
          <w:sz w:val="20"/>
          <w:szCs w:val="20"/>
          <w:vertAlign w:val="superscript"/>
        </w:rPr>
        <w:footnoteRef/>
      </w:r>
      <w:r>
        <w:rPr>
          <w:rFonts w:eastAsia="Arial Unicode MS" w:hAnsi="Arial Unicode MS" w:cs="Arial Unicode MS"/>
          <w:sz w:val="20"/>
          <w:szCs w:val="20"/>
        </w:rPr>
        <w:t xml:space="preserve"> </w:t>
      </w:r>
      <w:r w:rsidRPr="00EB6311">
        <w:rPr>
          <w:rFonts w:eastAsia="Arial Unicode MS" w:hAnsi="Arial Unicode MS" w:cs="Arial Unicode MS"/>
          <w:sz w:val="20"/>
          <w:szCs w:val="20"/>
        </w:rPr>
        <w:t xml:space="preserve">Most Canadian and American PHEs agree that it is important to preface ethics consultations with a limited assurance of confidentiality. It is typical for clinical ethicists to remind requestors and participants that, although confidentiality is important and respected whenever possible, they will observe legal reporting requirements such as the obligation to report suspected child abuse or a credible threat of suicide or homicide.   </w:t>
      </w:r>
    </w:p>
  </w:footnote>
  <w:footnote w:id="13">
    <w:p w14:paraId="69DD16C8" w14:textId="77777777" w:rsidR="00BB3FE0" w:rsidRPr="00EB6311" w:rsidRDefault="00BB3FE0" w:rsidP="00EB6311">
      <w:pPr>
        <w:pStyle w:val="FootnoteText"/>
        <w:ind w:firstLine="720"/>
        <w:rPr>
          <w:sz w:val="20"/>
          <w:szCs w:val="20"/>
        </w:rPr>
      </w:pPr>
      <w:r w:rsidRPr="00EB6311">
        <w:rPr>
          <w:sz w:val="20"/>
          <w:szCs w:val="20"/>
          <w:vertAlign w:val="superscript"/>
        </w:rPr>
        <w:footnoteRef/>
      </w:r>
      <w:r w:rsidRPr="00EB6311">
        <w:rPr>
          <w:rFonts w:eastAsia="Arial Unicode MS" w:hAnsi="Arial Unicode MS" w:cs="Arial Unicode MS"/>
          <w:sz w:val="20"/>
          <w:szCs w:val="20"/>
        </w:rPr>
        <w:t xml:space="preserve"> </w:t>
      </w:r>
      <w:r w:rsidRPr="00EB6311">
        <w:rPr>
          <w:rFonts w:eastAsia="Arial Unicode MS"/>
          <w:sz w:val="20"/>
          <w:szCs w:val="20"/>
        </w:rPr>
        <w:t>The recent spate of articles on credentialing clinical ethics consultants is an important development for the field and it is in many cases motivated by the concerns that drove the earlier debate; that is, worries that the recommendations of an inadequately trained healthcare ethics consultant could have grave consequences for those who are he</w:t>
      </w:r>
      <w:r>
        <w:rPr>
          <w:rFonts w:eastAsia="Arial Unicode MS"/>
          <w:sz w:val="20"/>
          <w:szCs w:val="20"/>
        </w:rPr>
        <w:t>r clients. Attention directed toward</w:t>
      </w:r>
      <w:r w:rsidRPr="00EB6311">
        <w:rPr>
          <w:rFonts w:eastAsia="Arial Unicode MS"/>
          <w:sz w:val="20"/>
          <w:szCs w:val="20"/>
        </w:rPr>
        <w:t xml:space="preserve"> finding ways to measure the skills, knowledge, and attributes of competent consultants (the term ‘attributes’ replaces the older, perhaps more familiar, language of character traits) is very different from earlier discussions which challenged the very presence of these “strangers at the bedside” to</w:t>
      </w:r>
      <w:r w:rsidRPr="00422C0C">
        <w:rPr>
          <w:rFonts w:eastAsia="Arial Unicode MS"/>
        </w:rPr>
        <w:t xml:space="preserve"> </w:t>
      </w:r>
      <w:r>
        <w:rPr>
          <w:rFonts w:eastAsia="Arial Unicode MS"/>
          <w:sz w:val="20"/>
          <w:szCs w:val="20"/>
        </w:rPr>
        <w:t xml:space="preserve">invoke </w:t>
      </w:r>
      <w:r w:rsidRPr="00EB6311">
        <w:rPr>
          <w:rFonts w:eastAsia="Arial Unicode MS"/>
          <w:sz w:val="20"/>
          <w:szCs w:val="20"/>
        </w:rPr>
        <w:t>David Rothman’s memorable phrase. My point is not that the credentialing debate is wrong-headed. (Indeed, I have contributed to it myself.) It is simply that these important earlier questions remain largely unanswered.</w:t>
      </w:r>
      <w:r w:rsidRPr="00EB6311">
        <w:rPr>
          <w:rFonts w:eastAsia="Arial Unicode MS" w:hAnsi="Arial Unicode MS" w:cs="Arial Unicode MS"/>
          <w:sz w:val="20"/>
          <w:szCs w:val="20"/>
        </w:rPr>
        <w:t xml:space="preserve">          </w:t>
      </w:r>
    </w:p>
    <w:p w14:paraId="61BFD6B6" w14:textId="77777777" w:rsidR="00BB3FE0" w:rsidRPr="00EB6311" w:rsidRDefault="00BB3FE0">
      <w:pPr>
        <w:pStyle w:val="FootnoteText"/>
        <w:rPr>
          <w:sz w:val="20"/>
          <w:szCs w:val="20"/>
        </w:rPr>
      </w:pPr>
    </w:p>
  </w:footnote>
  <w:footnote w:id="14">
    <w:p w14:paraId="179CFF14" w14:textId="77777777" w:rsidR="00BB3FE0" w:rsidRPr="00EB6311" w:rsidRDefault="00BB3FE0" w:rsidP="00EB6311">
      <w:pPr>
        <w:pStyle w:val="FootnoteText"/>
        <w:ind w:firstLine="720"/>
        <w:rPr>
          <w:sz w:val="20"/>
          <w:szCs w:val="20"/>
        </w:rPr>
      </w:pPr>
      <w:r w:rsidRPr="00EB6311">
        <w:rPr>
          <w:sz w:val="20"/>
          <w:szCs w:val="20"/>
          <w:vertAlign w:val="superscript"/>
        </w:rPr>
        <w:footnoteRef/>
      </w:r>
      <w:r w:rsidRPr="00EB6311">
        <w:rPr>
          <w:rFonts w:eastAsia="Arial Unicode MS" w:hAnsi="Arial Unicode MS" w:cs="Arial Unicode MS"/>
          <w:sz w:val="20"/>
          <w:szCs w:val="20"/>
        </w:rPr>
        <w:t>These terms have acquired a specificity that will be lost on those who have not been attending closely to the professionalization debate. In ASBH parlance</w:t>
      </w:r>
      <w:r>
        <w:rPr>
          <w:rFonts w:eastAsia="Arial Unicode MS" w:hAnsi="Arial Unicode MS" w:cs="Arial Unicode MS"/>
          <w:sz w:val="20"/>
          <w:szCs w:val="20"/>
        </w:rPr>
        <w:t>, individual ethicists</w:t>
      </w:r>
      <w:r w:rsidRPr="00EB6311">
        <w:rPr>
          <w:rFonts w:eastAsia="Arial Unicode MS" w:hAnsi="Arial Unicode MS" w:cs="Arial Unicode MS"/>
          <w:sz w:val="20"/>
          <w:szCs w:val="20"/>
        </w:rPr>
        <w:t xml:space="preserve"> may apply to be certified to lead ethics consultations (through a so-called quality attestation process) whereas institutions (such as hospitals or other health care institutions) may have ethics services that may be accredited to perform ethics consultations.  Graduate directors of existing educational programs are currently exploring the standards that they believe to be essential in a fully accredited ethics education-training program. </w:t>
      </w:r>
    </w:p>
    <w:p w14:paraId="7CF25883" w14:textId="77777777" w:rsidR="00BB3FE0" w:rsidRPr="00EB6311" w:rsidRDefault="00BB3FE0">
      <w:pPr>
        <w:pStyle w:val="FootnoteText"/>
        <w:rPr>
          <w:sz w:val="20"/>
          <w:szCs w:val="20"/>
        </w:rPr>
      </w:pPr>
      <w:r w:rsidRPr="00EB6311">
        <w:rPr>
          <w:rFonts w:eastAsia="Arial Unicode MS" w:hAnsi="Arial Unicode MS" w:cs="Arial Unicode MS"/>
          <w:sz w:val="20"/>
          <w:szCs w:val="20"/>
        </w:rPr>
        <w:t xml:space="preserve">  </w:t>
      </w:r>
    </w:p>
  </w:footnote>
  <w:footnote w:id="15">
    <w:p w14:paraId="783A86E8" w14:textId="77777777" w:rsidR="00BB3FE0" w:rsidRDefault="00BB3FE0" w:rsidP="00EB6311">
      <w:pPr>
        <w:pStyle w:val="FootnoteText"/>
        <w:ind w:firstLine="720"/>
        <w:rPr>
          <w:rFonts w:eastAsia="Arial Unicode MS" w:hAnsi="Arial Unicode MS" w:cs="Arial Unicode MS"/>
          <w:sz w:val="20"/>
          <w:szCs w:val="20"/>
        </w:rPr>
      </w:pPr>
      <w:r w:rsidRPr="00EB6311">
        <w:rPr>
          <w:sz w:val="20"/>
          <w:szCs w:val="20"/>
          <w:vertAlign w:val="superscript"/>
        </w:rPr>
        <w:footnoteRef/>
      </w:r>
      <w:r w:rsidRPr="00EB6311">
        <w:rPr>
          <w:rFonts w:eastAsia="Arial Unicode MS" w:hAnsi="Arial Unicode MS" w:cs="Arial Unicode MS"/>
          <w:i/>
          <w:iCs/>
          <w:sz w:val="20"/>
          <w:szCs w:val="20"/>
        </w:rPr>
        <w:t>Core Competencies for Healthcare Ethics Consultation</w:t>
      </w:r>
      <w:r w:rsidRPr="00EB6311">
        <w:rPr>
          <w:rFonts w:eastAsia="Arial Unicode MS" w:hAnsi="Arial Unicode MS" w:cs="Arial Unicode MS"/>
          <w:sz w:val="20"/>
          <w:szCs w:val="20"/>
        </w:rPr>
        <w:t>, 2</w:t>
      </w:r>
      <w:r w:rsidRPr="00EB6311">
        <w:rPr>
          <w:rFonts w:eastAsia="Arial Unicode MS" w:hAnsi="Arial Unicode MS" w:cs="Arial Unicode MS"/>
          <w:sz w:val="20"/>
          <w:szCs w:val="20"/>
          <w:vertAlign w:val="superscript"/>
        </w:rPr>
        <w:t>nd</w:t>
      </w:r>
      <w:r w:rsidRPr="00EB6311">
        <w:rPr>
          <w:rFonts w:eastAsia="Arial Unicode MS" w:hAnsi="Arial Unicode MS" w:cs="Arial Unicode MS"/>
          <w:sz w:val="20"/>
          <w:szCs w:val="20"/>
        </w:rPr>
        <w:t xml:space="preserve"> edition, page 57.</w:t>
      </w:r>
    </w:p>
    <w:p w14:paraId="78567314" w14:textId="77777777" w:rsidR="00BB3FE0" w:rsidRPr="008C2BB6" w:rsidRDefault="00BB3FE0" w:rsidP="00EB6311">
      <w:pPr>
        <w:pStyle w:val="FootnoteText"/>
        <w:ind w:firstLine="720"/>
        <w:rPr>
          <w:sz w:val="20"/>
          <w:szCs w:val="20"/>
        </w:rPr>
      </w:pPr>
      <w:r>
        <w:rPr>
          <w:rFonts w:eastAsia="Arial Unicode MS" w:hAnsi="Arial Unicode MS" w:cs="Arial Unicode MS"/>
        </w:rPr>
        <w:t xml:space="preserve"> </w:t>
      </w:r>
    </w:p>
  </w:footnote>
  <w:footnote w:id="16">
    <w:p w14:paraId="2789CFC3" w14:textId="35F75579" w:rsidR="00BB3FE0" w:rsidRPr="00EB6311" w:rsidRDefault="00BB3FE0" w:rsidP="00EB6311">
      <w:pPr>
        <w:pStyle w:val="FootnoteText"/>
        <w:ind w:firstLine="720"/>
        <w:rPr>
          <w:sz w:val="20"/>
          <w:szCs w:val="20"/>
        </w:rPr>
      </w:pPr>
      <w:r w:rsidRPr="00EB6311">
        <w:rPr>
          <w:sz w:val="20"/>
          <w:szCs w:val="20"/>
          <w:vertAlign w:val="superscript"/>
        </w:rPr>
        <w:footnoteRef/>
      </w:r>
      <w:r w:rsidRPr="00EB6311">
        <w:rPr>
          <w:rFonts w:eastAsia="Arial Unicode MS" w:hAnsi="Arial Unicode MS" w:cs="Arial Unicode MS"/>
          <w:sz w:val="20"/>
          <w:szCs w:val="20"/>
        </w:rPr>
        <w:t xml:space="preserve"> Ibid</w:t>
      </w:r>
      <w:r>
        <w:rPr>
          <w:rFonts w:eastAsia="Arial Unicode MS" w:hAnsi="Arial Unicode MS" w:cs="Arial Unicode MS"/>
          <w:sz w:val="20"/>
          <w:szCs w:val="20"/>
        </w:rPr>
        <w:t>.,</w:t>
      </w:r>
      <w:r w:rsidRPr="00EB6311">
        <w:rPr>
          <w:rFonts w:eastAsia="Arial Unicode MS" w:hAnsi="Arial Unicode MS" w:cs="Arial Unicode MS"/>
          <w:sz w:val="20"/>
          <w:szCs w:val="20"/>
        </w:rPr>
        <w:t xml:space="preserve"> 2.</w:t>
      </w:r>
    </w:p>
  </w:footnote>
  <w:footnote w:id="17">
    <w:p w14:paraId="6CF42B4D" w14:textId="1EB927F0" w:rsidR="00BB3FE0" w:rsidRPr="00EB6311" w:rsidRDefault="00BB3FE0" w:rsidP="00EB6311">
      <w:pPr>
        <w:pStyle w:val="FootnoteText"/>
        <w:ind w:firstLine="720"/>
        <w:rPr>
          <w:rFonts w:eastAsia="Arial Unicode MS" w:hAnsi="Arial Unicode MS" w:cs="Arial Unicode MS"/>
          <w:sz w:val="20"/>
          <w:szCs w:val="20"/>
        </w:rPr>
      </w:pPr>
      <w:r w:rsidRPr="00EB6311">
        <w:rPr>
          <w:sz w:val="20"/>
          <w:szCs w:val="20"/>
          <w:vertAlign w:val="superscript"/>
        </w:rPr>
        <w:footnoteRef/>
      </w:r>
      <w:r w:rsidRPr="00EB6311">
        <w:rPr>
          <w:rFonts w:eastAsia="Arial Unicode MS" w:hAnsi="Arial Unicode MS" w:cs="Arial Unicode MS"/>
          <w:sz w:val="20"/>
          <w:szCs w:val="20"/>
        </w:rPr>
        <w:t xml:space="preserve"> Ibid</w:t>
      </w:r>
      <w:r>
        <w:rPr>
          <w:rFonts w:eastAsia="Arial Unicode MS" w:hAnsi="Arial Unicode MS" w:cs="Arial Unicode MS"/>
          <w:sz w:val="20"/>
          <w:szCs w:val="20"/>
        </w:rPr>
        <w:t>.</w:t>
      </w:r>
      <w:r w:rsidRPr="00EB6311">
        <w:rPr>
          <w:rFonts w:eastAsia="Arial Unicode MS" w:hAnsi="Arial Unicode MS" w:cs="Arial Unicode MS"/>
          <w:sz w:val="20"/>
          <w:szCs w:val="20"/>
        </w:rPr>
        <w:t>, 6.</w:t>
      </w:r>
    </w:p>
    <w:p w14:paraId="6E2E2367" w14:textId="77777777" w:rsidR="00BB3FE0" w:rsidRPr="00EB6311" w:rsidRDefault="00BB3FE0" w:rsidP="00D5483E">
      <w:pPr>
        <w:pStyle w:val="FootnoteText"/>
        <w:rPr>
          <w:sz w:val="20"/>
          <w:szCs w:val="20"/>
        </w:rPr>
      </w:pPr>
    </w:p>
  </w:footnote>
  <w:footnote w:id="18">
    <w:p w14:paraId="7B111F20" w14:textId="375FB43C" w:rsidR="00BB3FE0" w:rsidRDefault="00BB3FE0" w:rsidP="00EB6311">
      <w:pPr>
        <w:pStyle w:val="FootnoteText"/>
        <w:ind w:firstLine="720"/>
        <w:rPr>
          <w:rFonts w:eastAsia="Arial Unicode MS" w:hAnsi="Arial Unicode MS" w:cs="Arial Unicode MS"/>
        </w:rPr>
      </w:pPr>
      <w:r w:rsidRPr="00EB6311">
        <w:rPr>
          <w:sz w:val="20"/>
          <w:szCs w:val="20"/>
          <w:vertAlign w:val="superscript"/>
        </w:rPr>
        <w:footnoteRef/>
      </w:r>
      <w:r w:rsidRPr="00EB6311">
        <w:rPr>
          <w:rFonts w:eastAsia="Arial Unicode MS" w:hAnsi="Arial Unicode MS" w:cs="Arial Unicode MS"/>
          <w:sz w:val="20"/>
          <w:szCs w:val="20"/>
        </w:rPr>
        <w:t xml:space="preserve"> The term </w:t>
      </w:r>
      <w:r w:rsidRPr="00EB6311">
        <w:rPr>
          <w:rFonts w:ascii="Arial Unicode MS" w:eastAsia="Arial Unicode MS" w:cs="Arial Unicode MS"/>
          <w:sz w:val="20"/>
          <w:szCs w:val="20"/>
        </w:rPr>
        <w:t>“</w:t>
      </w:r>
      <w:r w:rsidRPr="00EB6311">
        <w:rPr>
          <w:rFonts w:eastAsia="Arial Unicode MS" w:hAnsi="Arial Unicode MS" w:cs="Arial Unicode MS"/>
          <w:sz w:val="20"/>
          <w:szCs w:val="20"/>
        </w:rPr>
        <w:t>attribute</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 xml:space="preserve">may generate some puzzlement here. It, along with </w:t>
      </w:r>
      <w:r w:rsidRPr="00EB6311">
        <w:rPr>
          <w:rFonts w:ascii="Arial Unicode MS" w:eastAsia="Arial Unicode MS" w:cs="Arial Unicode MS"/>
          <w:sz w:val="20"/>
          <w:szCs w:val="20"/>
        </w:rPr>
        <w:t>“</w:t>
      </w:r>
      <w:r w:rsidRPr="00EB6311">
        <w:rPr>
          <w:rFonts w:eastAsia="Arial Unicode MS" w:hAnsi="Arial Unicode MS" w:cs="Arial Unicode MS"/>
          <w:sz w:val="20"/>
          <w:szCs w:val="20"/>
        </w:rPr>
        <w:t>attitude</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 xml:space="preserve">and </w:t>
      </w:r>
      <w:r w:rsidRPr="00EB6311">
        <w:rPr>
          <w:rFonts w:ascii="Arial Unicode MS" w:eastAsia="Arial Unicode MS" w:cs="Arial Unicode MS"/>
          <w:sz w:val="20"/>
          <w:szCs w:val="20"/>
        </w:rPr>
        <w:t>“</w:t>
      </w:r>
      <w:r w:rsidRPr="00EB6311">
        <w:rPr>
          <w:rFonts w:eastAsia="Arial Unicode MS" w:hAnsi="Arial Unicode MS" w:cs="Arial Unicode MS"/>
          <w:sz w:val="20"/>
          <w:szCs w:val="20"/>
        </w:rPr>
        <w:t>behavior,</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 xml:space="preserve">appears in the second edition of the </w:t>
      </w:r>
      <w:r w:rsidRPr="00EB6311">
        <w:rPr>
          <w:rFonts w:eastAsia="Arial Unicode MS" w:hAnsi="Arial Unicode MS" w:cs="Arial Unicode MS"/>
          <w:i/>
          <w:iCs/>
          <w:sz w:val="20"/>
          <w:szCs w:val="20"/>
        </w:rPr>
        <w:t>Core Competencies</w:t>
      </w:r>
      <w:r w:rsidRPr="00EB6311">
        <w:rPr>
          <w:rFonts w:eastAsia="Arial Unicode MS" w:hAnsi="Arial Unicode MS" w:cs="Arial Unicode MS"/>
          <w:sz w:val="20"/>
          <w:szCs w:val="20"/>
        </w:rPr>
        <w:t xml:space="preserve"> as a replacement or placeholder for </w:t>
      </w:r>
      <w:r w:rsidRPr="00EB6311">
        <w:rPr>
          <w:rFonts w:ascii="Arial Unicode MS" w:eastAsia="Arial Unicode MS" w:cs="Arial Unicode MS"/>
          <w:sz w:val="20"/>
          <w:szCs w:val="20"/>
        </w:rPr>
        <w:t>“</w:t>
      </w:r>
      <w:r w:rsidRPr="00EB6311">
        <w:rPr>
          <w:rFonts w:eastAsia="Arial Unicode MS" w:hAnsi="Arial Unicode MS" w:cs="Arial Unicode MS"/>
          <w:sz w:val="20"/>
          <w:szCs w:val="20"/>
        </w:rPr>
        <w:t>character.</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The substitution reflects the authors</w:t>
      </w:r>
      <w:r w:rsidRPr="00EB6311">
        <w:rPr>
          <w:rFonts w:ascii="Arial Unicode MS" w:eastAsia="Arial Unicode MS" w:cs="Arial Unicode MS"/>
          <w:sz w:val="20"/>
          <w:szCs w:val="20"/>
        </w:rPr>
        <w:t>’</w:t>
      </w:r>
      <w:r w:rsidRPr="00EB6311">
        <w:rPr>
          <w:rFonts w:ascii="Arial Unicode MS" w:eastAsia="Arial Unicode MS" w:cs="Arial Unicode MS"/>
          <w:sz w:val="20"/>
          <w:szCs w:val="20"/>
        </w:rPr>
        <w:t xml:space="preserve"> </w:t>
      </w:r>
      <w:r w:rsidRPr="00EB6311">
        <w:rPr>
          <w:rFonts w:eastAsia="Arial Unicode MS" w:hAnsi="Arial Unicode MS" w:cs="Arial Unicode MS"/>
          <w:sz w:val="20"/>
          <w:szCs w:val="20"/>
        </w:rPr>
        <w:t>desire to avoid the implication that these traits cannot be taught or evaluated. Indeed, the acquisition and cultivation of the attributes they describe as connected to the skillful performance of the ethicist</w:t>
      </w:r>
      <w:r w:rsidRPr="00EB6311">
        <w:rPr>
          <w:rFonts w:ascii="Arial Unicode MS" w:eastAsia="Arial Unicode MS" w:cs="Arial Unicode MS"/>
          <w:sz w:val="20"/>
          <w:szCs w:val="20"/>
        </w:rPr>
        <w:t>’</w:t>
      </w:r>
      <w:r>
        <w:rPr>
          <w:rFonts w:eastAsia="Arial Unicode MS" w:hAnsi="Arial Unicode MS" w:cs="Arial Unicode MS"/>
          <w:sz w:val="20"/>
          <w:szCs w:val="20"/>
        </w:rPr>
        <w:t>s role are</w:t>
      </w:r>
      <w:r w:rsidRPr="00EB6311">
        <w:rPr>
          <w:rFonts w:eastAsia="Arial Unicode MS" w:hAnsi="Arial Unicode MS" w:cs="Arial Unicode MS"/>
          <w:sz w:val="20"/>
          <w:szCs w:val="20"/>
        </w:rPr>
        <w:t xml:space="preserve"> described as the work of a lifetime. These attributes, attitudes</w:t>
      </w:r>
      <w:r>
        <w:rPr>
          <w:rFonts w:eastAsia="Arial Unicode MS" w:hAnsi="Arial Unicode MS" w:cs="Arial Unicode MS"/>
          <w:sz w:val="20"/>
          <w:szCs w:val="20"/>
        </w:rPr>
        <w:t>,</w:t>
      </w:r>
      <w:r w:rsidRPr="00EB6311">
        <w:rPr>
          <w:rFonts w:eastAsia="Arial Unicode MS" w:hAnsi="Arial Unicode MS" w:cs="Arial Unicode MS"/>
          <w:sz w:val="20"/>
          <w:szCs w:val="20"/>
        </w:rPr>
        <w:t xml:space="preserve"> and behaviours are as follows: tolerance, patience, and compassion; honesty, forthrightness and self-knowledge; courage; prudence and humility; leadership and integrity. Ibid</w:t>
      </w:r>
      <w:r>
        <w:rPr>
          <w:rFonts w:eastAsia="Arial Unicode MS" w:hAnsi="Arial Unicode MS" w:cs="Arial Unicode MS"/>
          <w:sz w:val="20"/>
          <w:szCs w:val="20"/>
        </w:rPr>
        <w:t>.</w:t>
      </w:r>
      <w:r w:rsidRPr="00EB6311">
        <w:rPr>
          <w:rFonts w:eastAsia="Arial Unicode MS" w:hAnsi="Arial Unicode MS" w:cs="Arial Unicode MS"/>
          <w:sz w:val="20"/>
          <w:szCs w:val="20"/>
        </w:rPr>
        <w:t>, 32-33.</w:t>
      </w:r>
      <w:r>
        <w:rPr>
          <w:rFonts w:eastAsia="Arial Unicode MS" w:hAnsi="Arial Unicode MS" w:cs="Arial Unicode MS"/>
        </w:rPr>
        <w:t xml:space="preserve">  </w:t>
      </w:r>
    </w:p>
    <w:p w14:paraId="5AE40071" w14:textId="77777777" w:rsidR="00BB3FE0" w:rsidRDefault="00BB3FE0" w:rsidP="00EB6311">
      <w:pPr>
        <w:pStyle w:val="FootnoteText"/>
        <w:ind w:firstLine="720"/>
      </w:pPr>
      <w:r>
        <w:rPr>
          <w:rFonts w:eastAsia="Arial Unicode MS" w:hAnsi="Arial Unicode MS" w:cs="Arial Unicode MS"/>
        </w:rPr>
        <w:t xml:space="preserve">  </w:t>
      </w:r>
    </w:p>
  </w:footnote>
  <w:footnote w:id="19">
    <w:p w14:paraId="77F1C597" w14:textId="1AE10E0B" w:rsidR="00BB3FE0" w:rsidRPr="0013028C" w:rsidRDefault="00BB3FE0" w:rsidP="0013028C">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Ibid</w:t>
      </w:r>
      <w:r>
        <w:rPr>
          <w:rFonts w:eastAsia="Arial Unicode MS" w:hAnsi="Arial Unicode MS" w:cs="Arial Unicode MS"/>
          <w:sz w:val="20"/>
          <w:szCs w:val="20"/>
        </w:rPr>
        <w:t>.</w:t>
      </w:r>
      <w:r w:rsidRPr="0013028C">
        <w:rPr>
          <w:rFonts w:eastAsia="Arial Unicode MS" w:hAnsi="Arial Unicode MS" w:cs="Arial Unicode MS"/>
          <w:sz w:val="20"/>
          <w:szCs w:val="20"/>
        </w:rPr>
        <w:t>,</w:t>
      </w:r>
      <w:r>
        <w:rPr>
          <w:rFonts w:eastAsia="Arial Unicode MS" w:hAnsi="Arial Unicode MS" w:cs="Arial Unicode MS"/>
          <w:sz w:val="20"/>
          <w:szCs w:val="20"/>
        </w:rPr>
        <w:t xml:space="preserve"> </w:t>
      </w:r>
      <w:r w:rsidRPr="0013028C">
        <w:rPr>
          <w:rFonts w:eastAsia="Arial Unicode MS" w:hAnsi="Arial Unicode MS" w:cs="Arial Unicode MS"/>
          <w:sz w:val="20"/>
          <w:szCs w:val="20"/>
        </w:rPr>
        <w:t>7.</w:t>
      </w:r>
    </w:p>
    <w:p w14:paraId="11362A32" w14:textId="77777777" w:rsidR="00BB3FE0" w:rsidRPr="008C2BB6" w:rsidRDefault="00BB3FE0">
      <w:pPr>
        <w:pStyle w:val="FootnoteText"/>
        <w:rPr>
          <w:sz w:val="20"/>
          <w:szCs w:val="20"/>
        </w:rPr>
      </w:pPr>
    </w:p>
  </w:footnote>
  <w:footnote w:id="20">
    <w:p w14:paraId="65FD68D9" w14:textId="73CF447D" w:rsidR="00BB3FE0" w:rsidRDefault="00BB3FE0" w:rsidP="00F345CC">
      <w:pPr>
        <w:pStyle w:val="FootnoteText"/>
        <w:ind w:firstLine="720"/>
      </w:pPr>
      <w:r w:rsidRPr="0013028C">
        <w:rPr>
          <w:sz w:val="20"/>
          <w:szCs w:val="20"/>
          <w:vertAlign w:val="superscript"/>
        </w:rPr>
        <w:footnoteRef/>
      </w:r>
      <w:r w:rsidRPr="0013028C">
        <w:rPr>
          <w:rFonts w:eastAsia="Arial Unicode MS" w:hAnsi="Arial Unicode MS" w:cs="Arial Unicode MS"/>
          <w:sz w:val="20"/>
          <w:szCs w:val="20"/>
        </w:rPr>
        <w:t xml:space="preserve"> In some cases the identification of relevant decision-makers may generate</w:t>
      </w:r>
      <w:r>
        <w:rPr>
          <w:rFonts w:eastAsia="Arial Unicode MS" w:hAnsi="Arial Unicode MS" w:cs="Arial Unicode MS"/>
        </w:rPr>
        <w:t xml:space="preserve"> </w:t>
      </w:r>
      <w:r w:rsidRPr="0013028C">
        <w:rPr>
          <w:rFonts w:eastAsia="Arial Unicode MS" w:hAnsi="Arial Unicode MS" w:cs="Arial Unicode MS"/>
          <w:sz w:val="20"/>
          <w:szCs w:val="20"/>
        </w:rPr>
        <w:t>uncertainty or constitute an ethical challenge of its own. If, for example, if it is anticipated that a patient</w:t>
      </w:r>
      <w:r w:rsidRPr="0013028C">
        <w:rPr>
          <w:rFonts w:ascii="Arial Unicode MS" w:eastAsia="Arial Unicode MS" w:cs="Arial Unicode MS"/>
          <w:sz w:val="20"/>
          <w:szCs w:val="20"/>
        </w:rPr>
        <w:t>’</w:t>
      </w:r>
      <w:r w:rsidRPr="0013028C">
        <w:rPr>
          <w:rFonts w:eastAsia="Arial Unicode MS" w:hAnsi="Arial Unicode MS" w:cs="Arial Unicode MS"/>
          <w:sz w:val="20"/>
          <w:szCs w:val="20"/>
        </w:rPr>
        <w:t>s treatment preferences might be overridden owing to a family member</w:t>
      </w:r>
      <w:r w:rsidRPr="0013028C">
        <w:rPr>
          <w:rFonts w:ascii="Arial Unicode MS" w:eastAsia="Arial Unicode MS" w:cs="Arial Unicode MS"/>
          <w:sz w:val="20"/>
          <w:szCs w:val="20"/>
        </w:rPr>
        <w:t>’</w:t>
      </w:r>
      <w:r w:rsidRPr="0013028C">
        <w:rPr>
          <w:rFonts w:eastAsia="Arial Unicode MS" w:hAnsi="Arial Unicode MS" w:cs="Arial Unicode MS"/>
          <w:sz w:val="20"/>
          <w:szCs w:val="20"/>
        </w:rPr>
        <w:t xml:space="preserve">s disapproval it may be problematic to include that </w:t>
      </w:r>
      <w:r w:rsidR="000B641B">
        <w:rPr>
          <w:rFonts w:eastAsia="Arial Unicode MS" w:hAnsi="Arial Unicode MS" w:cs="Arial Unicode MS"/>
          <w:sz w:val="20"/>
          <w:szCs w:val="20"/>
        </w:rPr>
        <w:t>relative</w:t>
      </w:r>
      <w:r w:rsidRPr="0013028C">
        <w:rPr>
          <w:rFonts w:eastAsia="Arial Unicode MS" w:hAnsi="Arial Unicode MS" w:cs="Arial Unicode MS"/>
          <w:sz w:val="20"/>
          <w:szCs w:val="20"/>
        </w:rPr>
        <w:t xml:space="preserve"> at specific points in the decision-making process even though he has a strong interest in the patient</w:t>
      </w:r>
      <w:r w:rsidRPr="0013028C">
        <w:rPr>
          <w:rFonts w:ascii="Arial Unicode MS" w:eastAsia="Arial Unicode MS" w:cs="Arial Unicode MS"/>
          <w:sz w:val="20"/>
          <w:szCs w:val="20"/>
        </w:rPr>
        <w:t>’</w:t>
      </w:r>
      <w:r w:rsidRPr="0013028C">
        <w:rPr>
          <w:rFonts w:eastAsia="Arial Unicode MS" w:hAnsi="Arial Unicode MS" w:cs="Arial Unicode MS"/>
          <w:sz w:val="20"/>
          <w:szCs w:val="20"/>
        </w:rPr>
        <w:t>s decisions. These cases arise with some regularity in clinical settings even though it is generally advisable to engage family members at some stages in the decision-making process. A clinical ethicist may recommend a step-wise process for engaging those with moral standing. A patient may need to be engaged in a private and supportive setting to devise a strategy to bolster h</w:t>
      </w:r>
      <w:r w:rsidR="000B641B">
        <w:rPr>
          <w:rFonts w:eastAsia="Arial Unicode MS" w:hAnsi="Arial Unicode MS" w:cs="Arial Unicode MS"/>
          <w:sz w:val="20"/>
          <w:szCs w:val="20"/>
        </w:rPr>
        <w:t>is</w:t>
      </w:r>
      <w:r w:rsidRPr="0013028C">
        <w:rPr>
          <w:rFonts w:eastAsia="Arial Unicode MS" w:hAnsi="Arial Unicode MS" w:cs="Arial Unicode MS"/>
          <w:sz w:val="20"/>
          <w:szCs w:val="20"/>
        </w:rPr>
        <w:t xml:space="preserve"> ability to choose on h</w:t>
      </w:r>
      <w:r w:rsidR="000B641B">
        <w:rPr>
          <w:rFonts w:eastAsia="Arial Unicode MS" w:hAnsi="Arial Unicode MS" w:cs="Arial Unicode MS"/>
          <w:sz w:val="20"/>
          <w:szCs w:val="20"/>
        </w:rPr>
        <w:t>is</w:t>
      </w:r>
      <w:r w:rsidRPr="0013028C">
        <w:rPr>
          <w:rFonts w:eastAsia="Arial Unicode MS" w:hAnsi="Arial Unicode MS" w:cs="Arial Unicode MS"/>
          <w:sz w:val="20"/>
          <w:szCs w:val="20"/>
        </w:rPr>
        <w:t xml:space="preserve"> own behalf when those closest to h</w:t>
      </w:r>
      <w:r w:rsidR="000B641B">
        <w:rPr>
          <w:rFonts w:eastAsia="Arial Unicode MS" w:hAnsi="Arial Unicode MS" w:cs="Arial Unicode MS"/>
          <w:sz w:val="20"/>
          <w:szCs w:val="20"/>
        </w:rPr>
        <w:t>im</w:t>
      </w:r>
      <w:r w:rsidRPr="0013028C">
        <w:rPr>
          <w:rFonts w:eastAsia="Arial Unicode MS" w:hAnsi="Arial Unicode MS" w:cs="Arial Unicode MS"/>
          <w:sz w:val="20"/>
          <w:szCs w:val="20"/>
        </w:rPr>
        <w:t xml:space="preserve"> have strong preferences that differ from h</w:t>
      </w:r>
      <w:r w:rsidR="000B641B">
        <w:rPr>
          <w:rFonts w:eastAsia="Arial Unicode MS" w:hAnsi="Arial Unicode MS" w:cs="Arial Unicode MS"/>
          <w:sz w:val="20"/>
          <w:szCs w:val="20"/>
        </w:rPr>
        <w:t>is</w:t>
      </w:r>
      <w:r w:rsidRPr="0013028C">
        <w:rPr>
          <w:rFonts w:eastAsia="Arial Unicode MS" w:hAnsi="Arial Unicode MS" w:cs="Arial Unicode MS"/>
          <w:sz w:val="20"/>
          <w:szCs w:val="20"/>
        </w:rPr>
        <w:t xml:space="preserve"> own.</w:t>
      </w:r>
    </w:p>
  </w:footnote>
  <w:footnote w:id="21">
    <w:p w14:paraId="45AC3EDF" w14:textId="2FF3280A" w:rsidR="00BB3FE0" w:rsidRPr="0013028C" w:rsidRDefault="00BB3FE0" w:rsidP="0013028C">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Ibid</w:t>
      </w:r>
      <w:r>
        <w:rPr>
          <w:rFonts w:eastAsia="Arial Unicode MS" w:hAnsi="Arial Unicode MS" w:cs="Arial Unicode MS"/>
          <w:sz w:val="20"/>
          <w:szCs w:val="20"/>
        </w:rPr>
        <w:t>.</w:t>
      </w:r>
      <w:r w:rsidRPr="0013028C">
        <w:rPr>
          <w:rFonts w:eastAsia="Arial Unicode MS" w:hAnsi="Arial Unicode MS" w:cs="Arial Unicode MS"/>
          <w:sz w:val="20"/>
          <w:szCs w:val="20"/>
        </w:rPr>
        <w:t>, 3.</w:t>
      </w:r>
    </w:p>
    <w:p w14:paraId="7BF4DC61" w14:textId="77777777" w:rsidR="00BB3FE0" w:rsidRPr="0013028C" w:rsidRDefault="00BB3FE0">
      <w:pPr>
        <w:pStyle w:val="FootnoteText"/>
        <w:rPr>
          <w:sz w:val="20"/>
          <w:szCs w:val="20"/>
        </w:rPr>
      </w:pPr>
    </w:p>
  </w:footnote>
  <w:footnote w:id="22">
    <w:p w14:paraId="7BB7809A" w14:textId="77777777" w:rsidR="00BB3FE0" w:rsidRDefault="00BB3FE0" w:rsidP="007127C6">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w:t>
      </w:r>
      <w:r w:rsidRPr="0013028C">
        <w:rPr>
          <w:rFonts w:eastAsia="Arial Unicode MS" w:hAnsi="Arial Unicode MS" w:cs="Arial Unicode MS"/>
          <w:i/>
          <w:iCs/>
          <w:sz w:val="20"/>
          <w:szCs w:val="20"/>
        </w:rPr>
        <w:t>Core Competencies</w:t>
      </w:r>
      <w:r w:rsidRPr="0013028C">
        <w:rPr>
          <w:rFonts w:eastAsia="Arial Unicode MS" w:hAnsi="Arial Unicode MS" w:cs="Arial Unicode MS"/>
          <w:sz w:val="20"/>
          <w:szCs w:val="20"/>
        </w:rPr>
        <w:t>, p7.</w:t>
      </w:r>
    </w:p>
    <w:p w14:paraId="49CD8E74" w14:textId="77777777" w:rsidR="00BB3FE0" w:rsidRDefault="00BB3FE0" w:rsidP="007127C6">
      <w:pPr>
        <w:pStyle w:val="FootnoteText"/>
        <w:ind w:firstLine="720"/>
      </w:pPr>
    </w:p>
  </w:footnote>
  <w:footnote w:id="23">
    <w:p w14:paraId="6DDED161" w14:textId="77777777" w:rsidR="00BB3FE0" w:rsidRDefault="00BB3FE0" w:rsidP="007127C6">
      <w:pPr>
        <w:pStyle w:val="FootnoteText"/>
        <w:ind w:firstLine="720"/>
        <w:rPr>
          <w:rFonts w:eastAsia="Arial Unicode MS"/>
          <w:sz w:val="20"/>
          <w:szCs w:val="20"/>
        </w:rPr>
      </w:pPr>
      <w:r w:rsidRPr="0013028C">
        <w:rPr>
          <w:sz w:val="20"/>
          <w:szCs w:val="20"/>
          <w:vertAlign w:val="superscript"/>
        </w:rPr>
        <w:footnoteRef/>
      </w:r>
      <w:r w:rsidRPr="0013028C">
        <w:rPr>
          <w:rFonts w:eastAsia="Arial Unicode MS"/>
          <w:sz w:val="20"/>
          <w:szCs w:val="20"/>
        </w:rPr>
        <w:t>The Core Competencies Task Force explicitly references Dubler and Lieberman’s approach to bioethics mediation (although the authors accept that the ethics community employs other types of ethics facilitation as well). This differs from other forms of mediation that are designed to limit the range of options in order to expedite consensus. Mediation, in the context of ethics consultation, has as its aim “principled consensus” which is agreement that results in a plan of action that, according to Dubler and Lieberman, does not violate the community’s legal and ethical standards. I leave aside for the moment the interesting question of whether a principled consensus should ever violate legal standards in order to satisfy ethical ones. Ibid, p.6, n. 12.</w:t>
      </w:r>
      <w:r>
        <w:rPr>
          <w:rFonts w:eastAsia="Arial Unicode MS"/>
          <w:sz w:val="20"/>
          <w:szCs w:val="20"/>
        </w:rPr>
        <w:t xml:space="preserve"> </w:t>
      </w:r>
    </w:p>
    <w:p w14:paraId="18135CE5" w14:textId="77777777" w:rsidR="00BB3FE0" w:rsidRPr="0013028C" w:rsidRDefault="00BB3FE0" w:rsidP="007127C6">
      <w:pPr>
        <w:pStyle w:val="FootnoteText"/>
        <w:ind w:firstLine="720"/>
        <w:rPr>
          <w:sz w:val="20"/>
          <w:szCs w:val="20"/>
        </w:rPr>
      </w:pPr>
      <w:r>
        <w:rPr>
          <w:rFonts w:eastAsia="Arial Unicode MS"/>
          <w:sz w:val="20"/>
          <w:szCs w:val="20"/>
        </w:rPr>
        <w:t>It is interesting to note that the question of obedience to wicked law and wicked legal systems is an important one that has long been a part of legal theoretical debate, and that discussion may be an instructive one for those interested in theoretical disagreement in healthcare ethics.</w:t>
      </w:r>
      <w:r w:rsidRPr="0013028C">
        <w:rPr>
          <w:rFonts w:eastAsia="Arial Unicode MS" w:hAnsi="Arial Unicode MS" w:cs="Arial Unicode MS"/>
          <w:sz w:val="20"/>
          <w:szCs w:val="20"/>
        </w:rPr>
        <w:t xml:space="preserve"> </w:t>
      </w:r>
    </w:p>
  </w:footnote>
  <w:footnote w:id="24">
    <w:p w14:paraId="39DF6AF9" w14:textId="77777777" w:rsidR="00BB3FE0" w:rsidRDefault="00BB3FE0" w:rsidP="0013028C">
      <w:pPr>
        <w:pStyle w:val="FootnoteText"/>
        <w:ind w:firstLine="720"/>
      </w:pPr>
      <w:r w:rsidRPr="0013028C">
        <w:rPr>
          <w:rStyle w:val="FootnoteReference"/>
          <w:sz w:val="20"/>
          <w:szCs w:val="20"/>
        </w:rPr>
        <w:footnoteRef/>
      </w:r>
      <w:r w:rsidRPr="0013028C">
        <w:rPr>
          <w:sz w:val="20"/>
          <w:szCs w:val="20"/>
        </w:rPr>
        <w:t xml:space="preserve"> I use the MRP designation quite purposefully because, increasingly, the professional who has the ultimate professional responsibility for a case may be either a nurse practitioner or a physician. This description is appropriate to either case.</w:t>
      </w:r>
      <w:r>
        <w:t xml:space="preserve">  </w:t>
      </w:r>
    </w:p>
  </w:footnote>
  <w:footnote w:id="25">
    <w:p w14:paraId="4B17AB9F" w14:textId="77777777" w:rsidR="00BB3FE0" w:rsidRPr="0013028C" w:rsidRDefault="00BB3FE0" w:rsidP="0013028C">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The steps involved in ethics facilitation are succinctly set out in the Core Competencies report, pp. 7-9. </w:t>
      </w:r>
    </w:p>
    <w:p w14:paraId="661FD271" w14:textId="77777777" w:rsidR="00BB3FE0" w:rsidRPr="0013028C" w:rsidRDefault="00BB3FE0">
      <w:pPr>
        <w:pStyle w:val="FootnoteText"/>
        <w:rPr>
          <w:sz w:val="20"/>
          <w:szCs w:val="20"/>
        </w:rPr>
      </w:pPr>
    </w:p>
  </w:footnote>
  <w:footnote w:id="26">
    <w:p w14:paraId="6DD93787" w14:textId="65CB7964" w:rsidR="00BB3FE0" w:rsidRDefault="00BB3FE0" w:rsidP="0013028C">
      <w:pPr>
        <w:pStyle w:val="FootnoteText"/>
        <w:ind w:firstLine="720"/>
      </w:pPr>
      <w:r w:rsidRPr="0013028C">
        <w:rPr>
          <w:sz w:val="20"/>
          <w:szCs w:val="20"/>
          <w:vertAlign w:val="superscript"/>
        </w:rPr>
        <w:footnoteRef/>
      </w:r>
      <w:r w:rsidRPr="0013028C">
        <w:rPr>
          <w:rFonts w:eastAsia="Arial Unicode MS" w:hAnsi="Arial Unicode MS" w:cs="Arial Unicode MS"/>
          <w:sz w:val="20"/>
          <w:szCs w:val="20"/>
        </w:rPr>
        <w:t xml:space="preserve"> The features they share, and which arise almost routinely in consultation cases originating in settings as different as critical care units and geriatric psychiatry units, are conflicting perspectives concerning quality of life and disputes about who has (or ought to have) the authority to decide when that quality is so poor as to allow or require withdrawal of life-sustaining treatment. To complicate the matter further, life-sustaining treatment may involve the prolonged use of scarce resources like </w:t>
      </w:r>
      <w:r>
        <w:rPr>
          <w:rFonts w:eastAsia="Arial Unicode MS" w:hAnsi="Arial Unicode MS" w:cs="Arial Unicode MS"/>
          <w:sz w:val="20"/>
          <w:szCs w:val="20"/>
        </w:rPr>
        <w:t>beds</w:t>
      </w:r>
      <w:r w:rsidRPr="0013028C">
        <w:rPr>
          <w:rFonts w:eastAsia="Arial Unicode MS" w:hAnsi="Arial Unicode MS" w:cs="Arial Unicode MS"/>
          <w:sz w:val="20"/>
          <w:szCs w:val="20"/>
        </w:rPr>
        <w:t xml:space="preserve"> </w:t>
      </w:r>
      <w:r>
        <w:rPr>
          <w:rFonts w:eastAsia="Arial Unicode MS" w:hAnsi="Arial Unicode MS" w:cs="Arial Unicode MS"/>
          <w:sz w:val="20"/>
          <w:szCs w:val="20"/>
        </w:rPr>
        <w:t xml:space="preserve">in intensive care units </w:t>
      </w:r>
      <w:r w:rsidRPr="0013028C">
        <w:rPr>
          <w:rFonts w:eastAsia="Arial Unicode MS" w:hAnsi="Arial Unicode MS" w:cs="Arial Unicode MS"/>
          <w:sz w:val="20"/>
          <w:szCs w:val="20"/>
        </w:rPr>
        <w:t xml:space="preserve">or entail the placement of ubiquitous and inexpensive equipment like percutaneous </w:t>
      </w:r>
      <w:r w:rsidR="000B641B">
        <w:rPr>
          <w:rFonts w:eastAsia="Arial Unicode MS" w:hAnsi="Arial Unicode MS" w:cs="Arial Unicode MS"/>
          <w:sz w:val="20"/>
          <w:szCs w:val="20"/>
        </w:rPr>
        <w:t>endo</w:t>
      </w:r>
      <w:r w:rsidRPr="0013028C">
        <w:rPr>
          <w:rFonts w:eastAsia="Arial Unicode MS" w:hAnsi="Arial Unicode MS" w:cs="Arial Unicode MS"/>
          <w:sz w:val="20"/>
          <w:szCs w:val="20"/>
        </w:rPr>
        <w:t>gastric feeding tubes.</w:t>
      </w:r>
      <w:r>
        <w:rPr>
          <w:rFonts w:eastAsia="Arial Unicode MS" w:hAnsi="Arial Unicode MS" w:cs="Arial Unicode MS"/>
        </w:rPr>
        <w:t xml:space="preserve">   </w:t>
      </w:r>
    </w:p>
  </w:footnote>
  <w:footnote w:id="27">
    <w:p w14:paraId="41342743" w14:textId="0C3A6408" w:rsidR="00BB3FE0" w:rsidRPr="0013028C" w:rsidRDefault="00BB3FE0" w:rsidP="0013028C">
      <w:pPr>
        <w:pStyle w:val="FootnoteText"/>
        <w:ind w:firstLine="720"/>
        <w:rPr>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w:t>
      </w:r>
      <w:r>
        <w:rPr>
          <w:rFonts w:eastAsia="Arial Unicode MS" w:hAnsi="Arial Unicode MS" w:cs="Arial Unicode MS"/>
          <w:sz w:val="20"/>
          <w:szCs w:val="20"/>
        </w:rPr>
        <w:t xml:space="preserve">Carl Elliott. </w:t>
      </w:r>
      <w:r>
        <w:rPr>
          <w:rFonts w:eastAsia="Arial Unicode MS" w:hAnsi="Arial Unicode MS" w:cs="Arial Unicode MS"/>
          <w:sz w:val="20"/>
          <w:szCs w:val="20"/>
        </w:rPr>
        <w:t>“</w:t>
      </w:r>
      <w:r w:rsidRPr="0013028C">
        <w:rPr>
          <w:rFonts w:eastAsia="Arial Unicode MS" w:hAnsi="Arial Unicode MS" w:cs="Arial Unicode MS"/>
          <w:sz w:val="20"/>
          <w:szCs w:val="20"/>
        </w:rPr>
        <w:t>Pharma Buys a Conscience</w:t>
      </w:r>
      <w:r>
        <w:rPr>
          <w:rFonts w:eastAsia="Arial Unicode MS" w:hAnsi="Arial Unicode MS" w:cs="Arial Unicode MS"/>
          <w:sz w:val="20"/>
          <w:szCs w:val="20"/>
        </w:rPr>
        <w:t xml:space="preserve">, </w:t>
      </w:r>
      <w:r>
        <w:rPr>
          <w:rFonts w:eastAsia="Arial Unicode MS" w:hAnsi="Arial Unicode MS" w:cs="Arial Unicode MS"/>
          <w:sz w:val="20"/>
          <w:szCs w:val="20"/>
        </w:rPr>
        <w:t>“</w:t>
      </w:r>
      <w:r w:rsidRPr="0013028C">
        <w:rPr>
          <w:rFonts w:eastAsia="Arial Unicode MS" w:hAnsi="Arial Unicode MS" w:cs="Arial Unicode MS"/>
          <w:i/>
          <w:iCs/>
          <w:sz w:val="20"/>
          <w:szCs w:val="20"/>
        </w:rPr>
        <w:t>The American Prospect</w:t>
      </w:r>
      <w:r w:rsidRPr="0013028C">
        <w:rPr>
          <w:rFonts w:eastAsia="Arial Unicode MS" w:hAnsi="Arial Unicode MS" w:cs="Arial Unicode MS"/>
          <w:sz w:val="20"/>
          <w:szCs w:val="20"/>
        </w:rPr>
        <w:t>. 12</w:t>
      </w:r>
      <w:r>
        <w:rPr>
          <w:rFonts w:eastAsia="Arial Unicode MS" w:hAnsi="Arial Unicode MS" w:cs="Arial Unicode MS"/>
          <w:sz w:val="20"/>
          <w:szCs w:val="20"/>
        </w:rPr>
        <w:t>.</w:t>
      </w:r>
      <w:r w:rsidRPr="0013028C">
        <w:rPr>
          <w:rFonts w:eastAsia="Arial Unicode MS" w:hAnsi="Arial Unicode MS" w:cs="Arial Unicode MS"/>
          <w:sz w:val="20"/>
          <w:szCs w:val="20"/>
        </w:rPr>
        <w:t>17</w:t>
      </w:r>
      <w:r>
        <w:rPr>
          <w:rFonts w:eastAsia="Arial Unicode MS" w:hAnsi="Arial Unicode MS" w:cs="Arial Unicode MS"/>
          <w:sz w:val="20"/>
          <w:szCs w:val="20"/>
        </w:rPr>
        <w:t xml:space="preserve"> (2001):</w:t>
      </w:r>
      <w:r w:rsidRPr="0013028C">
        <w:rPr>
          <w:rFonts w:eastAsia="Arial Unicode MS" w:hAnsi="Arial Unicode MS" w:cs="Arial Unicode MS"/>
          <w:sz w:val="20"/>
          <w:szCs w:val="20"/>
        </w:rPr>
        <w:t xml:space="preserve"> 16-20</w:t>
      </w:r>
      <w:r>
        <w:rPr>
          <w:rFonts w:eastAsia="Arial Unicode MS" w:hAnsi="Arial Unicode MS" w:cs="Arial Unicode MS"/>
          <w:sz w:val="20"/>
          <w:szCs w:val="20"/>
        </w:rPr>
        <w:t xml:space="preserve">. </w:t>
      </w:r>
    </w:p>
  </w:footnote>
  <w:footnote w:id="28">
    <w:p w14:paraId="08D2FA81" w14:textId="4A0D8A49" w:rsidR="00BB3FE0" w:rsidRDefault="00BB3FE0" w:rsidP="0013028C">
      <w:pPr>
        <w:pStyle w:val="FootnoteText"/>
        <w:ind w:firstLine="720"/>
      </w:pPr>
      <w:r w:rsidRPr="0013028C">
        <w:rPr>
          <w:rStyle w:val="FootnoteReference"/>
          <w:sz w:val="20"/>
        </w:rPr>
        <w:footnoteRef/>
      </w:r>
      <w:r>
        <w:rPr>
          <w:sz w:val="20"/>
        </w:rPr>
        <w:t xml:space="preserve"> </w:t>
      </w:r>
      <w:r w:rsidRPr="0013028C">
        <w:rPr>
          <w:sz w:val="20"/>
        </w:rPr>
        <w:t xml:space="preserve">Carl Elliott, </w:t>
      </w:r>
      <w:r w:rsidRPr="0013028C">
        <w:rPr>
          <w:i/>
          <w:sz w:val="20"/>
        </w:rPr>
        <w:t>White Coat, Black Hats: Adventures on the Dark Side of Medicine</w:t>
      </w:r>
      <w:r w:rsidRPr="00105192">
        <w:rPr>
          <w:sz w:val="20"/>
        </w:rPr>
        <w:t xml:space="preserve">, </w:t>
      </w:r>
      <w:r>
        <w:rPr>
          <w:sz w:val="20"/>
        </w:rPr>
        <w:t xml:space="preserve">(Boston, MA: </w:t>
      </w:r>
      <w:r w:rsidRPr="00105192">
        <w:rPr>
          <w:sz w:val="20"/>
        </w:rPr>
        <w:t>Beacon Press, 2010</w:t>
      </w:r>
      <w:r>
        <w:rPr>
          <w:sz w:val="20"/>
        </w:rPr>
        <w:t>)</w:t>
      </w:r>
      <w:r w:rsidRPr="00105192">
        <w:rPr>
          <w:sz w:val="20"/>
        </w:rPr>
        <w:t>,</w:t>
      </w:r>
      <w:r>
        <w:rPr>
          <w:i/>
          <w:sz w:val="20"/>
        </w:rPr>
        <w:t xml:space="preserve"> </w:t>
      </w:r>
      <w:r w:rsidRPr="0013028C">
        <w:rPr>
          <w:sz w:val="20"/>
        </w:rPr>
        <w:t xml:space="preserve">144. </w:t>
      </w:r>
    </w:p>
  </w:footnote>
  <w:footnote w:id="29">
    <w:p w14:paraId="20E0CD14" w14:textId="6F15C6CD" w:rsidR="00BB3FE0" w:rsidRPr="0013028C" w:rsidRDefault="00BB3FE0" w:rsidP="0013028C">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Mobility devices (such as walkers or wheelchairs), physical rehabilitation sessions, home modifications, or personal care services, may not be funded adequately, or at all, by provincial insurance plans. This means that the least well-off can find themselves obliged to accept institutionalization in cases where others with similar injuries or disabilities can expect to return to their own homes with </w:t>
      </w:r>
      <w:r w:rsidR="00E90D07">
        <w:rPr>
          <w:rFonts w:eastAsia="Arial Unicode MS" w:hAnsi="Arial Unicode MS" w:cs="Arial Unicode MS"/>
          <w:sz w:val="20"/>
          <w:szCs w:val="20"/>
        </w:rPr>
        <w:t xml:space="preserve">adequate </w:t>
      </w:r>
      <w:r w:rsidRPr="0013028C">
        <w:rPr>
          <w:rFonts w:eastAsia="Arial Unicode MS" w:hAnsi="Arial Unicode MS" w:cs="Arial Unicode MS"/>
          <w:sz w:val="20"/>
          <w:szCs w:val="20"/>
        </w:rPr>
        <w:t>supports in place.</w:t>
      </w:r>
    </w:p>
    <w:p w14:paraId="6B28442A" w14:textId="77777777" w:rsidR="00BB3FE0" w:rsidRDefault="00BB3FE0">
      <w:pPr>
        <w:pStyle w:val="FootnoteText"/>
      </w:pPr>
    </w:p>
  </w:footnote>
  <w:footnote w:id="30">
    <w:p w14:paraId="02CBFF8A" w14:textId="77777777" w:rsidR="00BB3FE0" w:rsidRPr="0013028C" w:rsidRDefault="00BB3FE0" w:rsidP="0013028C">
      <w:pPr>
        <w:pStyle w:val="FootnoteText"/>
        <w:ind w:firstLine="720"/>
        <w:rPr>
          <w:sz w:val="20"/>
          <w:szCs w:val="20"/>
        </w:rPr>
      </w:pPr>
      <w:r w:rsidRPr="0013028C">
        <w:rPr>
          <w:rStyle w:val="FootnoteReference"/>
          <w:sz w:val="20"/>
          <w:szCs w:val="20"/>
        </w:rPr>
        <w:footnoteRef/>
      </w:r>
      <w:r w:rsidRPr="0013028C">
        <w:rPr>
          <w:sz w:val="20"/>
          <w:szCs w:val="20"/>
        </w:rPr>
        <w:t xml:space="preserve"> In Quebec hospitals some ethics consultants belong to labour unions but my understanding is that they owe any related protections to their membership in the provincial civil service rather than to their roles as healthcare ethics consultants. Moreover, even in that context, ethicists who accept management-level roles cannot belong to trade unions.</w:t>
      </w:r>
    </w:p>
  </w:footnote>
  <w:footnote w:id="31">
    <w:p w14:paraId="67170368" w14:textId="20DBD892" w:rsidR="00BB3FE0" w:rsidRPr="0013028C" w:rsidRDefault="00BB3FE0" w:rsidP="0013028C">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w:t>
      </w:r>
      <w:r>
        <w:rPr>
          <w:rFonts w:eastAsia="Arial Unicode MS" w:hAnsi="Arial Unicode MS" w:cs="Arial Unicode MS"/>
          <w:sz w:val="20"/>
          <w:szCs w:val="20"/>
        </w:rPr>
        <w:t>Fra</w:t>
      </w:r>
      <w:r w:rsidRPr="00105192">
        <w:rPr>
          <w:rFonts w:eastAsia="Arial Unicode MS"/>
          <w:sz w:val="20"/>
          <w:szCs w:val="20"/>
        </w:rPr>
        <w:t>nço</w:t>
      </w:r>
      <w:r>
        <w:rPr>
          <w:rFonts w:eastAsia="Arial Unicode MS" w:hAnsi="Arial Unicode MS" w:cs="Arial Unicode MS"/>
          <w:sz w:val="20"/>
          <w:szCs w:val="20"/>
        </w:rPr>
        <w:t xml:space="preserve">is </w:t>
      </w:r>
      <w:r w:rsidRPr="0013028C">
        <w:rPr>
          <w:rFonts w:eastAsia="Arial Unicode MS" w:hAnsi="Arial Unicode MS" w:cs="Arial Unicode MS"/>
          <w:sz w:val="20"/>
          <w:szCs w:val="20"/>
        </w:rPr>
        <w:t xml:space="preserve">Baylis, </w:t>
      </w:r>
      <w:r>
        <w:rPr>
          <w:rFonts w:eastAsia="Arial Unicode MS" w:hAnsi="Arial Unicode MS" w:cs="Arial Unicode MS"/>
          <w:sz w:val="20"/>
          <w:szCs w:val="20"/>
        </w:rPr>
        <w:t>“</w:t>
      </w:r>
      <w:r w:rsidRPr="0013028C">
        <w:rPr>
          <w:rFonts w:eastAsia="Arial Unicode MS" w:hAnsi="Arial Unicode MS" w:cs="Arial Unicode MS"/>
          <w:sz w:val="20"/>
          <w:szCs w:val="20"/>
        </w:rPr>
        <w:t xml:space="preserve">The Olivieri </w:t>
      </w:r>
      <w:r>
        <w:rPr>
          <w:rFonts w:eastAsia="Arial Unicode MS" w:hAnsi="Arial Unicode MS" w:cs="Arial Unicode MS"/>
          <w:sz w:val="20"/>
          <w:szCs w:val="20"/>
        </w:rPr>
        <w:t>D</w:t>
      </w:r>
      <w:r w:rsidRPr="0013028C">
        <w:rPr>
          <w:rFonts w:eastAsia="Arial Unicode MS" w:hAnsi="Arial Unicode MS" w:cs="Arial Unicode MS"/>
          <w:sz w:val="20"/>
          <w:szCs w:val="20"/>
        </w:rPr>
        <w:t xml:space="preserve">ebacle: Where </w:t>
      </w:r>
      <w:r>
        <w:rPr>
          <w:rFonts w:eastAsia="Arial Unicode MS" w:hAnsi="Arial Unicode MS" w:cs="Arial Unicode MS"/>
          <w:sz w:val="20"/>
          <w:szCs w:val="20"/>
        </w:rPr>
        <w:t>W</w:t>
      </w:r>
      <w:r w:rsidRPr="0013028C">
        <w:rPr>
          <w:rFonts w:eastAsia="Arial Unicode MS" w:hAnsi="Arial Unicode MS" w:cs="Arial Unicode MS"/>
          <w:sz w:val="20"/>
          <w:szCs w:val="20"/>
        </w:rPr>
        <w:t xml:space="preserve">ere the </w:t>
      </w:r>
      <w:r>
        <w:rPr>
          <w:rFonts w:eastAsia="Arial Unicode MS" w:hAnsi="Arial Unicode MS" w:cs="Arial Unicode MS"/>
          <w:sz w:val="20"/>
          <w:szCs w:val="20"/>
        </w:rPr>
        <w:t>H</w:t>
      </w:r>
      <w:r w:rsidRPr="0013028C">
        <w:rPr>
          <w:rFonts w:eastAsia="Arial Unicode MS" w:hAnsi="Arial Unicode MS" w:cs="Arial Unicode MS"/>
          <w:sz w:val="20"/>
          <w:szCs w:val="20"/>
        </w:rPr>
        <w:t xml:space="preserve">eroes of </w:t>
      </w:r>
      <w:r>
        <w:rPr>
          <w:rFonts w:eastAsia="Arial Unicode MS" w:hAnsi="Arial Unicode MS" w:cs="Arial Unicode MS"/>
          <w:sz w:val="20"/>
          <w:szCs w:val="20"/>
        </w:rPr>
        <w:t>B</w:t>
      </w:r>
      <w:r w:rsidRPr="0013028C">
        <w:rPr>
          <w:rFonts w:eastAsia="Arial Unicode MS" w:hAnsi="Arial Unicode MS" w:cs="Arial Unicode MS"/>
          <w:sz w:val="20"/>
          <w:szCs w:val="20"/>
        </w:rPr>
        <w:t>ioethics?</w:t>
      </w:r>
      <w:r>
        <w:rPr>
          <w:rFonts w:eastAsia="Arial Unicode MS" w:hAnsi="Arial Unicode MS" w:cs="Arial Unicode MS"/>
          <w:sz w:val="20"/>
          <w:szCs w:val="20"/>
        </w:rPr>
        <w:t>”</w:t>
      </w:r>
      <w:r w:rsidRPr="0013028C">
        <w:rPr>
          <w:rFonts w:eastAsia="Arial Unicode MS" w:hAnsi="Arial Unicode MS" w:cs="Arial Unicode MS"/>
          <w:sz w:val="20"/>
          <w:szCs w:val="20"/>
        </w:rPr>
        <w:t xml:space="preserve"> </w:t>
      </w:r>
      <w:r w:rsidRPr="0013028C">
        <w:rPr>
          <w:rFonts w:eastAsia="Arial Unicode MS" w:hAnsi="Arial Unicode MS" w:cs="Arial Unicode MS"/>
          <w:i/>
          <w:iCs/>
          <w:sz w:val="20"/>
          <w:szCs w:val="20"/>
        </w:rPr>
        <w:t>J Med Ethics</w:t>
      </w:r>
      <w:r w:rsidRPr="0013028C">
        <w:rPr>
          <w:rFonts w:eastAsia="Arial Unicode MS" w:hAnsi="Arial Unicode MS" w:cs="Arial Unicode MS"/>
          <w:sz w:val="20"/>
          <w:szCs w:val="20"/>
        </w:rPr>
        <w:t xml:space="preserve"> 2004; 30:44-9. </w:t>
      </w:r>
    </w:p>
    <w:p w14:paraId="78EAA86A" w14:textId="77777777" w:rsidR="00BB3FE0" w:rsidRDefault="00BB3FE0">
      <w:pPr>
        <w:pStyle w:val="FootnoteText"/>
      </w:pPr>
    </w:p>
  </w:footnote>
  <w:footnote w:id="32">
    <w:p w14:paraId="5D4BD01C" w14:textId="10B027F1" w:rsidR="00BB3FE0" w:rsidRDefault="00BB3FE0" w:rsidP="0013028C">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i/>
          <w:iCs/>
          <w:sz w:val="20"/>
          <w:szCs w:val="20"/>
        </w:rPr>
        <w:t xml:space="preserve"> </w:t>
      </w:r>
      <w:r w:rsidRPr="0013028C">
        <w:rPr>
          <w:rFonts w:eastAsia="Arial Unicode MS" w:hAnsi="Arial Unicode MS" w:cs="Arial Unicode MS"/>
          <w:sz w:val="20"/>
          <w:szCs w:val="20"/>
        </w:rPr>
        <w:t>Ibid.</w:t>
      </w:r>
      <w:r>
        <w:rPr>
          <w:rFonts w:eastAsia="Arial Unicode MS" w:hAnsi="Arial Unicode MS" w:cs="Arial Unicode MS"/>
          <w:sz w:val="20"/>
          <w:szCs w:val="20"/>
        </w:rPr>
        <w:t>,</w:t>
      </w:r>
      <w:r w:rsidRPr="0013028C">
        <w:rPr>
          <w:rFonts w:eastAsia="Arial Unicode MS" w:hAnsi="Arial Unicode MS" w:cs="Arial Unicode MS"/>
          <w:sz w:val="20"/>
          <w:szCs w:val="20"/>
        </w:rPr>
        <w:t xml:space="preserve"> 45.</w:t>
      </w:r>
    </w:p>
    <w:p w14:paraId="407BA7B3" w14:textId="77777777" w:rsidR="00BB3FE0" w:rsidRPr="0013028C" w:rsidRDefault="00BB3FE0">
      <w:pPr>
        <w:pStyle w:val="FootnoteText"/>
        <w:rPr>
          <w:sz w:val="20"/>
          <w:szCs w:val="20"/>
        </w:rPr>
      </w:pPr>
    </w:p>
  </w:footnote>
  <w:footnote w:id="33">
    <w:p w14:paraId="62DD5C96" w14:textId="77777777" w:rsidR="00BB3FE0" w:rsidRPr="00DA6DF5" w:rsidRDefault="00BB3FE0" w:rsidP="00DA6DF5">
      <w:pPr>
        <w:pStyle w:val="FootnoteText"/>
        <w:ind w:firstLine="720"/>
      </w:pPr>
      <w:r w:rsidRPr="00DA6DF5">
        <w:rPr>
          <w:sz w:val="20"/>
          <w:szCs w:val="20"/>
          <w:vertAlign w:val="superscript"/>
        </w:rPr>
        <w:footnoteRef/>
      </w:r>
      <w:r w:rsidRPr="00DA6DF5">
        <w:rPr>
          <w:rFonts w:eastAsia="Arial Unicode MS"/>
          <w:sz w:val="20"/>
          <w:szCs w:val="20"/>
        </w:rPr>
        <w:t xml:space="preserve"> Kuczewski, Mark G. “Reconceiving the Family: The Process of Consent in Medical Decisionmaking.” </w:t>
      </w:r>
      <w:r w:rsidRPr="00DA6DF5">
        <w:rPr>
          <w:rFonts w:eastAsia="Arial Unicode MS"/>
          <w:i/>
          <w:iCs/>
          <w:sz w:val="20"/>
          <w:szCs w:val="20"/>
        </w:rPr>
        <w:t>The Hastings Center Report</w:t>
      </w:r>
      <w:r w:rsidRPr="00DA6DF5">
        <w:rPr>
          <w:rFonts w:eastAsia="Arial Unicode MS"/>
          <w:sz w:val="20"/>
          <w:szCs w:val="20"/>
        </w:rPr>
        <w:t>, March-April 1996.</w:t>
      </w:r>
    </w:p>
  </w:footnote>
  <w:footnote w:id="34">
    <w:p w14:paraId="6135C92C" w14:textId="77777777" w:rsidR="00BB3FE0" w:rsidRPr="002C13B1" w:rsidRDefault="00BB3FE0" w:rsidP="0013028C">
      <w:pPr>
        <w:pStyle w:val="FootnoteText"/>
        <w:ind w:firstLine="720"/>
        <w:rPr>
          <w:sz w:val="20"/>
          <w:szCs w:val="20"/>
        </w:rPr>
      </w:pPr>
      <w:r w:rsidRPr="002C13B1">
        <w:rPr>
          <w:sz w:val="20"/>
          <w:szCs w:val="20"/>
          <w:vertAlign w:val="superscript"/>
        </w:rPr>
        <w:footnoteRef/>
      </w:r>
      <w:r w:rsidRPr="002C13B1">
        <w:rPr>
          <w:rFonts w:eastAsia="Arial Unicode MS" w:hAnsi="Arial Unicode MS" w:cs="Arial Unicode MS"/>
          <w:sz w:val="20"/>
          <w:szCs w:val="20"/>
        </w:rPr>
        <w:t xml:space="preserve"> Online: </w:t>
      </w:r>
      <w:hyperlink r:id="rId2" w:history="1">
        <w:r w:rsidRPr="002C13B1">
          <w:rPr>
            <w:rStyle w:val="Hyperlink"/>
            <w:sz w:val="20"/>
            <w:szCs w:val="20"/>
          </w:rPr>
          <w:t>https://www.hhs.gov/ohrp/sites/default/files/the-belmont-report-508c_FINAL.pdf</w:t>
        </w:r>
      </w:hyperlink>
      <w:r w:rsidRPr="002C13B1">
        <w:rPr>
          <w:sz w:val="20"/>
          <w:szCs w:val="20"/>
        </w:rPr>
        <w:t xml:space="preserve"> Accessed: 2 June 2019.</w:t>
      </w:r>
    </w:p>
  </w:footnote>
  <w:footnote w:id="35">
    <w:p w14:paraId="67737F4A" w14:textId="6C92E320" w:rsidR="00BB3FE0" w:rsidRPr="0013028C" w:rsidRDefault="00BB3FE0" w:rsidP="0013028C">
      <w:pPr>
        <w:pStyle w:val="FootnoteText"/>
        <w:ind w:firstLine="720"/>
        <w:rPr>
          <w:sz w:val="20"/>
          <w:szCs w:val="20"/>
        </w:rPr>
      </w:pPr>
      <w:r w:rsidRPr="0013028C">
        <w:rPr>
          <w:sz w:val="20"/>
          <w:vertAlign w:val="superscript"/>
        </w:rPr>
        <w:footnoteRef/>
      </w:r>
      <w:r w:rsidRPr="0013028C">
        <w:rPr>
          <w:rFonts w:eastAsia="Arial Unicode MS" w:hAnsi="Arial Unicode MS" w:cs="Arial Unicode MS"/>
          <w:sz w:val="20"/>
        </w:rPr>
        <w:t xml:space="preserve"> In 2011 the major Canadian federal funding agencies, (the Canadian Institute of Health Research, CIHR; the National Science and Engineering and Research Council, NSERC; and the Social Sciences and Humanities Research Council, SSHRC) released a framework articulating their expectations of researchers and institutions that are in receipt of federal funds. In their words, this product, called the Responsible Conduct of Research (RCR) Framework, </w:t>
      </w:r>
      <w:r w:rsidRPr="0013028C">
        <w:rPr>
          <w:rFonts w:ascii="Arial Unicode MS" w:eastAsia="Arial Unicode MS" w:cs="Arial Unicode MS"/>
          <w:sz w:val="20"/>
        </w:rPr>
        <w:t>“</w:t>
      </w:r>
      <w:r w:rsidRPr="0013028C">
        <w:rPr>
          <w:rFonts w:eastAsia="Arial Unicode MS" w:hAnsi="Arial Unicode MS" w:cs="Arial Unicode MS"/>
          <w:sz w:val="20"/>
        </w:rPr>
        <w:t xml:space="preserve">sets out the responsibilities and corresponding policies for researchers, Institutions, and the </w:t>
      </w:r>
      <w:r w:rsidRPr="0013028C">
        <w:rPr>
          <w:rFonts w:eastAsia="Arial Unicode MS" w:hAnsi="Arial Unicode MS" w:cs="Arial Unicode MS"/>
          <w:sz w:val="20"/>
          <w:szCs w:val="20"/>
        </w:rPr>
        <w:t xml:space="preserve">Agencies, that together help support and promote a positive research environment. It specifies the responsibilities of researchers with respect to research integrity, applying for funding, financial management, as well as requirements for conducting certain types of research, and defines what constitutes a breach of Agency policies. For </w:t>
      </w:r>
      <w:r>
        <w:rPr>
          <w:rFonts w:eastAsia="Arial Unicode MS" w:hAnsi="Arial Unicode MS" w:cs="Arial Unicode MS"/>
          <w:sz w:val="20"/>
          <w:szCs w:val="20"/>
        </w:rPr>
        <w:t>i</w:t>
      </w:r>
      <w:r w:rsidRPr="0013028C">
        <w:rPr>
          <w:rFonts w:eastAsia="Arial Unicode MS" w:hAnsi="Arial Unicode MS" w:cs="Arial Unicode MS"/>
          <w:sz w:val="20"/>
          <w:szCs w:val="20"/>
        </w:rPr>
        <w:t>nstitutions, it details the minimum requirements for institutional policies addressing allegations of policy breaches, and articulates their responsibilities for promoting responsible conduct of research and reporting to the Agencies.</w:t>
      </w:r>
      <w:r w:rsidRPr="0013028C">
        <w:rPr>
          <w:rFonts w:ascii="Arial Unicode MS" w:eastAsia="Arial Unicode MS" w:cs="Arial Unicode MS"/>
          <w:sz w:val="20"/>
          <w:szCs w:val="20"/>
        </w:rPr>
        <w:t>”</w:t>
      </w:r>
      <w:r w:rsidRPr="0013028C">
        <w:rPr>
          <w:rFonts w:ascii="Arial Unicode MS" w:eastAsia="Arial Unicode MS" w:cs="Arial Unicode MS"/>
          <w:sz w:val="20"/>
          <w:szCs w:val="20"/>
        </w:rPr>
        <w:t xml:space="preserve"> </w:t>
      </w:r>
      <w:r w:rsidRPr="0013028C">
        <w:rPr>
          <w:rFonts w:eastAsia="Arial Unicode MS" w:hAnsi="Arial Unicode MS" w:cs="Arial Unicode MS"/>
          <w:sz w:val="20"/>
          <w:szCs w:val="20"/>
        </w:rPr>
        <w:t xml:space="preserve">Online:  http://www.rcr.ethics.gc.ca/eng/policy-politique/framework-cadre/#11. Research Integrity Officers are charged with ensuring that their institutions comply with these standards. The Tri-Agency Framework is not backed with the threat of legal sanctions, nor is it supported with funding for investigators who can ascertain whether parties are compliant with this guidance, but researchers and institutions that breach Agency policy do risk the prospect of losing their current funds as well as eligibility to apply for any future funding. </w:t>
      </w:r>
    </w:p>
    <w:p w14:paraId="54E71FB6" w14:textId="77777777" w:rsidR="00BB3FE0" w:rsidRPr="0013028C" w:rsidRDefault="00BB3FE0" w:rsidP="0013028C">
      <w:pPr>
        <w:pStyle w:val="FootnoteText"/>
        <w:ind w:firstLine="720"/>
        <w:rPr>
          <w:sz w:val="20"/>
          <w:szCs w:val="20"/>
        </w:rPr>
      </w:pPr>
      <w:r w:rsidRPr="0013028C">
        <w:rPr>
          <w:rFonts w:eastAsia="Arial Unicode MS" w:hAnsi="Arial Unicode MS" w:cs="Arial Unicode MS"/>
          <w:sz w:val="20"/>
          <w:szCs w:val="20"/>
        </w:rPr>
        <w:t xml:space="preserve">It is interesting to note that there is no authoritative definition of research misconduct in Canada, nor have the Tri-Agencies attempted to establish one, but there is fairly broad agreement that, at minimum, activities such as those proscribed by the U.S. National Institute of Health (NIH) fall within this category: </w:t>
      </w:r>
      <w:r w:rsidRPr="0013028C">
        <w:rPr>
          <w:rFonts w:ascii="Arial Unicode MS" w:eastAsia="Arial Unicode MS" w:cs="Arial Unicode MS"/>
          <w:sz w:val="20"/>
          <w:szCs w:val="20"/>
        </w:rPr>
        <w:t>“</w:t>
      </w:r>
      <w:r w:rsidRPr="0013028C">
        <w:rPr>
          <w:rFonts w:eastAsia="Arial Unicode MS" w:hAnsi="Arial Unicode MS" w:cs="Arial Unicode MS"/>
          <w:sz w:val="20"/>
          <w:szCs w:val="20"/>
        </w:rPr>
        <w:t>Research misconduct is defined as fabrication, falsification, or plagiarism in proposing, performing, or reviewing research, or in reporting research results, according to 42 CFR Part 93.</w:t>
      </w:r>
      <w:r w:rsidRPr="0013028C">
        <w:rPr>
          <w:rFonts w:ascii="Arial Unicode MS" w:eastAsia="Arial Unicode MS" w:cs="Arial Unicode MS"/>
          <w:sz w:val="20"/>
          <w:szCs w:val="20"/>
        </w:rPr>
        <w:t>”</w:t>
      </w:r>
      <w:r w:rsidRPr="0013028C">
        <w:rPr>
          <w:rFonts w:ascii="Arial Unicode MS" w:eastAsia="Arial Unicode MS" w:cs="Arial Unicode MS"/>
          <w:sz w:val="20"/>
          <w:szCs w:val="20"/>
        </w:rPr>
        <w:t xml:space="preserve"> </w:t>
      </w:r>
      <w:r w:rsidRPr="0013028C">
        <w:rPr>
          <w:rFonts w:eastAsia="Arial Unicode MS" w:hAnsi="Arial Unicode MS" w:cs="Arial Unicode MS"/>
          <w:sz w:val="20"/>
          <w:szCs w:val="20"/>
        </w:rPr>
        <w:t xml:space="preserve">The NIH Office of Extramural Research cautions that, </w:t>
      </w:r>
      <w:r w:rsidRPr="0013028C">
        <w:rPr>
          <w:rFonts w:ascii="Arial Unicode MS" w:eastAsia="Arial Unicode MS" w:cs="Arial Unicode MS"/>
          <w:sz w:val="20"/>
          <w:szCs w:val="20"/>
        </w:rPr>
        <w:t>“</w:t>
      </w:r>
      <w:r w:rsidRPr="0013028C">
        <w:rPr>
          <w:rFonts w:ascii="Times New Roman Bold"/>
          <w:sz w:val="20"/>
          <w:szCs w:val="20"/>
        </w:rPr>
        <w:t>Research misconduct does NOT include honest error or differences of opinion.</w:t>
      </w:r>
      <w:r w:rsidRPr="0013028C">
        <w:rPr>
          <w:rFonts w:ascii="Arial Unicode MS" w:eastAsia="Arial Unicode MS" w:cs="Arial Unicode MS"/>
          <w:sz w:val="20"/>
          <w:szCs w:val="20"/>
        </w:rPr>
        <w:t>”</w:t>
      </w:r>
      <w:r>
        <w:rPr>
          <w:rFonts w:ascii="Arial Unicode MS" w:eastAsia="Arial Unicode MS" w:cs="Arial Unicode MS"/>
          <w:sz w:val="20"/>
          <w:szCs w:val="20"/>
        </w:rPr>
        <w:t xml:space="preserve"> </w:t>
      </w:r>
      <w:r w:rsidRPr="0013028C">
        <w:rPr>
          <w:rFonts w:eastAsia="Arial Unicode MS" w:hAnsi="Arial Unicode MS" w:cs="Arial Unicode MS"/>
          <w:sz w:val="20"/>
          <w:szCs w:val="20"/>
        </w:rPr>
        <w:t>[Emphasis in original]. Online: http://grants.nih.gov/grants/research_integrity/research_misconduct.htm.</w:t>
      </w:r>
    </w:p>
    <w:p w14:paraId="41B85D30" w14:textId="77777777" w:rsidR="00BB3FE0" w:rsidRPr="005C13F3" w:rsidRDefault="00BB3FE0">
      <w:pPr>
        <w:pStyle w:val="FootnoteText"/>
        <w:rPr>
          <w:sz w:val="20"/>
          <w:szCs w:val="20"/>
        </w:rPr>
      </w:pPr>
      <w:r>
        <w:rPr>
          <w:rFonts w:eastAsia="Arial Unicode MS" w:hAnsi="Arial Unicode MS" w:cs="Arial Unicode MS"/>
        </w:rPr>
        <w:t xml:space="preserve">     </w:t>
      </w:r>
    </w:p>
  </w:footnote>
  <w:footnote w:id="36">
    <w:p w14:paraId="58DBCCA2" w14:textId="77777777" w:rsidR="00BB3FE0" w:rsidRDefault="00BB3FE0" w:rsidP="0013028C">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w:t>
      </w:r>
      <w:r w:rsidRPr="00492279">
        <w:rPr>
          <w:rFonts w:eastAsia="Arial Unicode MS" w:hAnsi="Arial Unicode MS" w:cs="Arial Unicode MS"/>
          <w:i/>
          <w:sz w:val="20"/>
          <w:szCs w:val="20"/>
        </w:rPr>
        <w:t>TCPS2</w:t>
      </w:r>
      <w:r w:rsidRPr="0013028C">
        <w:rPr>
          <w:rFonts w:eastAsia="Arial Unicode MS" w:hAnsi="Arial Unicode MS" w:cs="Arial Unicode MS"/>
          <w:sz w:val="20"/>
          <w:szCs w:val="20"/>
        </w:rPr>
        <w:t xml:space="preserve">, Chapter 2, Part B. Available online: </w:t>
      </w:r>
      <w:hyperlink r:id="rId3" w:anchor="ch6_en_a6.12" w:history="1">
        <w:r w:rsidRPr="009C30D0">
          <w:rPr>
            <w:rStyle w:val="Hyperlink"/>
            <w:rFonts w:eastAsia="Arial Unicode MS" w:hAnsi="Arial Unicode MS" w:cs="Arial Unicode MS"/>
            <w:sz w:val="20"/>
            <w:szCs w:val="20"/>
          </w:rPr>
          <w:t>http://www.pre.ethics.gc.ca/eng/policy-politique/initiatives/tcps2-eptc2/chapter2-chapitre2/eng/policy-politique/initiatives/tcps2-eptc2/chapter6-chapitre6/#ch6_en_a6.12</w:t>
        </w:r>
      </w:hyperlink>
      <w:r w:rsidRPr="0013028C">
        <w:rPr>
          <w:rFonts w:eastAsia="Arial Unicode MS" w:hAnsi="Arial Unicode MS" w:cs="Arial Unicode MS"/>
          <w:sz w:val="20"/>
          <w:szCs w:val="20"/>
        </w:rPr>
        <w:t>.</w:t>
      </w:r>
      <w:r>
        <w:rPr>
          <w:rFonts w:eastAsia="Arial Unicode MS" w:hAnsi="Arial Unicode MS" w:cs="Arial Unicode MS"/>
          <w:sz w:val="20"/>
          <w:szCs w:val="20"/>
        </w:rPr>
        <w:t xml:space="preserve"> Accessed 5 June 2019.</w:t>
      </w:r>
    </w:p>
    <w:p w14:paraId="034646A9" w14:textId="77777777" w:rsidR="00BB3FE0" w:rsidRPr="0013028C" w:rsidRDefault="00BB3FE0" w:rsidP="0013028C">
      <w:pPr>
        <w:pStyle w:val="FootnoteText"/>
        <w:ind w:firstLine="720"/>
        <w:rPr>
          <w:sz w:val="20"/>
          <w:szCs w:val="20"/>
        </w:rPr>
      </w:pPr>
    </w:p>
  </w:footnote>
  <w:footnote w:id="37">
    <w:p w14:paraId="3A1172C6" w14:textId="3E0D5320" w:rsidR="00BB3FE0" w:rsidRDefault="00BB3FE0" w:rsidP="0013028C">
      <w:pPr>
        <w:pStyle w:val="FootnoteText"/>
        <w:ind w:firstLine="720"/>
      </w:pPr>
      <w:r w:rsidRPr="0013028C">
        <w:rPr>
          <w:sz w:val="20"/>
          <w:vertAlign w:val="superscript"/>
        </w:rPr>
        <w:footnoteRef/>
      </w:r>
      <w:r w:rsidRPr="0013028C">
        <w:rPr>
          <w:rFonts w:eastAsia="Arial Unicode MS" w:hAnsi="Arial Unicode MS" w:cs="Arial Unicode MS"/>
          <w:sz w:val="20"/>
        </w:rPr>
        <w:t xml:space="preserve"> The main point here is that institutional approval differs from research ethics board approval. In the Canadian regulatory environment an institution cannot give its blessing to a study that has been rejected as unethical by its own duly-constituted REB. The converse, however, does not obtain. This is part of a commitment to ensuring that the ethical review of research takes place at arm</w:t>
      </w:r>
      <w:r w:rsidRPr="0013028C">
        <w:rPr>
          <w:rFonts w:ascii="Arial Unicode MS" w:eastAsia="Arial Unicode MS" w:cs="Arial Unicode MS"/>
          <w:sz w:val="20"/>
        </w:rPr>
        <w:t>’</w:t>
      </w:r>
      <w:r w:rsidRPr="0013028C">
        <w:rPr>
          <w:rFonts w:eastAsia="Arial Unicode MS" w:hAnsi="Arial Unicode MS" w:cs="Arial Unicode MS"/>
          <w:sz w:val="20"/>
        </w:rPr>
        <w:t>s length from administrative pressures to promote research within a health care organization. According to the Tri-Agencies, research ethics boards must report to the highest body in an organization. This is typically the institution</w:t>
      </w:r>
      <w:r w:rsidRPr="0013028C">
        <w:rPr>
          <w:rFonts w:ascii="Arial Unicode MS" w:eastAsia="Arial Unicode MS" w:cs="Arial Unicode MS"/>
          <w:sz w:val="20"/>
        </w:rPr>
        <w:t>’</w:t>
      </w:r>
      <w:r w:rsidRPr="0013028C">
        <w:rPr>
          <w:rFonts w:eastAsia="Arial Unicode MS" w:hAnsi="Arial Unicode MS" w:cs="Arial Unicode MS"/>
          <w:sz w:val="20"/>
        </w:rPr>
        <w:t xml:space="preserve">s Board of Trustees which in Ontario is regulated by the </w:t>
      </w:r>
      <w:r w:rsidRPr="00295864">
        <w:rPr>
          <w:rFonts w:eastAsia="Arial Unicode MS" w:hAnsi="Arial Unicode MS" w:cs="Arial Unicode MS"/>
          <w:i/>
          <w:sz w:val="20"/>
        </w:rPr>
        <w:t>Public Hospitals Act</w:t>
      </w:r>
      <w:r w:rsidRPr="0013028C">
        <w:rPr>
          <w:rFonts w:eastAsia="Arial Unicode MS" w:hAnsi="Arial Unicode MS" w:cs="Arial Unicode MS"/>
          <w:sz w:val="20"/>
        </w:rPr>
        <w:t xml:space="preserve"> which grants it responsibilities for </w:t>
      </w:r>
      <w:r w:rsidRPr="0013028C">
        <w:rPr>
          <w:rFonts w:ascii="Arial Unicode MS" w:eastAsia="Arial Unicode MS" w:cs="Arial Unicode MS"/>
          <w:sz w:val="20"/>
        </w:rPr>
        <w:t>“</w:t>
      </w:r>
      <w:r w:rsidRPr="0013028C">
        <w:rPr>
          <w:rFonts w:eastAsia="Arial Unicode MS" w:hAnsi="Arial Unicode MS" w:cs="Arial Unicode MS"/>
          <w:sz w:val="20"/>
        </w:rPr>
        <w:t>decision-making and oversight,</w:t>
      </w:r>
      <w:r w:rsidRPr="0013028C">
        <w:rPr>
          <w:rFonts w:ascii="Arial Unicode MS" w:eastAsia="Arial Unicode MS" w:cs="Arial Unicode MS"/>
          <w:sz w:val="20"/>
        </w:rPr>
        <w:t>”</w:t>
      </w:r>
      <w:r w:rsidRPr="0013028C">
        <w:rPr>
          <w:rFonts w:ascii="Arial Unicode MS" w:eastAsia="Arial Unicode MS" w:cs="Arial Unicode MS"/>
          <w:sz w:val="20"/>
        </w:rPr>
        <w:t xml:space="preserve"> </w:t>
      </w:r>
      <w:r w:rsidRPr="0013028C">
        <w:rPr>
          <w:rFonts w:eastAsia="Arial Unicode MS" w:hAnsi="Arial Unicode MS" w:cs="Arial Unicode MS"/>
          <w:sz w:val="20"/>
        </w:rPr>
        <w:t>including, as one Board</w:t>
      </w:r>
      <w:r w:rsidRPr="0013028C">
        <w:rPr>
          <w:rFonts w:ascii="Arial Unicode MS" w:eastAsia="Arial Unicode MS" w:cs="Arial Unicode MS"/>
          <w:sz w:val="20"/>
        </w:rPr>
        <w:t>’</w:t>
      </w:r>
      <w:r w:rsidRPr="0013028C">
        <w:rPr>
          <w:rFonts w:eastAsia="Arial Unicode MS" w:hAnsi="Arial Unicode MS" w:cs="Arial Unicode MS"/>
          <w:sz w:val="20"/>
        </w:rPr>
        <w:t xml:space="preserve">s own interpretation states, the obligation to </w:t>
      </w:r>
      <w:r w:rsidRPr="0013028C">
        <w:rPr>
          <w:rFonts w:ascii="Arial Unicode MS" w:eastAsia="Arial Unicode MS" w:cs="Arial Unicode MS"/>
          <w:sz w:val="20"/>
        </w:rPr>
        <w:t>“</w:t>
      </w:r>
      <w:r w:rsidRPr="0013028C">
        <w:rPr>
          <w:rFonts w:eastAsia="Arial Unicode MS" w:hAnsi="Arial Unicode MS" w:cs="Arial Unicode MS"/>
          <w:sz w:val="20"/>
        </w:rPr>
        <w:t>ensure there are systems in place that ensure management is operating in an ethical way that complies with all relevant statutes, regulations and hospital by-laws</w:t>
      </w:r>
      <w:r w:rsidRPr="0013028C">
        <w:rPr>
          <w:rFonts w:ascii="Arial Unicode MS" w:eastAsia="Arial Unicode MS" w:cs="Arial Unicode MS"/>
          <w:sz w:val="20"/>
        </w:rPr>
        <w:t>”</w:t>
      </w:r>
      <w:r w:rsidRPr="0013028C">
        <w:rPr>
          <w:rFonts w:ascii="Arial Unicode MS" w:eastAsia="Arial Unicode MS" w:cs="Arial Unicode MS"/>
          <w:sz w:val="20"/>
        </w:rPr>
        <w:t xml:space="preserve"> </w:t>
      </w:r>
      <w:r w:rsidRPr="0013028C">
        <w:rPr>
          <w:rFonts w:eastAsia="Arial Unicode MS" w:hAnsi="Arial Unicode MS" w:cs="Arial Unicode MS"/>
          <w:sz w:val="20"/>
        </w:rPr>
        <w:t>(this is from the University Health Network Board</w:t>
      </w:r>
      <w:r w:rsidRPr="0013028C">
        <w:rPr>
          <w:rFonts w:ascii="Arial Unicode MS" w:eastAsia="Arial Unicode MS" w:cs="Arial Unicode MS"/>
          <w:sz w:val="20"/>
        </w:rPr>
        <w:t>’</w:t>
      </w:r>
      <w:r w:rsidRPr="0013028C">
        <w:rPr>
          <w:rFonts w:eastAsia="Arial Unicode MS" w:hAnsi="Arial Unicode MS" w:cs="Arial Unicode MS"/>
          <w:sz w:val="20"/>
        </w:rPr>
        <w:t>s Terms of Reference, Onli</w:t>
      </w:r>
      <w:r>
        <w:rPr>
          <w:rFonts w:eastAsia="Arial Unicode MS" w:hAnsi="Arial Unicode MS" w:cs="Arial Unicode MS"/>
          <w:sz w:val="20"/>
        </w:rPr>
        <w:t xml:space="preserve">ne: </w:t>
      </w:r>
      <w:hyperlink r:id="rId4" w:history="1">
        <w:r w:rsidRPr="009C30D0">
          <w:rPr>
            <w:rStyle w:val="Hyperlink"/>
            <w:rFonts w:eastAsia="Arial Unicode MS" w:hAnsi="Arial Unicode MS" w:cs="Arial Unicode MS"/>
            <w:sz w:val="20"/>
          </w:rPr>
          <w:t>https://www.uhn.ca/corporate/AboutUHN/Governance_Leadership/Board_Trustees/Documents/Board_of_Directors_Board_Terms_of_Reference.pdf</w:t>
        </w:r>
      </w:hyperlink>
      <w:r>
        <w:rPr>
          <w:rFonts w:eastAsia="Arial Unicode MS" w:hAnsi="Arial Unicode MS" w:cs="Arial Unicode MS"/>
          <w:sz w:val="20"/>
        </w:rPr>
        <w:t xml:space="preserve">. Accessed: 5 June 2019. </w:t>
      </w:r>
      <w:r w:rsidRPr="0013028C">
        <w:rPr>
          <w:rFonts w:eastAsia="Arial Unicode MS" w:hAnsi="Arial Unicode MS" w:cs="Arial Unicode MS"/>
          <w:sz w:val="20"/>
        </w:rPr>
        <w:t>A Board of Trustees is composed of a group of voluntary, elected community members and appointed senior institutional representatives</w:t>
      </w:r>
      <w:r>
        <w:rPr>
          <w:rFonts w:eastAsia="Arial Unicode MS" w:hAnsi="Arial Unicode MS" w:cs="Arial Unicode MS"/>
          <w:sz w:val="20"/>
        </w:rPr>
        <w:t>.</w:t>
      </w:r>
      <w:r w:rsidRPr="0013028C">
        <w:rPr>
          <w:rFonts w:eastAsia="Arial Unicode MS" w:hAnsi="Arial Unicode MS" w:cs="Arial Unicode MS"/>
          <w:sz w:val="20"/>
        </w:rPr>
        <w:t xml:space="preserve"> It typically includes an organization</w:t>
      </w:r>
      <w:r w:rsidRPr="0013028C">
        <w:rPr>
          <w:rFonts w:ascii="Arial Unicode MS" w:eastAsia="Arial Unicode MS" w:cs="Arial Unicode MS"/>
          <w:sz w:val="20"/>
        </w:rPr>
        <w:t>’</w:t>
      </w:r>
      <w:r w:rsidRPr="0013028C">
        <w:rPr>
          <w:rFonts w:eastAsia="Arial Unicode MS" w:hAnsi="Arial Unicode MS" w:cs="Arial Unicode MS"/>
          <w:sz w:val="20"/>
        </w:rPr>
        <w:t xml:space="preserve">s President or Chief Executive, the Chief of Staff and others such as the Chief Nursing Executive. Only independent trustees are voting members of these boards.     </w:t>
      </w:r>
    </w:p>
  </w:footnote>
  <w:footnote w:id="38">
    <w:p w14:paraId="4A6CE44F" w14:textId="6AE30DAB" w:rsidR="00BB3FE0" w:rsidRPr="0013028C" w:rsidRDefault="00BB3FE0" w:rsidP="0013028C">
      <w:pPr>
        <w:pStyle w:val="FootnoteText"/>
        <w:ind w:firstLine="720"/>
        <w:rPr>
          <w:rFonts w:eastAsia="Arial Unicode MS" w:hAnsi="Arial Unicode MS" w:cs="Arial Unicode MS"/>
          <w:sz w:val="20"/>
          <w:szCs w:val="20"/>
        </w:rPr>
      </w:pPr>
      <w:r w:rsidRPr="0013028C">
        <w:rPr>
          <w:sz w:val="20"/>
          <w:vertAlign w:val="superscript"/>
        </w:rPr>
        <w:footnoteRef/>
      </w:r>
      <w:r w:rsidRPr="0013028C">
        <w:rPr>
          <w:rFonts w:eastAsia="Arial Unicode MS" w:hAnsi="Arial Unicode MS" w:cs="Arial Unicode MS"/>
          <w:sz w:val="20"/>
        </w:rPr>
        <w:t xml:space="preserve"> Miriam Shuchman. </w:t>
      </w:r>
      <w:r w:rsidRPr="0013028C">
        <w:rPr>
          <w:rFonts w:eastAsia="Arial Unicode MS" w:hAnsi="Arial Unicode MS" w:cs="Arial Unicode MS"/>
          <w:i/>
          <w:iCs/>
          <w:sz w:val="20"/>
        </w:rPr>
        <w:t>The Drug Trial</w:t>
      </w:r>
      <w:r w:rsidRPr="0013028C">
        <w:rPr>
          <w:rFonts w:eastAsia="Arial Unicode MS" w:hAnsi="Arial Unicode MS" w:cs="Arial Unicode MS"/>
          <w:sz w:val="20"/>
        </w:rPr>
        <w:t xml:space="preserve"> (Toronto: Random House Canada, 2005), 274. See also </w:t>
      </w:r>
      <w:r>
        <w:rPr>
          <w:rFonts w:eastAsia="Arial Unicode MS" w:hAnsi="Arial Unicode MS" w:cs="Arial Unicode MS"/>
          <w:sz w:val="20"/>
        </w:rPr>
        <w:t xml:space="preserve">page 25 of the </w:t>
      </w:r>
      <w:r w:rsidRPr="0013028C">
        <w:rPr>
          <w:rFonts w:eastAsia="Arial Unicode MS" w:hAnsi="Arial Unicode MS" w:cs="Arial Unicode MS"/>
          <w:sz w:val="20"/>
        </w:rPr>
        <w:t>Olivieri report commission</w:t>
      </w:r>
      <w:r>
        <w:rPr>
          <w:rFonts w:eastAsia="Arial Unicode MS" w:hAnsi="Arial Unicode MS" w:cs="Arial Unicode MS"/>
          <w:sz w:val="20"/>
        </w:rPr>
        <w:t>ed</w:t>
      </w:r>
      <w:r w:rsidRPr="0013028C">
        <w:rPr>
          <w:rFonts w:eastAsia="Arial Unicode MS" w:hAnsi="Arial Unicode MS" w:cs="Arial Unicode MS"/>
          <w:sz w:val="20"/>
        </w:rPr>
        <w:t xml:space="preserve"> by the Canadian Association of University </w:t>
      </w:r>
      <w:r w:rsidRPr="008C0303">
        <w:rPr>
          <w:rFonts w:eastAsia="Arial Unicode MS"/>
          <w:sz w:val="20"/>
          <w:szCs w:val="20"/>
        </w:rPr>
        <w:t>Teachers p. 25 which distinguishes between two inappropriate confidentiality clauses contained in contracts by Olivieri and Apotex. One was for consulting and the other pertained to the reporting of trial results.</w:t>
      </w:r>
      <w:r w:rsidRPr="008C0303">
        <w:rPr>
          <w:sz w:val="20"/>
          <w:szCs w:val="20"/>
        </w:rPr>
        <w:t xml:space="preserve"> Jon </w:t>
      </w:r>
      <w:r w:rsidRPr="008C0303">
        <w:rPr>
          <w:rFonts w:eastAsia="Arial Unicode MS"/>
          <w:sz w:val="20"/>
          <w:szCs w:val="20"/>
        </w:rPr>
        <w:t xml:space="preserve">Thompson, Patricia Baird, and Jocelyn Downie. </w:t>
      </w:r>
      <w:r w:rsidRPr="008C0303">
        <w:rPr>
          <w:rFonts w:eastAsia="Arial Unicode MS"/>
          <w:i/>
          <w:sz w:val="20"/>
          <w:szCs w:val="20"/>
        </w:rPr>
        <w:t>The Olivieri Report: The Complete Text of the Report of the Independent Inquiry Commissioned by the Canadian Association of University Teachers</w:t>
      </w:r>
      <w:r w:rsidRPr="008C0303">
        <w:rPr>
          <w:rFonts w:eastAsia="Arial Unicode MS"/>
          <w:sz w:val="20"/>
          <w:szCs w:val="20"/>
        </w:rPr>
        <w:t>. Toronto: J Lorimer</w:t>
      </w:r>
      <w:r w:rsidRPr="00C044E2">
        <w:rPr>
          <w:rFonts w:eastAsia="Arial Unicode MS" w:hAnsi="Arial Unicode MS" w:cs="Arial Unicode MS"/>
          <w:sz w:val="20"/>
          <w:szCs w:val="20"/>
        </w:rPr>
        <w:t>, 2011.</w:t>
      </w:r>
    </w:p>
    <w:p w14:paraId="4E7F7507" w14:textId="77777777" w:rsidR="00BB3FE0" w:rsidRPr="0013028C" w:rsidRDefault="00BB3FE0">
      <w:pPr>
        <w:pStyle w:val="FootnoteText"/>
        <w:rPr>
          <w:sz w:val="20"/>
          <w:szCs w:val="20"/>
        </w:rPr>
      </w:pPr>
    </w:p>
  </w:footnote>
  <w:footnote w:id="39">
    <w:p w14:paraId="0AB96E94" w14:textId="1A124EE3" w:rsidR="00BB3FE0" w:rsidRDefault="00BB3FE0" w:rsidP="0013028C">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Ibid.</w:t>
      </w:r>
    </w:p>
    <w:p w14:paraId="4B691954" w14:textId="77777777" w:rsidR="00BB3FE0" w:rsidRPr="0013028C" w:rsidRDefault="00BB3FE0" w:rsidP="0013028C">
      <w:pPr>
        <w:pStyle w:val="FootnoteText"/>
        <w:ind w:firstLine="720"/>
        <w:rPr>
          <w:sz w:val="20"/>
          <w:szCs w:val="20"/>
        </w:rPr>
      </w:pPr>
    </w:p>
  </w:footnote>
  <w:footnote w:id="40">
    <w:p w14:paraId="06D3DFDD" w14:textId="77777777" w:rsidR="00BB3FE0" w:rsidRDefault="00BB3FE0" w:rsidP="005F30C9">
      <w:pPr>
        <w:pStyle w:val="FootnoteText"/>
        <w:ind w:firstLine="720"/>
        <w:rPr>
          <w:rFonts w:eastAsia="Arial Unicode MS" w:hAnsi="Arial Unicode MS" w:cs="Arial Unicode MS"/>
        </w:rPr>
      </w:pPr>
      <w:r w:rsidRPr="0013028C">
        <w:rPr>
          <w:sz w:val="20"/>
          <w:szCs w:val="20"/>
          <w:vertAlign w:val="superscript"/>
        </w:rPr>
        <w:footnoteRef/>
      </w:r>
      <w:r w:rsidRPr="0013028C">
        <w:rPr>
          <w:rFonts w:eastAsia="Arial Unicode MS" w:hAnsi="Arial Unicode MS" w:cs="Arial Unicode MS"/>
          <w:sz w:val="20"/>
          <w:szCs w:val="20"/>
        </w:rPr>
        <w:t xml:space="preserve"> This figure was obtained from Apotex</w:t>
      </w:r>
      <w:r w:rsidRPr="0013028C">
        <w:rPr>
          <w:rFonts w:ascii="Arial Unicode MS" w:eastAsia="Arial Unicode MS" w:cs="Arial Unicode MS"/>
          <w:sz w:val="20"/>
          <w:szCs w:val="20"/>
        </w:rPr>
        <w:t>’</w:t>
      </w:r>
      <w:r w:rsidRPr="0013028C">
        <w:rPr>
          <w:rFonts w:eastAsia="Arial Unicode MS" w:hAnsi="Arial Unicode MS" w:cs="Arial Unicode MS"/>
          <w:sz w:val="20"/>
          <w:szCs w:val="20"/>
        </w:rPr>
        <w:t xml:space="preserve">s own website: </w:t>
      </w:r>
      <w:hyperlink r:id="rId5" w:history="1">
        <w:r w:rsidRPr="0013028C">
          <w:rPr>
            <w:rStyle w:val="Hyperlink"/>
            <w:rFonts w:eastAsia="Arial Unicode MS" w:hAnsi="Arial Unicode MS" w:cs="Arial Unicode MS"/>
            <w:sz w:val="20"/>
            <w:szCs w:val="20"/>
          </w:rPr>
          <w:t>http://www.apotex.com/ca/en/about/default.asp</w:t>
        </w:r>
      </w:hyperlink>
      <w:r w:rsidRPr="0013028C">
        <w:rPr>
          <w:rFonts w:eastAsia="Arial Unicode MS" w:hAnsi="Arial Unicode MS" w:cs="Arial Unicode MS"/>
          <w:sz w:val="20"/>
          <w:szCs w:val="20"/>
        </w:rPr>
        <w:t>. Accessed 8 January 2018.</w:t>
      </w:r>
      <w:r>
        <w:rPr>
          <w:rFonts w:eastAsia="Arial Unicode MS" w:hAnsi="Arial Unicode MS" w:cs="Arial Unicode MS"/>
        </w:rPr>
        <w:t xml:space="preserve">  </w:t>
      </w:r>
    </w:p>
    <w:p w14:paraId="093FC854" w14:textId="77777777" w:rsidR="00BB3FE0" w:rsidRPr="00F345CC" w:rsidRDefault="00BB3FE0" w:rsidP="0013028C">
      <w:pPr>
        <w:pStyle w:val="FootnoteText"/>
        <w:ind w:firstLine="720"/>
        <w:rPr>
          <w:rFonts w:eastAsia="Arial Unicode MS" w:hAnsi="Arial Unicode MS" w:cs="Arial Unicode MS"/>
          <w:sz w:val="20"/>
        </w:rPr>
      </w:pPr>
    </w:p>
  </w:footnote>
  <w:footnote w:id="41">
    <w:p w14:paraId="6EF4E3FA" w14:textId="77777777" w:rsidR="00BB3FE0" w:rsidRPr="0013028C" w:rsidRDefault="00BB3FE0" w:rsidP="000507AF">
      <w:pPr>
        <w:pStyle w:val="FootnoteText"/>
        <w:ind w:firstLine="720"/>
        <w:rPr>
          <w:rFonts w:eastAsia="Arial Unicode MS" w:hAnsi="Arial Unicode MS" w:cs="Arial Unicode MS"/>
          <w:sz w:val="20"/>
          <w:szCs w:val="20"/>
        </w:rPr>
      </w:pPr>
      <w:r w:rsidRPr="0013028C">
        <w:rPr>
          <w:sz w:val="20"/>
          <w:szCs w:val="20"/>
          <w:vertAlign w:val="superscript"/>
        </w:rPr>
        <w:footnoteRef/>
      </w:r>
      <w:r w:rsidRPr="0013028C">
        <w:rPr>
          <w:rFonts w:eastAsia="Arial Unicode MS" w:hAnsi="Arial Unicode MS" w:cs="Arial Unicode MS"/>
          <w:sz w:val="20"/>
          <w:szCs w:val="20"/>
        </w:rPr>
        <w:t xml:space="preserve"> Ibid., 259.</w:t>
      </w:r>
    </w:p>
    <w:p w14:paraId="43DAE721" w14:textId="77777777" w:rsidR="00BB3FE0" w:rsidRPr="0013028C" w:rsidRDefault="00BB3FE0" w:rsidP="00CE009C">
      <w:pPr>
        <w:pStyle w:val="FootnoteText"/>
        <w:rPr>
          <w:sz w:val="20"/>
          <w:szCs w:val="20"/>
        </w:rPr>
      </w:pPr>
    </w:p>
  </w:footnote>
  <w:footnote w:id="42">
    <w:p w14:paraId="3FE1B9D3" w14:textId="77777777" w:rsidR="00BB3FE0" w:rsidRPr="0013028C" w:rsidRDefault="00BB3FE0" w:rsidP="000507AF">
      <w:pPr>
        <w:ind w:firstLine="720"/>
        <w:jc w:val="both"/>
        <w:rPr>
          <w:sz w:val="20"/>
          <w:szCs w:val="20"/>
        </w:rPr>
      </w:pPr>
      <w:r w:rsidRPr="0013028C">
        <w:rPr>
          <w:sz w:val="20"/>
          <w:szCs w:val="20"/>
          <w:vertAlign w:val="superscript"/>
        </w:rPr>
        <w:footnoteRef/>
      </w:r>
      <w:r w:rsidRPr="0013028C">
        <w:rPr>
          <w:sz w:val="20"/>
          <w:szCs w:val="20"/>
          <w:lang w:val="en-US"/>
        </w:rPr>
        <w:t xml:space="preserve">There were relevant precedents and standards to be consulted in the research ethics literature in the late nineties, but since that time any residual questions related to consent and disclosure have been regarded as settled. </w:t>
      </w:r>
      <w:r w:rsidRPr="0013028C">
        <w:rPr>
          <w:i/>
          <w:sz w:val="20"/>
          <w:szCs w:val="20"/>
          <w:lang w:val="en-US"/>
        </w:rPr>
        <w:t>TCPS2</w:t>
      </w:r>
      <w:r w:rsidRPr="0013028C">
        <w:rPr>
          <w:sz w:val="20"/>
          <w:szCs w:val="20"/>
          <w:lang w:val="en-US"/>
        </w:rPr>
        <w:t xml:space="preserve">, released by the Canadian Tri-Council Agencies in 2010, speaks directly to researchers’ obligations to ensure that the consent of participants continues to be valid throughout the lifespan of a project. This means that changes in a trial protocol, or information that may reasonably be thought to affect a participant’s willingness to consent, must be disclosed to those participants promptly. Article 3.3 of </w:t>
      </w:r>
      <w:r w:rsidRPr="0013028C">
        <w:rPr>
          <w:i/>
          <w:sz w:val="20"/>
          <w:szCs w:val="20"/>
          <w:lang w:val="en-US"/>
        </w:rPr>
        <w:t>TCPS2</w:t>
      </w:r>
      <w:r w:rsidRPr="0013028C">
        <w:rPr>
          <w:sz w:val="20"/>
          <w:szCs w:val="20"/>
          <w:lang w:val="en-US"/>
        </w:rPr>
        <w:t xml:space="preserve"> unambiguously states that, “researchers shall disclose changes to the risks or potential benefits of the research. This gives participants the opportunity to reconsider the basis for their consent in light of the new information.” Some members of the ethics community who have a keen memory of this infamous deferiprone trial still refer to this passage as the Olivieri clause. </w:t>
      </w:r>
    </w:p>
    <w:p w14:paraId="51A2AF84" w14:textId="77777777" w:rsidR="00BB3FE0" w:rsidRPr="00517F6D" w:rsidRDefault="00BB3FE0" w:rsidP="00C044E2">
      <w:pPr>
        <w:ind w:firstLine="720"/>
        <w:jc w:val="both"/>
      </w:pPr>
      <w:r w:rsidRPr="0013028C">
        <w:rPr>
          <w:sz w:val="20"/>
          <w:szCs w:val="20"/>
          <w:lang w:val="en-US"/>
        </w:rPr>
        <w:t xml:space="preserve">Earlier versions of the </w:t>
      </w:r>
      <w:r w:rsidRPr="0013028C">
        <w:rPr>
          <w:i/>
          <w:sz w:val="20"/>
          <w:szCs w:val="20"/>
          <w:lang w:val="en-US"/>
        </w:rPr>
        <w:t>TCPS</w:t>
      </w:r>
      <w:r w:rsidRPr="0013028C">
        <w:rPr>
          <w:sz w:val="20"/>
          <w:szCs w:val="20"/>
          <w:lang w:val="en-US"/>
        </w:rPr>
        <w:t xml:space="preserve"> were less explicit than this current formulation, but even then these principles were not unknown to those immersed in the worlds of research and research ethics. The </w:t>
      </w:r>
      <w:r w:rsidRPr="0013028C">
        <w:rPr>
          <w:i/>
          <w:sz w:val="20"/>
          <w:szCs w:val="20"/>
          <w:lang w:val="en-US"/>
        </w:rPr>
        <w:t>Declaration of Helsinki</w:t>
      </w:r>
      <w:r w:rsidRPr="0013028C">
        <w:rPr>
          <w:sz w:val="20"/>
          <w:szCs w:val="20"/>
          <w:lang w:val="en-US"/>
        </w:rPr>
        <w:t xml:space="preserve"> recognized the right of participants to withdraw from research without penalty as early as 1964, and the Tuskegee syphilis study (conducted by the United States’ Public Health Service between 1932 and 1972) was universally condemned for withholding vital information from the servicemen (a</w:t>
      </w:r>
      <w:r>
        <w:rPr>
          <w:sz w:val="20"/>
          <w:szCs w:val="20"/>
          <w:lang w:val="en-US"/>
        </w:rPr>
        <w:t>nd the sexual partners</w:t>
      </w:r>
      <w:r w:rsidRPr="0013028C">
        <w:rPr>
          <w:sz w:val="20"/>
          <w:szCs w:val="20"/>
          <w:lang w:val="en-US"/>
        </w:rPr>
        <w:t xml:space="preserve"> of those men) enrolled in that long-running clinical trial. </w:t>
      </w:r>
    </w:p>
  </w:footnote>
  <w:footnote w:id="43">
    <w:p w14:paraId="693428F4" w14:textId="77777777" w:rsidR="00BB3FE0" w:rsidRPr="00F345CC" w:rsidRDefault="00BB3FE0" w:rsidP="00F345CC">
      <w:pPr>
        <w:pStyle w:val="FootnoteText"/>
        <w:ind w:firstLine="720"/>
        <w:rPr>
          <w:rFonts w:eastAsia="Arial Unicode MS" w:hAnsi="Arial Unicode MS" w:cs="Arial Unicode MS"/>
          <w:sz w:val="20"/>
          <w:szCs w:val="20"/>
        </w:rPr>
      </w:pPr>
      <w:r w:rsidRPr="00F345CC">
        <w:rPr>
          <w:sz w:val="20"/>
          <w:szCs w:val="20"/>
          <w:vertAlign w:val="superscript"/>
        </w:rPr>
        <w:footnoteRef/>
      </w:r>
      <w:r w:rsidRPr="00F345CC">
        <w:rPr>
          <w:rFonts w:eastAsia="Arial Unicode MS" w:hAnsi="Arial Unicode MS" w:cs="Arial Unicode MS"/>
          <w:sz w:val="20"/>
          <w:szCs w:val="20"/>
        </w:rPr>
        <w:t xml:space="preserve"> Miriam Shuchman, </w:t>
      </w:r>
      <w:r w:rsidRPr="00F345CC">
        <w:rPr>
          <w:rFonts w:eastAsia="Arial Unicode MS" w:hAnsi="Arial Unicode MS" w:cs="Arial Unicode MS"/>
          <w:i/>
          <w:iCs/>
          <w:sz w:val="20"/>
          <w:szCs w:val="20"/>
        </w:rPr>
        <w:t>The Drug Trial</w:t>
      </w:r>
      <w:r w:rsidRPr="00F345CC">
        <w:rPr>
          <w:rFonts w:eastAsia="Arial Unicode MS" w:hAnsi="Arial Unicode MS" w:cs="Arial Unicode MS"/>
          <w:sz w:val="20"/>
          <w:szCs w:val="20"/>
        </w:rPr>
        <w:t xml:space="preserve"> (Toronto: Random House Canada, 2005), 158.</w:t>
      </w:r>
    </w:p>
  </w:footnote>
  <w:footnote w:id="44">
    <w:p w14:paraId="1113F5DB" w14:textId="24EB8F1F" w:rsidR="00BB3FE0" w:rsidRPr="000507AF" w:rsidRDefault="00BB3FE0" w:rsidP="00F345CC">
      <w:pPr>
        <w:spacing w:before="150"/>
        <w:ind w:firstLine="720"/>
        <w:outlineLvl w:val="1"/>
      </w:pPr>
      <w:r w:rsidRPr="00F345CC">
        <w:rPr>
          <w:sz w:val="20"/>
          <w:szCs w:val="20"/>
          <w:vertAlign w:val="superscript"/>
        </w:rPr>
        <w:footnoteRef/>
      </w:r>
      <w:r w:rsidRPr="00F345CC">
        <w:rPr>
          <w:sz w:val="20"/>
          <w:szCs w:val="20"/>
          <w:lang w:val="en-US"/>
        </w:rPr>
        <w:t xml:space="preserve"> A lack of efficacy is concerning because it may leave participants who are suffering from serious diseases</w:t>
      </w:r>
      <w:r w:rsidRPr="000507AF">
        <w:rPr>
          <w:sz w:val="20"/>
          <w:szCs w:val="20"/>
          <w:lang w:val="en-US"/>
        </w:rPr>
        <w:t xml:space="preserve"> reliant for too long on unproven agents when established therapies remain available to them. In this case, for example, there was an effective treatment for iron overload but many patients found the frequent injections it entailed to be so distasteful that they often failed to follow their treatment regimens. Because the ultimate cost of frequent treatment non-</w:t>
      </w:r>
      <w:r w:rsidR="007C18A7">
        <w:rPr>
          <w:sz w:val="20"/>
          <w:szCs w:val="20"/>
          <w:lang w:val="en-US"/>
        </w:rPr>
        <w:t>adherence</w:t>
      </w:r>
      <w:r w:rsidRPr="000507AF">
        <w:rPr>
          <w:sz w:val="20"/>
          <w:szCs w:val="20"/>
          <w:lang w:val="en-US"/>
        </w:rPr>
        <w:t xml:space="preserve"> was death, the prospect of losing access to L1 was catastrophic for those who were responding well to the study agent. Establishing rules about when a trial should be halted early is a complex matter and can be ethically controversial. It is important to note, however, that these rules should be agreed upon </w:t>
      </w:r>
      <w:r w:rsidRPr="000507AF">
        <w:rPr>
          <w:i/>
          <w:iCs/>
          <w:sz w:val="20"/>
          <w:szCs w:val="20"/>
          <w:lang w:val="en-US"/>
        </w:rPr>
        <w:t>before</w:t>
      </w:r>
      <w:r w:rsidRPr="000507AF">
        <w:rPr>
          <w:sz w:val="20"/>
          <w:szCs w:val="20"/>
          <w:lang w:val="en-US"/>
        </w:rPr>
        <w:t xml:space="preserve"> a trial begins and communicated in lay language to potential participants. In addition, the body that conducts interim analyses of study data (the Data Safety Monitoring Board or DSMB), and decides which events are to trigger trial cessation, should not have any direct involvement with the study. For a brief overview of the topic see Stephen A. Cannistra, “The Ethics of Early Stopping Rules: Who is Protecting Whom?” </w:t>
      </w:r>
      <w:r w:rsidRPr="000507AF">
        <w:rPr>
          <w:i/>
          <w:iCs/>
          <w:sz w:val="20"/>
          <w:szCs w:val="20"/>
          <w:lang w:val="en-US"/>
        </w:rPr>
        <w:t>Journal of Clinical Oncology</w:t>
      </w:r>
      <w:r w:rsidRPr="000507AF">
        <w:rPr>
          <w:sz w:val="20"/>
          <w:szCs w:val="20"/>
          <w:lang w:val="en-US"/>
        </w:rPr>
        <w:t xml:space="preserve">, May 1, 2002, vol. 22, no. 9, 1542-1545. </w:t>
      </w:r>
    </w:p>
  </w:footnote>
  <w:footnote w:id="45">
    <w:p w14:paraId="45CB8489" w14:textId="77777777" w:rsidR="00BB3FE0" w:rsidRPr="000507AF" w:rsidRDefault="00BB3FE0" w:rsidP="000507AF">
      <w:pPr>
        <w:pStyle w:val="FootnoteText"/>
        <w:ind w:firstLine="720"/>
        <w:rPr>
          <w:rFonts w:eastAsia="Arial Unicode MS" w:hAnsi="Arial Unicode MS" w:cs="Arial Unicode MS"/>
          <w:sz w:val="20"/>
          <w:szCs w:val="20"/>
        </w:rPr>
      </w:pPr>
      <w:r w:rsidRPr="000507AF">
        <w:rPr>
          <w:sz w:val="20"/>
          <w:szCs w:val="20"/>
          <w:vertAlign w:val="superscript"/>
        </w:rPr>
        <w:footnoteRef/>
      </w:r>
      <w:r w:rsidRPr="000507AF">
        <w:rPr>
          <w:rFonts w:eastAsia="Arial Unicode MS" w:hAnsi="Arial Unicode MS" w:cs="Arial Unicode MS"/>
          <w:sz w:val="20"/>
          <w:szCs w:val="20"/>
        </w:rPr>
        <w:t xml:space="preserve"> Interactions between journal publishers, prescribers, and patients are also discussed in an extensive and growing literature, but that it not my present concern.</w:t>
      </w:r>
    </w:p>
    <w:p w14:paraId="2BA85B88" w14:textId="77777777" w:rsidR="00BB3FE0" w:rsidRPr="000507AF" w:rsidRDefault="00BB3FE0">
      <w:pPr>
        <w:pStyle w:val="FootnoteText"/>
        <w:rPr>
          <w:sz w:val="20"/>
          <w:szCs w:val="20"/>
        </w:rPr>
      </w:pPr>
    </w:p>
  </w:footnote>
  <w:footnote w:id="46">
    <w:p w14:paraId="74CC2920" w14:textId="77777777" w:rsidR="00BB3FE0" w:rsidRDefault="00BB3FE0" w:rsidP="000507AF">
      <w:pPr>
        <w:pStyle w:val="FootnoteText"/>
        <w:ind w:firstLine="720"/>
      </w:pPr>
      <w:r w:rsidRPr="000507AF">
        <w:rPr>
          <w:sz w:val="20"/>
          <w:szCs w:val="20"/>
          <w:vertAlign w:val="superscript"/>
        </w:rPr>
        <w:footnoteRef/>
      </w:r>
      <w:r w:rsidRPr="000507AF">
        <w:rPr>
          <w:rFonts w:eastAsia="Arial Unicode MS" w:hAnsi="Arial Unicode MS" w:cs="Arial Unicode MS"/>
          <w:sz w:val="20"/>
          <w:szCs w:val="20"/>
        </w:rPr>
        <w:t xml:space="preserve"> Shuchman, ibid., 30.</w:t>
      </w:r>
    </w:p>
  </w:footnote>
  <w:footnote w:id="47">
    <w:p w14:paraId="57529DB8" w14:textId="77777777" w:rsidR="00BB3FE0" w:rsidRPr="00F345CC" w:rsidRDefault="00BB3FE0" w:rsidP="000507AF">
      <w:pPr>
        <w:pStyle w:val="FootnoteText"/>
        <w:ind w:firstLine="720"/>
        <w:rPr>
          <w:rStyle w:val="Hyperlink3"/>
          <w:rFonts w:eastAsia="Arial Unicode MS" w:hAnsi="Arial Unicode MS" w:cs="Arial Unicode MS"/>
          <w:sz w:val="20"/>
          <w:szCs w:val="20"/>
        </w:rPr>
      </w:pPr>
      <w:r w:rsidRPr="000507AF">
        <w:rPr>
          <w:sz w:val="20"/>
          <w:vertAlign w:val="superscript"/>
        </w:rPr>
        <w:footnoteRef/>
      </w:r>
      <w:r w:rsidRPr="000507AF">
        <w:rPr>
          <w:rFonts w:eastAsia="Arial Unicode MS" w:hAnsi="Arial Unicode MS" w:cs="Arial Unicode MS"/>
          <w:sz w:val="20"/>
        </w:rPr>
        <w:t xml:space="preserve"> In September of 2013 SickKids announced the opening of its new $400 million research institute. The provincial and federal governments supplied $150 million </w:t>
      </w:r>
      <w:r w:rsidRPr="000507AF">
        <w:rPr>
          <w:rFonts w:eastAsia="Arial Unicode MS" w:hAnsi="Arial Unicode MS" w:cs="Arial Unicode MS"/>
          <w:sz w:val="20"/>
          <w:szCs w:val="20"/>
        </w:rPr>
        <w:t xml:space="preserve">for the project, but the remainder was obtained through donations from individual and corporate sponsors. The hospital website acknowledges the significance of donor funds on its website: </w:t>
      </w:r>
      <w:r w:rsidRPr="000507AF">
        <w:rPr>
          <w:rFonts w:ascii="Arial Unicode MS" w:eastAsia="Arial Unicode MS" w:cs="Arial Unicode MS"/>
          <w:sz w:val="20"/>
          <w:szCs w:val="20"/>
        </w:rPr>
        <w:t>“</w:t>
      </w:r>
      <w:r w:rsidRPr="000507AF">
        <w:rPr>
          <w:rFonts w:eastAsia="Arial Unicode MS" w:hAnsi="Arial Unicode MS" w:cs="Arial Unicode MS"/>
          <w:color w:val="3B3B3B"/>
          <w:sz w:val="20"/>
          <w:szCs w:val="20"/>
          <w:u w:color="3B3B3B"/>
        </w:rPr>
        <w:t>Philanthropy is a critical source of funding for SickKids -- one of the world</w:t>
      </w:r>
      <w:r w:rsidRPr="000507AF">
        <w:rPr>
          <w:rFonts w:ascii="Arial Unicode MS" w:eastAsia="Arial Unicode MS" w:cs="Arial Unicode MS"/>
          <w:color w:val="3B3B3B"/>
          <w:sz w:val="20"/>
          <w:szCs w:val="20"/>
          <w:u w:color="3B3B3B"/>
        </w:rPr>
        <w:t>’</w:t>
      </w:r>
      <w:r w:rsidRPr="000507AF">
        <w:rPr>
          <w:rFonts w:eastAsia="Arial Unicode MS" w:hAnsi="Arial Unicode MS" w:cs="Arial Unicode MS"/>
          <w:color w:val="3B3B3B"/>
          <w:sz w:val="20"/>
          <w:szCs w:val="20"/>
          <w:u w:color="3B3B3B"/>
        </w:rPr>
        <w:t xml:space="preserve">s foremost paediatric health-care institutions. For the fiscal year </w:t>
      </w:r>
      <w:r w:rsidRPr="00F345CC">
        <w:rPr>
          <w:rFonts w:eastAsia="Arial Unicode MS" w:hAnsi="Arial Unicode MS" w:cs="Arial Unicode MS"/>
          <w:color w:val="3B3B3B"/>
          <w:sz w:val="20"/>
          <w:szCs w:val="20"/>
          <w:u w:color="3B3B3B"/>
        </w:rPr>
        <w:t>ending March 31, 2013, SickKids Foundation made an unprecedented investment of $92.6 million in children</w:t>
      </w:r>
      <w:r w:rsidRPr="00F345CC">
        <w:rPr>
          <w:rFonts w:ascii="Arial Unicode MS" w:eastAsia="Arial Unicode MS" w:cs="Arial Unicode MS"/>
          <w:color w:val="3B3B3B"/>
          <w:sz w:val="20"/>
          <w:szCs w:val="20"/>
          <w:u w:color="3B3B3B"/>
        </w:rPr>
        <w:t>’</w:t>
      </w:r>
      <w:r w:rsidRPr="00F345CC">
        <w:rPr>
          <w:rFonts w:eastAsia="Arial Unicode MS" w:hAnsi="Arial Unicode MS" w:cs="Arial Unicode MS"/>
          <w:color w:val="3B3B3B"/>
          <w:sz w:val="20"/>
          <w:szCs w:val="20"/>
          <w:u w:color="3B3B3B"/>
        </w:rPr>
        <w:t>s health, a direct result of generous community and corporate support.</w:t>
      </w:r>
      <w:r w:rsidRPr="00F345CC">
        <w:rPr>
          <w:rFonts w:ascii="Arial Unicode MS" w:eastAsia="Arial Unicode MS" w:cs="Arial Unicode MS"/>
          <w:color w:val="3B3B3B"/>
          <w:sz w:val="20"/>
          <w:szCs w:val="20"/>
          <w:u w:color="3B3B3B"/>
        </w:rPr>
        <w:t>”</w:t>
      </w:r>
      <w:r w:rsidRPr="00F345CC">
        <w:rPr>
          <w:rFonts w:ascii="Arial Unicode MS" w:eastAsia="Arial Unicode MS" w:cs="Arial Unicode MS"/>
          <w:color w:val="3B3B3B"/>
          <w:sz w:val="20"/>
          <w:szCs w:val="20"/>
          <w:u w:color="3B3B3B"/>
        </w:rPr>
        <w:t xml:space="preserve"> </w:t>
      </w:r>
      <w:hyperlink r:id="rId6" w:history="1">
        <w:r w:rsidRPr="00F345CC">
          <w:rPr>
            <w:rStyle w:val="Hyperlink3"/>
            <w:rFonts w:eastAsia="Arial Unicode MS" w:hAnsi="Arial Unicode MS" w:cs="Arial Unicode MS"/>
            <w:sz w:val="20"/>
            <w:szCs w:val="20"/>
          </w:rPr>
          <w:t>http://www.sickkids.ca/AboutSickKids/Newsroom/SickKids-towers-over-bay/index.html</w:t>
        </w:r>
      </w:hyperlink>
    </w:p>
    <w:p w14:paraId="177987AB" w14:textId="77777777" w:rsidR="00BB3FE0" w:rsidRPr="00F345CC" w:rsidRDefault="00BB3FE0">
      <w:pPr>
        <w:pStyle w:val="FootnoteText"/>
        <w:rPr>
          <w:sz w:val="20"/>
          <w:szCs w:val="20"/>
        </w:rPr>
      </w:pPr>
    </w:p>
  </w:footnote>
  <w:footnote w:id="48">
    <w:p w14:paraId="2C566D36" w14:textId="77777777" w:rsidR="00BB3FE0" w:rsidRPr="00F345CC" w:rsidRDefault="00BB3FE0" w:rsidP="005F30C9">
      <w:pPr>
        <w:pStyle w:val="FootnoteText"/>
        <w:ind w:firstLine="720"/>
        <w:rPr>
          <w:sz w:val="20"/>
          <w:szCs w:val="20"/>
        </w:rPr>
      </w:pPr>
      <w:r w:rsidRPr="00F345CC">
        <w:rPr>
          <w:rStyle w:val="FootnoteReference"/>
          <w:sz w:val="20"/>
          <w:szCs w:val="20"/>
        </w:rPr>
        <w:footnoteRef/>
      </w:r>
      <w:r w:rsidRPr="00F345CC">
        <w:rPr>
          <w:sz w:val="20"/>
          <w:szCs w:val="20"/>
        </w:rPr>
        <w:t xml:space="preserve"> Matthew S. McCoy and Ezekiel J. Emanuel recently contributed a paper to the </w:t>
      </w:r>
      <w:r w:rsidRPr="00F345CC">
        <w:rPr>
          <w:i/>
          <w:sz w:val="20"/>
          <w:szCs w:val="20"/>
        </w:rPr>
        <w:t>Journal of the American Medical Association (JAMA)</w:t>
      </w:r>
      <w:r w:rsidRPr="00F345CC">
        <w:rPr>
          <w:sz w:val="20"/>
          <w:szCs w:val="20"/>
        </w:rPr>
        <w:t xml:space="preserve"> with the provocative title “Why there are no ‘potential’ conflicts of interest.” Their chief concern, which I take to be a valid one, is that the language of potential COI adds no additional safeguards for those dependent upon the judgement of others and, in fact, may trivialize genuine threats. If one has a secondary interest that has the potential to distort judgement, or to interfere with one’s ability to perform one’s duties in an impartial manner - that is, one’s primary interest - then a COI already exists and ought to be avoided or managed. The potential that we find worrying is the potential for a harm to occur as a result of biased judgement. It is not the potential for the existence of a COI. The authors go further and suggest that conflicts of interest are ubiquitous and not in themselves ethically blameworthy and they argue that a failure to appreciate this distinction is as dangerous as it is confused</w:t>
      </w:r>
      <w:r>
        <w:rPr>
          <w:sz w:val="20"/>
          <w:szCs w:val="20"/>
        </w:rPr>
        <w:t>.</w:t>
      </w:r>
    </w:p>
  </w:footnote>
  <w:footnote w:id="49">
    <w:p w14:paraId="3B2A8571" w14:textId="77777777" w:rsidR="00BB3FE0" w:rsidRDefault="00BB3FE0" w:rsidP="000507AF">
      <w:pPr>
        <w:ind w:firstLine="720"/>
        <w:rPr>
          <w:sz w:val="20"/>
          <w:szCs w:val="20"/>
        </w:rPr>
      </w:pPr>
    </w:p>
    <w:p w14:paraId="0AA86C0A" w14:textId="73BD2B14" w:rsidR="00BB3FE0" w:rsidRPr="000507AF" w:rsidRDefault="00BB3FE0" w:rsidP="000507AF">
      <w:pPr>
        <w:ind w:firstLine="720"/>
        <w:rPr>
          <w:sz w:val="20"/>
          <w:szCs w:val="20"/>
        </w:rPr>
      </w:pPr>
      <w:r w:rsidRPr="000507AF">
        <w:rPr>
          <w:rStyle w:val="FootnoteReference"/>
          <w:sz w:val="20"/>
          <w:szCs w:val="20"/>
        </w:rPr>
        <w:footnoteRef/>
      </w:r>
      <w:r w:rsidRPr="000507AF">
        <w:rPr>
          <w:sz w:val="20"/>
          <w:szCs w:val="20"/>
        </w:rPr>
        <w:t xml:space="preserve"> Stanley G. Korenman. </w:t>
      </w:r>
      <w:r w:rsidRPr="000507AF">
        <w:rPr>
          <w:i/>
          <w:sz w:val="20"/>
          <w:szCs w:val="20"/>
        </w:rPr>
        <w:t>Teaching the Responsible Conduct of Research in Humans,</w:t>
      </w:r>
      <w:r w:rsidRPr="000507AF">
        <w:rPr>
          <w:sz w:val="20"/>
          <w:szCs w:val="20"/>
        </w:rPr>
        <w:t xml:space="preserve"> Chapter 4. Conflicts of Interest (COI) – Definitions. Online:  </w:t>
      </w:r>
      <w:hyperlink r:id="rId7" w:history="1">
        <w:r w:rsidRPr="000507AF">
          <w:rPr>
            <w:rStyle w:val="Hyperlink1"/>
            <w:sz w:val="20"/>
            <w:szCs w:val="20"/>
          </w:rPr>
          <w:t>http://ori.hhs.gov/education/products/ucla/chapter4/default.htm</w:t>
        </w:r>
      </w:hyperlink>
      <w:r w:rsidRPr="000507AF">
        <w:rPr>
          <w:rStyle w:val="Hyperlink1"/>
          <w:sz w:val="20"/>
          <w:szCs w:val="20"/>
        </w:rPr>
        <w:t>. Accessed: July 10, 2015.</w:t>
      </w:r>
    </w:p>
    <w:p w14:paraId="7A4570AE" w14:textId="77777777" w:rsidR="00BB3FE0" w:rsidRPr="00241709" w:rsidRDefault="00BB3FE0">
      <w:pPr>
        <w:pStyle w:val="FootnoteText"/>
      </w:pPr>
    </w:p>
  </w:footnote>
  <w:footnote w:id="50">
    <w:p w14:paraId="5500B420" w14:textId="77777777" w:rsidR="00BB3FE0" w:rsidRPr="000507AF" w:rsidRDefault="00BB3FE0" w:rsidP="005F30C9">
      <w:pPr>
        <w:pStyle w:val="FootnoteText"/>
        <w:ind w:firstLine="720"/>
        <w:rPr>
          <w:sz w:val="20"/>
          <w:szCs w:val="20"/>
        </w:rPr>
      </w:pPr>
      <w:r w:rsidRPr="000507AF">
        <w:rPr>
          <w:rStyle w:val="FootnoteReference"/>
          <w:sz w:val="20"/>
          <w:szCs w:val="20"/>
        </w:rPr>
        <w:footnoteRef/>
      </w:r>
      <w:r w:rsidRPr="000507AF">
        <w:rPr>
          <w:sz w:val="20"/>
          <w:szCs w:val="20"/>
        </w:rPr>
        <w:t xml:space="preserve"> Mary Rowell, "The Olivieri debacle: where were the heroes of bioethics? A Reply." </w:t>
      </w:r>
      <w:r w:rsidRPr="000507AF">
        <w:rPr>
          <w:i/>
          <w:iCs/>
          <w:sz w:val="20"/>
          <w:szCs w:val="20"/>
        </w:rPr>
        <w:t>J Med Ethics</w:t>
      </w:r>
      <w:r w:rsidRPr="000507AF">
        <w:rPr>
          <w:sz w:val="20"/>
          <w:szCs w:val="20"/>
        </w:rPr>
        <w:t xml:space="preserve"> 30.1 (2004): 50.</w:t>
      </w:r>
    </w:p>
  </w:footnote>
  <w:footnote w:id="51">
    <w:p w14:paraId="170B25A4" w14:textId="77777777" w:rsidR="00BB3FE0" w:rsidRPr="000507AF" w:rsidRDefault="00BB3FE0" w:rsidP="000507AF">
      <w:pPr>
        <w:pStyle w:val="FootnoteText"/>
        <w:ind w:firstLine="720"/>
        <w:rPr>
          <w:sz w:val="20"/>
          <w:szCs w:val="20"/>
        </w:rPr>
      </w:pPr>
      <w:r w:rsidRPr="000507AF">
        <w:rPr>
          <w:rStyle w:val="FootnoteReference"/>
          <w:sz w:val="20"/>
          <w:szCs w:val="20"/>
        </w:rPr>
        <w:footnoteRef/>
      </w:r>
      <w:r w:rsidRPr="000507AF">
        <w:rPr>
          <w:sz w:val="20"/>
          <w:szCs w:val="20"/>
        </w:rPr>
        <w:t xml:space="preserve"> ASBH, Code of Ethics and Professional Responsibilities for Healthcare Ethics</w:t>
      </w:r>
      <w:r>
        <w:rPr>
          <w:sz w:val="20"/>
          <w:szCs w:val="20"/>
        </w:rPr>
        <w:t xml:space="preserve"> </w:t>
      </w:r>
      <w:r w:rsidRPr="000507AF">
        <w:rPr>
          <w:sz w:val="20"/>
          <w:szCs w:val="20"/>
        </w:rPr>
        <w:t>Consultants (2014), http://asbh.org/uploads/publications</w:t>
      </w:r>
      <w:r>
        <w:rPr>
          <w:sz w:val="20"/>
          <w:szCs w:val="20"/>
        </w:rPr>
        <w:t>/ASBH%20Code%20of%20Ethics.pdf.</w:t>
      </w:r>
    </w:p>
  </w:footnote>
  <w:footnote w:id="52">
    <w:p w14:paraId="21AFBB47" w14:textId="779CA074" w:rsidR="00BB3FE0" w:rsidRPr="000507AF" w:rsidRDefault="00BB3FE0" w:rsidP="000507AF">
      <w:pPr>
        <w:pStyle w:val="FootnoteText"/>
        <w:ind w:firstLine="720"/>
        <w:rPr>
          <w:sz w:val="20"/>
          <w:szCs w:val="20"/>
        </w:rPr>
      </w:pPr>
      <w:r w:rsidRPr="000507AF">
        <w:rPr>
          <w:rStyle w:val="FootnoteReference"/>
          <w:sz w:val="20"/>
          <w:szCs w:val="20"/>
        </w:rPr>
        <w:footnoteRef/>
      </w:r>
      <w:r>
        <w:rPr>
          <w:sz w:val="20"/>
          <w:szCs w:val="20"/>
        </w:rPr>
        <w:t xml:space="preserve">Michael </w:t>
      </w:r>
      <w:r w:rsidRPr="000507AF">
        <w:rPr>
          <w:sz w:val="20"/>
          <w:szCs w:val="20"/>
        </w:rPr>
        <w:t xml:space="preserve">Davis and </w:t>
      </w:r>
      <w:r>
        <w:rPr>
          <w:sz w:val="20"/>
          <w:szCs w:val="20"/>
        </w:rPr>
        <w:t xml:space="preserve">Andrew </w:t>
      </w:r>
      <w:r w:rsidRPr="000507AF">
        <w:rPr>
          <w:sz w:val="20"/>
          <w:szCs w:val="20"/>
        </w:rPr>
        <w:t xml:space="preserve">Stark, </w:t>
      </w:r>
      <w:r w:rsidRPr="000507AF">
        <w:rPr>
          <w:i/>
          <w:sz w:val="20"/>
          <w:szCs w:val="20"/>
        </w:rPr>
        <w:t>Conflict of Interest in the Professions</w:t>
      </w:r>
      <w:r w:rsidRPr="000507AF">
        <w:rPr>
          <w:sz w:val="20"/>
          <w:szCs w:val="20"/>
        </w:rPr>
        <w:t>, Oxford University Press, 2001 at p. 8.</w:t>
      </w:r>
    </w:p>
  </w:footnote>
  <w:footnote w:id="53">
    <w:p w14:paraId="6DB05D32" w14:textId="77777777" w:rsidR="00BB3FE0" w:rsidRDefault="00BB3FE0" w:rsidP="000507AF">
      <w:pPr>
        <w:pStyle w:val="FootnoteText"/>
        <w:ind w:firstLine="720"/>
      </w:pPr>
      <w:r w:rsidRPr="00F82D3D">
        <w:rPr>
          <w:rStyle w:val="FootnoteReference"/>
          <w:sz w:val="20"/>
        </w:rPr>
        <w:footnoteRef/>
      </w:r>
      <w:r w:rsidRPr="00F82D3D">
        <w:rPr>
          <w:sz w:val="20"/>
        </w:rPr>
        <w:t xml:space="preserve"> The portrayal of this case is often simplified to such an extent that ethically salient features of the situation are omitted. For example, Olivieri was in possession of local data concerning the effects of the study agent on the participants she enrolled, but it is less than certain that she had reliable information about overall trends with respect to L1. In large multi-center trials it is sometimes the case that pooled data, or longer-term data, will not support local findings. I do not mean to suggest that disclosure of preliminary findings is never warranted, or that it was unwarranted in this case. My observation instead is designed to highlight the need for discretion by multiple parties in cases where the significance of interim results is uncertain. </w:t>
      </w:r>
      <w:r w:rsidRPr="00F82D3D">
        <w:rPr>
          <w:i/>
          <w:sz w:val="20"/>
        </w:rPr>
        <w:t>The Drug Trial</w:t>
      </w:r>
      <w:r w:rsidRPr="00F82D3D">
        <w:rPr>
          <w:sz w:val="20"/>
        </w:rPr>
        <w:t xml:space="preserve"> by Miriam Shuchman is one source that retains the complexity that makes this case ethically compelling.</w:t>
      </w:r>
    </w:p>
  </w:footnote>
  <w:footnote w:id="54">
    <w:p w14:paraId="21F42F2B" w14:textId="77777777" w:rsidR="00BB3FE0" w:rsidRPr="00F82D3D" w:rsidRDefault="00BB3FE0" w:rsidP="00F82D3D">
      <w:pPr>
        <w:pStyle w:val="FootnoteText"/>
        <w:ind w:firstLine="720"/>
        <w:rPr>
          <w:sz w:val="20"/>
          <w:szCs w:val="20"/>
        </w:rPr>
      </w:pPr>
      <w:r w:rsidRPr="00F82D3D">
        <w:rPr>
          <w:rStyle w:val="FootnoteReference"/>
          <w:sz w:val="20"/>
        </w:rPr>
        <w:footnoteRef/>
      </w:r>
      <w:r w:rsidRPr="00F82D3D">
        <w:rPr>
          <w:sz w:val="20"/>
        </w:rPr>
        <w:t xml:space="preserve"> Healthcare institutions might dispense with ethicists altogether and leave all complex ethical judgements to the consciences of the administrators or the various professionals involved in specific cases. Alternatively, they might engage external ethics consultants to perform this work instead. Unfortunately, other ethicists, including self-employed ethicists, those who work in university departments, and those affiliated with free standing bioethics institutes, may face challenges to independence as great, or even greater, than those who are located within a health system hierarchy. This topic is deserving of a lengthier treatment than is possible here but it is important to recognize that concern about ‘ethics for hire’ has ge</w:t>
      </w:r>
      <w:r>
        <w:rPr>
          <w:sz w:val="20"/>
        </w:rPr>
        <w:t>nerated significant debate</w:t>
      </w:r>
      <w:r w:rsidRPr="00F82D3D">
        <w:rPr>
          <w:sz w:val="20"/>
        </w:rPr>
        <w:t xml:space="preserve"> and many commentators quite rightly have worried about the ways that compensation can influence outcomes. To take but one example, private research ethics boards have been regarded with suspicion largely because of fears that drug and device companies will ‘shop around’ for lenient boards willing to approve risky protocols that academical</w:t>
      </w:r>
      <w:r>
        <w:rPr>
          <w:sz w:val="20"/>
        </w:rPr>
        <w:t>ly affiliated review boards would likely</w:t>
      </w:r>
      <w:r w:rsidRPr="00F82D3D">
        <w:rPr>
          <w:sz w:val="20"/>
        </w:rPr>
        <w:t xml:space="preserve"> reject. Although commercial REBs insist that they are being paid for exercising their expertise – rather than for specific outcomes – it is easy to infer that a commercial board runs the risk of losing business </w:t>
      </w:r>
      <w:r w:rsidRPr="00F82D3D">
        <w:rPr>
          <w:sz w:val="20"/>
          <w:szCs w:val="20"/>
        </w:rPr>
        <w:t xml:space="preserve">if it is regarded as more ethically rigorous or demanding than its competitors. See, for example, Lemmens and Freedman, “Ethics Review for Sale? Conflict of Interest and Commercial Research Review Boards.” </w:t>
      </w:r>
    </w:p>
    <w:p w14:paraId="2FC23C98" w14:textId="77777777" w:rsidR="00BB3FE0" w:rsidRDefault="00BB3FE0" w:rsidP="00F82D3D">
      <w:pPr>
        <w:pStyle w:val="FootnoteText"/>
        <w:ind w:firstLine="720"/>
        <w:rPr>
          <w:sz w:val="20"/>
        </w:rPr>
      </w:pPr>
      <w:r w:rsidRPr="00F82D3D">
        <w:rPr>
          <w:sz w:val="20"/>
          <w:szCs w:val="20"/>
        </w:rPr>
        <w:t>Investigators who hold appointments in academic institutions, including academically-affiliated hospitals, on the other hand, are obliged to secure the</w:t>
      </w:r>
      <w:r>
        <w:t xml:space="preserve"> </w:t>
      </w:r>
      <w:r w:rsidRPr="00F82D3D">
        <w:rPr>
          <w:sz w:val="20"/>
        </w:rPr>
        <w:t>approvals from the REBs of their home institutions. They are typically prohibited from conducting research involving their institutions’ patients, staff, or resources without REB approval. The conflicts that might arise owing to institutional financial entanglements, or relationships with specific board members who are their colleagues, are acknowledged and managed (with, one supposes, varying degrees of efficacy) by ensuring that there is board member diversity (including the participation of lay or unaffiliated members) and by requiring appropriate declarations of conflict and recusals of conflicted members at the outset of all deliberations.</w:t>
      </w:r>
    </w:p>
    <w:p w14:paraId="499B60FE" w14:textId="77777777" w:rsidR="00BB3FE0" w:rsidRDefault="00BB3FE0" w:rsidP="00F82D3D">
      <w:pPr>
        <w:pStyle w:val="FootnoteText"/>
        <w:ind w:firstLine="720"/>
      </w:pPr>
      <w:r w:rsidRPr="00F82D3D">
        <w:rPr>
          <w:sz w:val="20"/>
        </w:rPr>
        <w:t xml:space="preserve">        </w:t>
      </w:r>
    </w:p>
  </w:footnote>
  <w:footnote w:id="55">
    <w:p w14:paraId="68E4DEF1" w14:textId="71D6EBB7" w:rsidR="00BB3FE0" w:rsidRDefault="00BB3FE0" w:rsidP="005F30C9">
      <w:pPr>
        <w:widowControl w:val="0"/>
        <w:ind w:firstLine="720"/>
        <w:rPr>
          <w:sz w:val="20"/>
          <w:lang w:val="en-US"/>
        </w:rPr>
      </w:pPr>
      <w:r w:rsidRPr="00F82D3D">
        <w:rPr>
          <w:rStyle w:val="FootnoteReference"/>
          <w:sz w:val="20"/>
        </w:rPr>
        <w:footnoteRef/>
      </w:r>
      <w:r w:rsidRPr="00F82D3D">
        <w:rPr>
          <w:sz w:val="20"/>
        </w:rPr>
        <w:t xml:space="preserve"> Giles R. Scofield.</w:t>
      </w:r>
      <w:r w:rsidRPr="00F82D3D">
        <w:rPr>
          <w:sz w:val="20"/>
          <w:lang w:val="en-US"/>
        </w:rPr>
        <w:t xml:space="preserve">"What Is Medical Ethics Consultation?" </w:t>
      </w:r>
      <w:r w:rsidRPr="00F82D3D">
        <w:rPr>
          <w:i/>
          <w:iCs/>
          <w:sz w:val="20"/>
          <w:lang w:val="en-US"/>
        </w:rPr>
        <w:t>The Journal of Law, Medicine &amp; Ethics</w:t>
      </w:r>
      <w:r w:rsidRPr="00F82D3D">
        <w:rPr>
          <w:sz w:val="20"/>
          <w:lang w:val="en-US"/>
        </w:rPr>
        <w:t xml:space="preserve"> 36.1 (2008)</w:t>
      </w:r>
      <w:r>
        <w:rPr>
          <w:sz w:val="20"/>
          <w:lang w:val="en-US"/>
        </w:rPr>
        <w:t>:</w:t>
      </w:r>
      <w:r w:rsidRPr="00F82D3D">
        <w:rPr>
          <w:sz w:val="20"/>
          <w:lang w:val="en-US"/>
        </w:rPr>
        <w:t xml:space="preserve"> 105.</w:t>
      </w:r>
    </w:p>
    <w:p w14:paraId="22EF3248" w14:textId="77777777" w:rsidR="00BB3FE0" w:rsidRPr="005F30C9" w:rsidRDefault="00BB3FE0" w:rsidP="005F30C9">
      <w:pPr>
        <w:widowControl w:val="0"/>
        <w:ind w:firstLine="720"/>
        <w:rPr>
          <w:sz w:val="20"/>
        </w:rPr>
      </w:pPr>
    </w:p>
  </w:footnote>
  <w:footnote w:id="56">
    <w:p w14:paraId="2F49A841" w14:textId="77777777" w:rsidR="00BB3FE0" w:rsidRPr="00F82D3D" w:rsidRDefault="00BB3FE0" w:rsidP="00F82D3D">
      <w:pPr>
        <w:pStyle w:val="FootnoteText"/>
        <w:ind w:firstLine="720"/>
        <w:rPr>
          <w:sz w:val="20"/>
        </w:rPr>
      </w:pPr>
      <w:r w:rsidRPr="00F82D3D">
        <w:rPr>
          <w:rStyle w:val="FootnoteReference"/>
          <w:sz w:val="20"/>
        </w:rPr>
        <w:footnoteRef/>
      </w:r>
      <w:r w:rsidRPr="00F82D3D">
        <w:rPr>
          <w:sz w:val="20"/>
        </w:rPr>
        <w:t xml:space="preserve"> This type of research, especially when the response rate is low, nearly always prompts questions about the representativeness of results. It's entirely possible that those who were willing to share their experiences of conflict of interest, however they defined it, self-selected so as to bias the findings in the direction of those who were the most or the least conflicted. However, absent resources that offer a broader scan of ethicists’ experiences regarding the topic we have only this study and a smattering of public reports to rely upon. </w:t>
      </w:r>
    </w:p>
    <w:p w14:paraId="37C8A440" w14:textId="77777777" w:rsidR="00BB3FE0" w:rsidRPr="00F82D3D" w:rsidRDefault="00BB3FE0">
      <w:pPr>
        <w:pStyle w:val="FootnoteText"/>
        <w:rPr>
          <w:sz w:val="20"/>
        </w:rPr>
      </w:pPr>
      <w:r w:rsidRPr="00F82D3D">
        <w:rPr>
          <w:sz w:val="20"/>
        </w:rPr>
        <w:t xml:space="preserve"> </w:t>
      </w:r>
    </w:p>
  </w:footnote>
  <w:footnote w:id="57">
    <w:p w14:paraId="2751EE8A" w14:textId="742F6CA7" w:rsidR="00BB3FE0" w:rsidRDefault="00BB3FE0" w:rsidP="00F82D3D">
      <w:pPr>
        <w:pStyle w:val="FootnoteText"/>
        <w:ind w:firstLine="720"/>
      </w:pPr>
      <w:r w:rsidRPr="00F82D3D">
        <w:rPr>
          <w:rStyle w:val="FootnoteReference"/>
          <w:sz w:val="20"/>
        </w:rPr>
        <w:footnoteRef/>
      </w:r>
      <w:r w:rsidRPr="00F82D3D">
        <w:rPr>
          <w:sz w:val="20"/>
        </w:rPr>
        <w:t xml:space="preserve"> Andrea Frolic and Paula Chidwick. </w:t>
      </w:r>
      <w:r w:rsidR="007C18A7">
        <w:rPr>
          <w:sz w:val="20"/>
        </w:rPr>
        <w:t>“</w:t>
      </w:r>
      <w:r w:rsidRPr="00F82D3D">
        <w:rPr>
          <w:sz w:val="20"/>
        </w:rPr>
        <w:t>A Pilot Qualitative Study of ‘Conflicts of Interests and/or Conflicting Interests’ Among Canadian Bioethicists. Part 1: Five Cases, Experiences and Lessons Learned.</w:t>
      </w:r>
      <w:r w:rsidR="007C18A7">
        <w:rPr>
          <w:sz w:val="20"/>
        </w:rPr>
        <w:t>”</w:t>
      </w:r>
      <w:r w:rsidRPr="00F82D3D">
        <w:rPr>
          <w:sz w:val="20"/>
        </w:rPr>
        <w:t xml:space="preserve"> </w:t>
      </w:r>
      <w:r w:rsidRPr="00F82D3D">
        <w:rPr>
          <w:i/>
          <w:sz w:val="20"/>
        </w:rPr>
        <w:t>HEC Forum</w:t>
      </w:r>
      <w:r w:rsidRPr="00F82D3D">
        <w:rPr>
          <w:sz w:val="20"/>
        </w:rPr>
        <w:t xml:space="preserve"> (2010) 22, 15.</w:t>
      </w:r>
    </w:p>
  </w:footnote>
  <w:footnote w:id="58">
    <w:p w14:paraId="68AA4E9B" w14:textId="77777777" w:rsidR="00BB3FE0" w:rsidRDefault="00BB3FE0" w:rsidP="00F82D3D">
      <w:pPr>
        <w:pStyle w:val="FootnoteText"/>
        <w:ind w:firstLine="720"/>
        <w:rPr>
          <w:sz w:val="20"/>
        </w:rPr>
      </w:pPr>
    </w:p>
    <w:p w14:paraId="0D38DBF5" w14:textId="73BE5AB2" w:rsidR="00BB3FE0" w:rsidRPr="002C1F3E" w:rsidRDefault="00BB3FE0" w:rsidP="00F82D3D">
      <w:pPr>
        <w:pStyle w:val="FootnoteText"/>
        <w:ind w:firstLine="720"/>
        <w:rPr>
          <w:strike/>
        </w:rPr>
      </w:pPr>
      <w:r w:rsidRPr="00F82D3D">
        <w:rPr>
          <w:rStyle w:val="FootnoteReference"/>
          <w:sz w:val="20"/>
        </w:rPr>
        <w:footnoteRef/>
      </w:r>
      <w:r w:rsidRPr="00F82D3D">
        <w:rPr>
          <w:sz w:val="20"/>
        </w:rPr>
        <w:t xml:space="preserve"> In addition, even in Canada’s busiest hospitals, with programs that employ a half-dozen ethicists or more, each practitioner typically bears sole or primary responsibility for the delivery of services at a particular institutional site or for a number of specialized programs. A director of ethics may lead such a program, and assist her team in establishing a reasonably unified direction, but practicing healthcare ethicists are still, for the most part, lone wolves who can expect to practice with a significant degree of independence.</w:t>
      </w:r>
    </w:p>
  </w:footnote>
  <w:footnote w:id="59">
    <w:p w14:paraId="595B05D7" w14:textId="77777777" w:rsidR="00BB3FE0" w:rsidRPr="00F82D3D" w:rsidRDefault="00BB3FE0" w:rsidP="00F82D3D">
      <w:pPr>
        <w:pStyle w:val="FootnoteText"/>
        <w:ind w:firstLine="720"/>
        <w:rPr>
          <w:sz w:val="20"/>
        </w:rPr>
      </w:pPr>
      <w:r w:rsidRPr="00F82D3D">
        <w:rPr>
          <w:rStyle w:val="FootnoteReference"/>
          <w:sz w:val="20"/>
          <w:szCs w:val="20"/>
        </w:rPr>
        <w:footnoteRef/>
      </w:r>
      <w:r w:rsidRPr="00F82D3D">
        <w:rPr>
          <w:sz w:val="20"/>
          <w:szCs w:val="20"/>
        </w:rPr>
        <w:t xml:space="preserve"> It is interesting to note that practicing healthcare ethicists often invoke academic freedom as a basis for asserting a right to take unpopular positions. Even in university-affiliated teaching hospitals, however, it is not clear whether employees have a right to invoke academic freedom, and how far that supposed right might protect them against institutional sanctions. This is further complicated by the fact that a great many practicing healthcare ethicists hold appointments as sessional lecturers or as adjunct faculty in university departments and therefore may be able to publish or make public statements as members of the academy. Distinguishing their academic personae from their institutional identities</w:t>
      </w:r>
      <w:r w:rsidRPr="00F82D3D">
        <w:rPr>
          <w:sz w:val="18"/>
        </w:rPr>
        <w:t xml:space="preserve"> </w:t>
      </w:r>
      <w:r w:rsidRPr="00F82D3D">
        <w:rPr>
          <w:sz w:val="20"/>
        </w:rPr>
        <w:t>may not be a straightforward matter, especially in an era where hospitals routinely encourage their staff members to publish in academic journals and maintain a lively presence on social media platforms. The purported academic freedom of hospital</w:t>
      </w:r>
      <w:r>
        <w:rPr>
          <w:sz w:val="20"/>
        </w:rPr>
        <w:t>-based</w:t>
      </w:r>
      <w:r w:rsidRPr="00F82D3D">
        <w:rPr>
          <w:sz w:val="20"/>
        </w:rPr>
        <w:t xml:space="preserve"> ethicists</w:t>
      </w:r>
      <w:r>
        <w:rPr>
          <w:sz w:val="20"/>
        </w:rPr>
        <w:t xml:space="preserve"> is a </w:t>
      </w:r>
      <w:r w:rsidRPr="00F82D3D">
        <w:rPr>
          <w:sz w:val="20"/>
        </w:rPr>
        <w:t>top</w:t>
      </w:r>
      <w:r>
        <w:rPr>
          <w:sz w:val="20"/>
        </w:rPr>
        <w:t xml:space="preserve">ic that could benefit from a </w:t>
      </w:r>
      <w:r w:rsidRPr="00F82D3D">
        <w:rPr>
          <w:sz w:val="20"/>
        </w:rPr>
        <w:t>rigorous analysis</w:t>
      </w:r>
      <w:r>
        <w:rPr>
          <w:sz w:val="20"/>
        </w:rPr>
        <w:t xml:space="preserve"> but it is not the focus of this project</w:t>
      </w:r>
      <w:r w:rsidRPr="00F82D3D">
        <w:rPr>
          <w:sz w:val="20"/>
        </w:rPr>
        <w:t>.</w:t>
      </w:r>
    </w:p>
    <w:p w14:paraId="13FC0005" w14:textId="77777777" w:rsidR="00BB3FE0" w:rsidRPr="00F82D3D" w:rsidRDefault="00BB3FE0">
      <w:pPr>
        <w:pStyle w:val="FootnoteText"/>
        <w:rPr>
          <w:sz w:val="20"/>
        </w:rPr>
      </w:pPr>
    </w:p>
  </w:footnote>
  <w:footnote w:id="60">
    <w:p w14:paraId="45997D68" w14:textId="77777777" w:rsidR="00BB3FE0" w:rsidRDefault="00BB3FE0" w:rsidP="005F30C9">
      <w:pPr>
        <w:pStyle w:val="FootnoteText"/>
        <w:ind w:firstLine="720"/>
        <w:rPr>
          <w:sz w:val="20"/>
        </w:rPr>
      </w:pPr>
      <w:r w:rsidRPr="00F82D3D">
        <w:rPr>
          <w:rStyle w:val="FootnoteReference"/>
          <w:sz w:val="20"/>
        </w:rPr>
        <w:footnoteRef/>
      </w:r>
      <w:r w:rsidRPr="00F82D3D">
        <w:rPr>
          <w:sz w:val="20"/>
        </w:rPr>
        <w:t xml:space="preserve"> Frolic and Chidwick, </w:t>
      </w:r>
      <w:r w:rsidRPr="00F82D3D">
        <w:rPr>
          <w:i/>
          <w:sz w:val="20"/>
        </w:rPr>
        <w:t>HEC Forum</w:t>
      </w:r>
      <w:r>
        <w:rPr>
          <w:sz w:val="20"/>
        </w:rPr>
        <w:t xml:space="preserve"> (2010) 22, 10.</w:t>
      </w:r>
    </w:p>
    <w:p w14:paraId="2C6CE476" w14:textId="77777777" w:rsidR="00BB3FE0" w:rsidRPr="00F82D3D" w:rsidRDefault="00BB3FE0" w:rsidP="005F30C9">
      <w:pPr>
        <w:pStyle w:val="FootnoteText"/>
        <w:ind w:firstLine="720"/>
        <w:rPr>
          <w:sz w:val="20"/>
        </w:rPr>
      </w:pPr>
    </w:p>
  </w:footnote>
  <w:footnote w:id="61">
    <w:p w14:paraId="688548FF" w14:textId="77777777" w:rsidR="00BB3FE0" w:rsidRPr="00F82D3D" w:rsidRDefault="00BB3FE0" w:rsidP="00F82D3D">
      <w:pPr>
        <w:pStyle w:val="FootnoteText"/>
        <w:ind w:firstLine="720"/>
        <w:rPr>
          <w:sz w:val="20"/>
        </w:rPr>
      </w:pPr>
      <w:r w:rsidRPr="00F82D3D">
        <w:rPr>
          <w:rStyle w:val="FootnoteReference"/>
          <w:sz w:val="20"/>
        </w:rPr>
        <w:footnoteRef/>
      </w:r>
      <w:r w:rsidRPr="00F82D3D">
        <w:rPr>
          <w:sz w:val="20"/>
        </w:rPr>
        <w:t xml:space="preserve"> Andrew Stark, </w:t>
      </w:r>
      <w:r w:rsidRPr="00F82D3D">
        <w:rPr>
          <w:i/>
          <w:sz w:val="20"/>
        </w:rPr>
        <w:t>Conflict of Interest in the Professions</w:t>
      </w:r>
      <w:r w:rsidRPr="00F82D3D">
        <w:rPr>
          <w:sz w:val="20"/>
        </w:rPr>
        <w:t>, 2001, p. 336.</w:t>
      </w:r>
    </w:p>
    <w:p w14:paraId="5C4E5F70" w14:textId="77777777" w:rsidR="00BB3FE0" w:rsidRPr="00F82D3D" w:rsidRDefault="00BB3FE0" w:rsidP="00183410">
      <w:pPr>
        <w:pStyle w:val="FootnoteText"/>
        <w:rPr>
          <w:sz w:val="20"/>
          <w:szCs w:val="20"/>
        </w:rPr>
      </w:pPr>
    </w:p>
  </w:footnote>
  <w:footnote w:id="62">
    <w:p w14:paraId="45B02EBE" w14:textId="77777777" w:rsidR="00BB3FE0" w:rsidRPr="00F82D3D" w:rsidRDefault="00BB3FE0" w:rsidP="00F82D3D">
      <w:pPr>
        <w:pStyle w:val="FootnoteText"/>
        <w:ind w:firstLine="720"/>
        <w:rPr>
          <w:sz w:val="20"/>
        </w:rPr>
      </w:pPr>
      <w:r w:rsidRPr="00F82D3D">
        <w:rPr>
          <w:rStyle w:val="FootnoteReference"/>
          <w:sz w:val="20"/>
        </w:rPr>
        <w:footnoteRef/>
      </w:r>
      <w:r w:rsidRPr="00F82D3D">
        <w:rPr>
          <w:sz w:val="20"/>
        </w:rPr>
        <w:t xml:space="preserve"> Coincidentally, Stark Law (more properly known as the Physician Self-Referral Act) is set of American federal laws that prohibit a specific type of conflict of interest by physicians. The titular Stark is not Andrew Stark but Pete Stark, a long-serving Democratic Party congressman from California. </w:t>
      </w:r>
    </w:p>
    <w:p w14:paraId="12FE0DD0" w14:textId="77777777" w:rsidR="00BB3FE0" w:rsidRPr="00F82D3D" w:rsidRDefault="00BB3FE0">
      <w:pPr>
        <w:pStyle w:val="FootnoteText"/>
        <w:rPr>
          <w:sz w:val="20"/>
        </w:rPr>
      </w:pPr>
    </w:p>
  </w:footnote>
  <w:footnote w:id="63">
    <w:p w14:paraId="37648F6C" w14:textId="77777777" w:rsidR="00BB3FE0" w:rsidRDefault="00BB3FE0" w:rsidP="00F82D3D">
      <w:pPr>
        <w:pStyle w:val="FootnoteText"/>
        <w:ind w:firstLine="720"/>
      </w:pPr>
      <w:r w:rsidRPr="00F82D3D">
        <w:rPr>
          <w:rStyle w:val="FootnoteReference"/>
          <w:sz w:val="20"/>
        </w:rPr>
        <w:footnoteRef/>
      </w:r>
      <w:r w:rsidRPr="00F82D3D">
        <w:rPr>
          <w:sz w:val="20"/>
        </w:rPr>
        <w:t xml:space="preserve"> Stark. 2001, p. 336.</w:t>
      </w:r>
    </w:p>
  </w:footnote>
  <w:footnote w:id="64">
    <w:p w14:paraId="27DEF82E" w14:textId="77777777" w:rsidR="00BB3FE0" w:rsidRPr="00F82D3D" w:rsidRDefault="00BB3FE0" w:rsidP="005F30C9">
      <w:pPr>
        <w:pStyle w:val="FootnoteText"/>
        <w:ind w:firstLine="720"/>
        <w:rPr>
          <w:sz w:val="20"/>
        </w:rPr>
      </w:pPr>
      <w:r w:rsidRPr="00F82D3D">
        <w:rPr>
          <w:rStyle w:val="FootnoteReference"/>
          <w:sz w:val="20"/>
        </w:rPr>
        <w:footnoteRef/>
      </w:r>
      <w:r w:rsidRPr="00F82D3D">
        <w:rPr>
          <w:sz w:val="20"/>
        </w:rPr>
        <w:t xml:space="preserve"> With respect to their methodology, Frolic and Chidwick stated that they “chose not to prescribe a definition at the outset of our interviews; by leaving the term open to their interpretation, we hoped to generate a more naturalistic view of how bioethicists experience conflicts of interest and conflicting interests (</w:t>
      </w:r>
      <w:r>
        <w:rPr>
          <w:sz w:val="20"/>
        </w:rPr>
        <w:t>COI) in their roles.” Ibid. 20.</w:t>
      </w:r>
    </w:p>
  </w:footnote>
  <w:footnote w:id="65">
    <w:p w14:paraId="2FE3BD4D" w14:textId="77777777" w:rsidR="00BB3FE0" w:rsidRPr="00F82D3D" w:rsidRDefault="00BB3FE0" w:rsidP="00F82D3D">
      <w:pPr>
        <w:pStyle w:val="FootnoteText"/>
        <w:ind w:firstLine="720"/>
        <w:rPr>
          <w:sz w:val="20"/>
        </w:rPr>
      </w:pPr>
      <w:r w:rsidRPr="00F82D3D">
        <w:rPr>
          <w:rStyle w:val="FootnoteReference"/>
          <w:sz w:val="20"/>
        </w:rPr>
        <w:footnoteRef/>
      </w:r>
      <w:r w:rsidRPr="00F82D3D">
        <w:rPr>
          <w:sz w:val="20"/>
        </w:rPr>
        <w:t xml:space="preserve"> Lisa A. Bero and Quinn Grundy. “Why having a (nonfinancial) conflict of interest is not a conflict of interest.” December 21, 2016, </w:t>
      </w:r>
      <w:r w:rsidRPr="00F82D3D">
        <w:rPr>
          <w:i/>
          <w:sz w:val="20"/>
        </w:rPr>
        <w:t>PLOS Biology</w:t>
      </w:r>
      <w:r w:rsidRPr="00F82D3D">
        <w:rPr>
          <w:sz w:val="20"/>
        </w:rPr>
        <w:t xml:space="preserve">, 2.  </w:t>
      </w:r>
    </w:p>
    <w:p w14:paraId="4EE1FC7A" w14:textId="77777777" w:rsidR="00BB3FE0" w:rsidRPr="00DE0211" w:rsidRDefault="00BB3FE0">
      <w:pPr>
        <w:pStyle w:val="FootnoteText"/>
        <w:rPr>
          <w:sz w:val="20"/>
          <w:szCs w:val="20"/>
        </w:rPr>
      </w:pPr>
    </w:p>
  </w:footnote>
  <w:footnote w:id="66">
    <w:p w14:paraId="4E9FB56D" w14:textId="77777777" w:rsidR="00BB3FE0" w:rsidRDefault="00BB3FE0" w:rsidP="005F30C9">
      <w:pPr>
        <w:pStyle w:val="FootnoteText"/>
        <w:ind w:firstLine="720"/>
        <w:rPr>
          <w:sz w:val="20"/>
        </w:rPr>
      </w:pPr>
      <w:r w:rsidRPr="00F82D3D">
        <w:rPr>
          <w:rStyle w:val="FootnoteReference"/>
          <w:sz w:val="20"/>
        </w:rPr>
        <w:footnoteRef/>
      </w:r>
      <w:r w:rsidRPr="00F82D3D">
        <w:rPr>
          <w:sz w:val="20"/>
        </w:rPr>
        <w:t xml:space="preserve"> Bero and Grundy referencing K. Shawwa et al. “Requirements of clinical journals for authors? Disclosure of financial and non-financial conflicts of interest: A cross-sectional study,” 1.</w:t>
      </w:r>
    </w:p>
    <w:p w14:paraId="60000005" w14:textId="77777777" w:rsidR="00BB3FE0" w:rsidRPr="00F82D3D" w:rsidRDefault="00BB3FE0" w:rsidP="005F30C9">
      <w:pPr>
        <w:pStyle w:val="FootnoteText"/>
        <w:ind w:firstLine="720"/>
        <w:rPr>
          <w:sz w:val="20"/>
        </w:rPr>
      </w:pPr>
    </w:p>
  </w:footnote>
  <w:footnote w:id="67">
    <w:p w14:paraId="7B0DAF75" w14:textId="77777777" w:rsidR="00BB3FE0" w:rsidRPr="005F30C9" w:rsidRDefault="00BB3FE0" w:rsidP="005F30C9">
      <w:pPr>
        <w:pStyle w:val="FootnoteText"/>
        <w:ind w:firstLine="720"/>
        <w:rPr>
          <w:sz w:val="20"/>
        </w:rPr>
      </w:pPr>
      <w:r w:rsidRPr="00F82D3D">
        <w:rPr>
          <w:rStyle w:val="FootnoteReference"/>
          <w:sz w:val="20"/>
        </w:rPr>
        <w:footnoteRef/>
      </w:r>
      <w:r w:rsidRPr="00F82D3D">
        <w:rPr>
          <w:sz w:val="20"/>
        </w:rPr>
        <w:t xml:space="preserve"> Xavier Bosch </w:t>
      </w:r>
      <w:r w:rsidRPr="00F82D3D">
        <w:rPr>
          <w:i/>
          <w:sz w:val="20"/>
        </w:rPr>
        <w:t>et al</w:t>
      </w:r>
      <w:r w:rsidRPr="00F82D3D">
        <w:rPr>
          <w:sz w:val="20"/>
        </w:rPr>
        <w:t xml:space="preserve">, in </w:t>
      </w:r>
      <w:r w:rsidRPr="00F82D3D">
        <w:rPr>
          <w:i/>
          <w:sz w:val="20"/>
        </w:rPr>
        <w:t xml:space="preserve">The European Journal of Investigation, </w:t>
      </w:r>
      <w:r w:rsidRPr="00F82D3D">
        <w:rPr>
          <w:sz w:val="20"/>
        </w:rPr>
        <w:t>663. The authors describe the move toward expanded disclosure as a positive trend and opine that the disclosures “have received comparatively little attention even though they may, at times, have a negative effect on the transparency of publication, the fairness of reviews</w:t>
      </w:r>
      <w:r>
        <w:rPr>
          <w:sz w:val="20"/>
        </w:rPr>
        <w:t xml:space="preserve"> and the honesty of reporting.”</w:t>
      </w:r>
    </w:p>
  </w:footnote>
  <w:footnote w:id="68">
    <w:p w14:paraId="47688AEF" w14:textId="77777777" w:rsidR="00BB3FE0" w:rsidRDefault="00BB3FE0" w:rsidP="00F82D3D">
      <w:pPr>
        <w:pStyle w:val="FootnoteText"/>
        <w:ind w:firstLine="720"/>
        <w:rPr>
          <w:sz w:val="20"/>
        </w:rPr>
      </w:pPr>
    </w:p>
    <w:p w14:paraId="57110E11" w14:textId="7C60A293" w:rsidR="00BB3FE0" w:rsidRDefault="00BB3FE0" w:rsidP="00F82D3D">
      <w:pPr>
        <w:pStyle w:val="FootnoteText"/>
        <w:ind w:firstLine="720"/>
        <w:rPr>
          <w:sz w:val="20"/>
        </w:rPr>
      </w:pPr>
      <w:r w:rsidRPr="00F82D3D">
        <w:rPr>
          <w:rStyle w:val="FootnoteReference"/>
          <w:sz w:val="20"/>
        </w:rPr>
        <w:footnoteRef/>
      </w:r>
      <w:r w:rsidRPr="00F82D3D">
        <w:rPr>
          <w:sz w:val="20"/>
        </w:rPr>
        <w:t xml:space="preserve"> Bero,</w:t>
      </w:r>
      <w:r>
        <w:rPr>
          <w:sz w:val="20"/>
        </w:rPr>
        <w:t xml:space="preserve"> ibid.,</w:t>
      </w:r>
      <w:r w:rsidRPr="00F82D3D">
        <w:rPr>
          <w:sz w:val="20"/>
        </w:rPr>
        <w:t xml:space="preserve"> 2.</w:t>
      </w:r>
    </w:p>
    <w:p w14:paraId="4455980A" w14:textId="77777777" w:rsidR="00BB3FE0" w:rsidRPr="006A491D" w:rsidRDefault="00BB3FE0" w:rsidP="00F82D3D">
      <w:pPr>
        <w:pStyle w:val="FootnoteText"/>
        <w:ind w:firstLine="720"/>
        <w:rPr>
          <w:sz w:val="20"/>
          <w:szCs w:val="20"/>
        </w:rPr>
      </w:pPr>
    </w:p>
  </w:footnote>
  <w:footnote w:id="69">
    <w:p w14:paraId="22B686C2" w14:textId="28F9BD4A" w:rsidR="00BB3FE0" w:rsidRDefault="00BB3FE0" w:rsidP="00F82D3D">
      <w:pPr>
        <w:pStyle w:val="FootnoteText"/>
        <w:ind w:firstLine="720"/>
      </w:pPr>
      <w:r w:rsidRPr="00F82D3D">
        <w:rPr>
          <w:rStyle w:val="FootnoteReference"/>
          <w:sz w:val="20"/>
        </w:rPr>
        <w:footnoteRef/>
      </w:r>
      <w:r w:rsidRPr="00F82D3D">
        <w:rPr>
          <w:sz w:val="20"/>
        </w:rPr>
        <w:t xml:space="preserve"> Ed Quillen. “Origin of the Laundry List.”</w:t>
      </w:r>
      <w:r>
        <w:rPr>
          <w:sz w:val="20"/>
        </w:rPr>
        <w:t xml:space="preserve"> </w:t>
      </w:r>
      <w:r w:rsidRPr="00F82D3D">
        <w:rPr>
          <w:i/>
          <w:sz w:val="20"/>
        </w:rPr>
        <w:t>The Denver Post.</w:t>
      </w:r>
      <w:r w:rsidRPr="00F82D3D">
        <w:rPr>
          <w:sz w:val="20"/>
        </w:rPr>
        <w:t xml:space="preserve"> </w:t>
      </w:r>
      <w:r>
        <w:rPr>
          <w:sz w:val="20"/>
        </w:rPr>
        <w:t>(</w:t>
      </w:r>
      <w:r w:rsidRPr="005A751A">
        <w:rPr>
          <w:sz w:val="20"/>
        </w:rPr>
        <w:t>June 5, 2008</w:t>
      </w:r>
      <w:r>
        <w:rPr>
          <w:sz w:val="20"/>
        </w:rPr>
        <w:t xml:space="preserve">) </w:t>
      </w:r>
      <w:hyperlink r:id="rId8" w:history="1">
        <w:r w:rsidRPr="00F82D3D">
          <w:rPr>
            <w:rStyle w:val="Hyperlink"/>
            <w:sz w:val="20"/>
          </w:rPr>
          <w:t>http://www.denverpost.com/2008/06/05/origin-of-the-laundry-list/</w:t>
        </w:r>
      </w:hyperlink>
      <w:r w:rsidRPr="00F82D3D">
        <w:rPr>
          <w:sz w:val="20"/>
        </w:rPr>
        <w:t xml:space="preserve">. Accessed online: 7 July 2017. </w:t>
      </w:r>
    </w:p>
  </w:footnote>
  <w:footnote w:id="70">
    <w:p w14:paraId="4F5C931F" w14:textId="4EA562D4" w:rsidR="00BB3FE0" w:rsidRDefault="00BB3FE0" w:rsidP="00DC75A5">
      <w:pPr>
        <w:pStyle w:val="FootnoteText"/>
        <w:ind w:firstLine="720"/>
      </w:pPr>
      <w:r w:rsidRPr="00F82D3D">
        <w:rPr>
          <w:rStyle w:val="FootnoteReference"/>
          <w:sz w:val="20"/>
        </w:rPr>
        <w:footnoteRef/>
      </w:r>
      <w:r w:rsidRPr="00F82D3D">
        <w:rPr>
          <w:sz w:val="20"/>
        </w:rPr>
        <w:t xml:space="preserve"> Bero, </w:t>
      </w:r>
      <w:r>
        <w:rPr>
          <w:sz w:val="20"/>
        </w:rPr>
        <w:t>ibid.,</w:t>
      </w:r>
      <w:r w:rsidRPr="00F82D3D">
        <w:rPr>
          <w:sz w:val="20"/>
        </w:rPr>
        <w:t>3.</w:t>
      </w:r>
    </w:p>
  </w:footnote>
  <w:footnote w:id="71">
    <w:p w14:paraId="2D84F384" w14:textId="77777777" w:rsidR="00BB3FE0" w:rsidRDefault="00BB3FE0" w:rsidP="00DC75A5">
      <w:pPr>
        <w:pStyle w:val="FootnoteText"/>
        <w:ind w:firstLine="720"/>
      </w:pPr>
      <w:r w:rsidRPr="00F82D3D">
        <w:rPr>
          <w:rStyle w:val="FootnoteReference"/>
          <w:sz w:val="20"/>
        </w:rPr>
        <w:footnoteRef/>
      </w:r>
      <w:r w:rsidRPr="00F82D3D">
        <w:rPr>
          <w:sz w:val="20"/>
        </w:rPr>
        <w:t xml:space="preserve"> </w:t>
      </w:r>
      <w:r>
        <w:rPr>
          <w:sz w:val="20"/>
        </w:rPr>
        <w:t>PHE</w:t>
      </w:r>
      <w:r w:rsidRPr="00F82D3D">
        <w:rPr>
          <w:sz w:val="20"/>
        </w:rPr>
        <w:t>s, and especially ethics fellows, would rarely be the sole investigators on such a research project but for the sake of clarity I have created an example which limits the number of relevant actors with complicating interests.</w:t>
      </w:r>
    </w:p>
  </w:footnote>
  <w:footnote w:id="72">
    <w:p w14:paraId="607ECDF7" w14:textId="71C63EB5" w:rsidR="00BB3FE0" w:rsidRDefault="00BB3FE0" w:rsidP="00DC75A5">
      <w:pPr>
        <w:pStyle w:val="FootnoteText"/>
        <w:ind w:firstLine="720"/>
        <w:rPr>
          <w:sz w:val="20"/>
        </w:rPr>
      </w:pPr>
      <w:r w:rsidRPr="00CB0275">
        <w:rPr>
          <w:rStyle w:val="FootnoteReference"/>
          <w:sz w:val="20"/>
        </w:rPr>
        <w:footnoteRef/>
      </w:r>
      <w:r w:rsidRPr="00CB0275">
        <w:rPr>
          <w:sz w:val="20"/>
        </w:rPr>
        <w:t xml:space="preserve"> For a very brief description of various theoretical approaches</w:t>
      </w:r>
      <w:r>
        <w:rPr>
          <w:sz w:val="20"/>
        </w:rPr>
        <w:t xml:space="preserve"> to public health ethics </w:t>
      </w:r>
      <w:r w:rsidRPr="00CB0275">
        <w:rPr>
          <w:sz w:val="20"/>
        </w:rPr>
        <w:t xml:space="preserve">see “Ethical analysis in public health” by Marc J Roberts and Michael R Reich in </w:t>
      </w:r>
      <w:r w:rsidRPr="00CB0275">
        <w:rPr>
          <w:i/>
          <w:sz w:val="20"/>
        </w:rPr>
        <w:t>The Lancet</w:t>
      </w:r>
      <w:r w:rsidRPr="00CB0275">
        <w:rPr>
          <w:sz w:val="20"/>
        </w:rPr>
        <w:t xml:space="preserve">, Vol. 359, March 23, 2002:  </w:t>
      </w:r>
      <w:r>
        <w:rPr>
          <w:sz w:val="20"/>
        </w:rPr>
        <w:t>Online</w:t>
      </w:r>
      <w:r w:rsidRPr="00CB0275">
        <w:rPr>
          <w:sz w:val="20"/>
        </w:rPr>
        <w:t xml:space="preserve">: </w:t>
      </w:r>
      <w:hyperlink r:id="rId9" w:history="1">
        <w:r w:rsidRPr="00F514A0">
          <w:rPr>
            <w:rStyle w:val="Hyperlink"/>
            <w:sz w:val="20"/>
          </w:rPr>
          <w:t>https://pdfs.semanticscholar.org/3cad/c70f93ea0f6e9f46bd2fc79c13e88cca45ad.pd</w:t>
        </w:r>
      </w:hyperlink>
      <w:r w:rsidRPr="00CB0275">
        <w:rPr>
          <w:sz w:val="20"/>
        </w:rPr>
        <w:t>.</w:t>
      </w:r>
      <w:r>
        <w:rPr>
          <w:sz w:val="20"/>
        </w:rPr>
        <w:t xml:space="preserve"> </w:t>
      </w:r>
      <w:r w:rsidRPr="00CB0275">
        <w:rPr>
          <w:sz w:val="20"/>
        </w:rPr>
        <w:t>Accessed</w:t>
      </w:r>
      <w:r>
        <w:rPr>
          <w:sz w:val="20"/>
        </w:rPr>
        <w:t xml:space="preserve">: </w:t>
      </w:r>
      <w:r w:rsidRPr="00CB0275">
        <w:rPr>
          <w:sz w:val="20"/>
        </w:rPr>
        <w:t>February</w:t>
      </w:r>
      <w:r>
        <w:rPr>
          <w:sz w:val="20"/>
        </w:rPr>
        <w:t xml:space="preserve"> </w:t>
      </w:r>
      <w:r w:rsidRPr="00CB0275">
        <w:rPr>
          <w:sz w:val="20"/>
        </w:rPr>
        <w:t>19, 2018</w:t>
      </w:r>
      <w:r>
        <w:rPr>
          <w:sz w:val="20"/>
        </w:rPr>
        <w:t>.</w:t>
      </w:r>
    </w:p>
    <w:p w14:paraId="7BB073B7" w14:textId="77777777" w:rsidR="00BB3FE0" w:rsidRDefault="00BB3FE0" w:rsidP="00DC75A5">
      <w:pPr>
        <w:pStyle w:val="FootnoteText"/>
        <w:ind w:firstLine="720"/>
      </w:pPr>
    </w:p>
  </w:footnote>
  <w:footnote w:id="73">
    <w:p w14:paraId="42D5673C" w14:textId="77777777" w:rsidR="00BB3FE0" w:rsidRDefault="00BB3FE0" w:rsidP="00DC75A5">
      <w:pPr>
        <w:pStyle w:val="FootnoteText"/>
        <w:ind w:firstLine="720"/>
        <w:rPr>
          <w:sz w:val="20"/>
        </w:rPr>
      </w:pPr>
      <w:r w:rsidRPr="00CB0275">
        <w:rPr>
          <w:rStyle w:val="FootnoteReference"/>
          <w:sz w:val="20"/>
        </w:rPr>
        <w:footnoteRef/>
      </w:r>
      <w:r w:rsidRPr="00CB0275">
        <w:rPr>
          <w:sz w:val="20"/>
        </w:rPr>
        <w:t xml:space="preserve"> Bero and Grundy reference the tobacco industry’s ability to undermine evidence concerning the effects of second-hand smoke and Coca-Cola’s distorting effect on nutrition research, but one can easily generate other equally compelling examples. In recent months the news media have been exposing evidence on the way that the sugar industry has systematically diverted the public’s attention away from their product by funding studies that focus on the risks of dietary fat. For a </w:t>
      </w:r>
      <w:r>
        <w:rPr>
          <w:sz w:val="20"/>
        </w:rPr>
        <w:t xml:space="preserve">slightly older but more </w:t>
      </w:r>
      <w:r w:rsidRPr="00CB0275">
        <w:rPr>
          <w:sz w:val="20"/>
        </w:rPr>
        <w:t xml:space="preserve">scholarly treatment of these latest revelations see Kearns </w:t>
      </w:r>
      <w:r w:rsidRPr="00CB0275">
        <w:rPr>
          <w:i/>
          <w:sz w:val="20"/>
        </w:rPr>
        <w:t>et al</w:t>
      </w:r>
      <w:r w:rsidRPr="00CB0275">
        <w:rPr>
          <w:sz w:val="20"/>
        </w:rPr>
        <w:t xml:space="preserve">, “Sugar Industry and Coronary Heart Disease Research: A Historical Analysis of Internal Industry Documents” in </w:t>
      </w:r>
      <w:r w:rsidRPr="00CB0275">
        <w:rPr>
          <w:i/>
          <w:sz w:val="20"/>
        </w:rPr>
        <w:t>JAMA Intern Med</w:t>
      </w:r>
      <w:r w:rsidRPr="00CB0275">
        <w:rPr>
          <w:sz w:val="20"/>
        </w:rPr>
        <w:t>., Nov. 2016.</w:t>
      </w:r>
    </w:p>
    <w:p w14:paraId="3B541E67" w14:textId="2E8F1996" w:rsidR="00BB3FE0" w:rsidRDefault="00BB3FE0" w:rsidP="00DC75A5">
      <w:pPr>
        <w:pStyle w:val="FootnoteText"/>
        <w:ind w:firstLine="720"/>
      </w:pPr>
      <w:r w:rsidRPr="00CB0275">
        <w:rPr>
          <w:sz w:val="20"/>
        </w:rPr>
        <w:t xml:space="preserve"> </w:t>
      </w:r>
    </w:p>
  </w:footnote>
  <w:footnote w:id="74">
    <w:p w14:paraId="251F370D" w14:textId="77777777" w:rsidR="00BB3FE0" w:rsidRDefault="00BB3FE0" w:rsidP="00DC75A5">
      <w:pPr>
        <w:pStyle w:val="FootnoteText"/>
        <w:ind w:firstLine="720"/>
      </w:pPr>
      <w:r w:rsidRPr="00CB0275">
        <w:rPr>
          <w:rStyle w:val="FootnoteReference"/>
          <w:sz w:val="20"/>
        </w:rPr>
        <w:footnoteRef/>
      </w:r>
      <w:r w:rsidRPr="00CB0275">
        <w:rPr>
          <w:sz w:val="20"/>
        </w:rPr>
        <w:t xml:space="preserve"> For a concise introduction to the social science literature on the relationship between sponsorship and unconscious bias see Dana and Loewenstein, “A Social Science Perspective on Gifts to Physicians from Industry.” Online: </w:t>
      </w:r>
      <w:hyperlink r:id="rId10" w:history="1">
        <w:r w:rsidRPr="00CB0275">
          <w:rPr>
            <w:rStyle w:val="Hyperlink"/>
            <w:sz w:val="20"/>
          </w:rPr>
          <w:t>https://pdfs.semanticscholar.org/8b05/8d01e582e4bb06ac333b4bc740d6f29a104d.pdf</w:t>
        </w:r>
      </w:hyperlink>
      <w:r w:rsidRPr="00CB0275">
        <w:rPr>
          <w:sz w:val="20"/>
        </w:rPr>
        <w:t xml:space="preserve">. Accessed: April 20, 2018.  </w:t>
      </w:r>
    </w:p>
  </w:footnote>
  <w:footnote w:id="75">
    <w:p w14:paraId="398FBB33" w14:textId="1F2BCE46" w:rsidR="00BB3FE0" w:rsidRDefault="00BB3FE0" w:rsidP="00A94BD6">
      <w:pPr>
        <w:pStyle w:val="FootnoteText"/>
        <w:ind w:firstLine="720"/>
        <w:rPr>
          <w:sz w:val="20"/>
        </w:rPr>
      </w:pPr>
      <w:r w:rsidRPr="00CB0275">
        <w:rPr>
          <w:rStyle w:val="FootnoteReference"/>
          <w:sz w:val="20"/>
        </w:rPr>
        <w:footnoteRef/>
      </w:r>
      <w:r>
        <w:rPr>
          <w:sz w:val="20"/>
        </w:rPr>
        <w:t xml:space="preserve"> Bero, ibid., 4.</w:t>
      </w:r>
    </w:p>
    <w:p w14:paraId="541F7851" w14:textId="77777777" w:rsidR="00BB3FE0" w:rsidRPr="00CB0275" w:rsidRDefault="00BB3FE0" w:rsidP="00A94BD6">
      <w:pPr>
        <w:pStyle w:val="FootnoteText"/>
        <w:ind w:firstLine="720"/>
        <w:rPr>
          <w:sz w:val="20"/>
        </w:rPr>
      </w:pPr>
    </w:p>
  </w:footnote>
  <w:footnote w:id="76">
    <w:p w14:paraId="5A0D6652" w14:textId="77777777" w:rsidR="00BB3FE0" w:rsidRPr="00CB0275" w:rsidRDefault="00BB3FE0" w:rsidP="00DC75A5">
      <w:pPr>
        <w:pStyle w:val="FootnoteText"/>
        <w:ind w:firstLine="720"/>
        <w:rPr>
          <w:sz w:val="20"/>
        </w:rPr>
      </w:pPr>
      <w:r w:rsidRPr="00CB0275">
        <w:rPr>
          <w:rStyle w:val="FootnoteReference"/>
          <w:sz w:val="20"/>
        </w:rPr>
        <w:footnoteRef/>
      </w:r>
      <w:r w:rsidRPr="00CB0275">
        <w:rPr>
          <w:sz w:val="20"/>
        </w:rPr>
        <w:t xml:space="preserve"> Research ethics boards are often adamant that those who obtain consent from research participants not be in a position to compel or coerce enrollment. Research coordinators, or other non-clinical hospital staff members, often in the employ of the primary investigator, generally will obtain participants’ signatures on informed consent forms. The rationale is that patients that may be concerned about disappointing their treating clinicians will feel free to reject such overtures from an intermediary. Whether this is supported by good quality evidence is not entirely clear.</w:t>
      </w:r>
    </w:p>
    <w:p w14:paraId="4F1B4CFA" w14:textId="77777777" w:rsidR="00BB3FE0" w:rsidRDefault="00BB3FE0" w:rsidP="009A6CA8">
      <w:pPr>
        <w:pStyle w:val="FootnoteText"/>
      </w:pPr>
      <w:r w:rsidRPr="00CB0275">
        <w:rPr>
          <w:sz w:val="20"/>
        </w:rPr>
        <w:t xml:space="preserve">      </w:t>
      </w:r>
    </w:p>
  </w:footnote>
  <w:footnote w:id="77">
    <w:p w14:paraId="6564EFF4" w14:textId="77777777" w:rsidR="00BB3FE0" w:rsidRPr="00CB0275" w:rsidRDefault="00BB3FE0" w:rsidP="00DC75A5">
      <w:pPr>
        <w:pStyle w:val="FootnoteText"/>
        <w:ind w:firstLine="720"/>
        <w:rPr>
          <w:sz w:val="20"/>
        </w:rPr>
      </w:pPr>
      <w:r w:rsidRPr="00CB0275">
        <w:rPr>
          <w:rStyle w:val="FootnoteReference"/>
          <w:sz w:val="20"/>
        </w:rPr>
        <w:footnoteRef/>
      </w:r>
      <w:r w:rsidRPr="00CB0275">
        <w:rPr>
          <w:sz w:val="20"/>
        </w:rPr>
        <w:t xml:space="preserve"> It is becoming common for research ethics boards or hospital compliance officers to insist that principal investigators include disclaimers in informed consent documents that state that the investigator (and sometimes the sponsoring institution) has an interest in the research that potential participants are encouraged to disregard as they weigh the benefits and burdens of participation. Unfortunately, these statements are often vague enough to capture academic interests as well as financial entanglements and the potential research participant (who frequently is also the investigator’s patient) has no way to distinguish between a researcher who is a shareholder in a corporation (which may be publically-held or for profit) and the researcher who is motivated by academic interests or a desire to find new treatment options for a patient population that has few or no alternatives to an inadequate standard of care. In addition, there is a literature that suggests that potential research participants are inclined to place greater trust in investigators who disclose their conflicts (whether or not that trust is warranted or misplaced). Conflict of interest declarations may, therefore, exacerbate rather than diminish the problem that they are meant to address. </w:t>
      </w:r>
    </w:p>
  </w:footnote>
  <w:footnote w:id="78">
    <w:p w14:paraId="6C565B60" w14:textId="33CB2E3A" w:rsidR="00BB3FE0" w:rsidRPr="006A5EBA" w:rsidRDefault="00BB3FE0" w:rsidP="00DC75A5">
      <w:pPr>
        <w:pStyle w:val="FootnoteText"/>
        <w:ind w:firstLine="720"/>
        <w:rPr>
          <w:sz w:val="20"/>
          <w:szCs w:val="20"/>
        </w:rPr>
      </w:pPr>
      <w:r w:rsidRPr="006A5EBA">
        <w:rPr>
          <w:rStyle w:val="FootnoteReference"/>
          <w:sz w:val="20"/>
          <w:szCs w:val="20"/>
        </w:rPr>
        <w:footnoteRef/>
      </w:r>
      <w:r w:rsidRPr="006A5EBA">
        <w:rPr>
          <w:sz w:val="20"/>
          <w:szCs w:val="20"/>
        </w:rPr>
        <w:t xml:space="preserve"> Ibid.,</w:t>
      </w:r>
      <w:r>
        <w:rPr>
          <w:sz w:val="20"/>
          <w:szCs w:val="20"/>
        </w:rPr>
        <w:t xml:space="preserve"> </w:t>
      </w:r>
      <w:r w:rsidRPr="006A5EBA">
        <w:rPr>
          <w:sz w:val="20"/>
          <w:szCs w:val="20"/>
        </w:rPr>
        <w:t xml:space="preserve">5. Indeed, Bero and Grundy began their paper with a reference to a court case in which a judge expressed suspicion over the commitments of expert witnesses who had built their academic careers on establishing a relationship between smoking and cancer. According to the authors, the judge in </w:t>
      </w:r>
      <w:r w:rsidRPr="006A5EBA">
        <w:rPr>
          <w:i/>
          <w:sz w:val="20"/>
          <w:szCs w:val="20"/>
        </w:rPr>
        <w:t>McTear v. Imperial Tobacco</w:t>
      </w:r>
      <w:r w:rsidRPr="006A5EBA">
        <w:rPr>
          <w:sz w:val="20"/>
          <w:szCs w:val="20"/>
        </w:rPr>
        <w:t xml:space="preserve"> “believed that the experts</w:t>
      </w:r>
      <w:r w:rsidR="00DF2472">
        <w:rPr>
          <w:sz w:val="20"/>
          <w:szCs w:val="20"/>
        </w:rPr>
        <w:t>’</w:t>
      </w:r>
      <w:r w:rsidRPr="006A5EBA">
        <w:rPr>
          <w:sz w:val="20"/>
          <w:szCs w:val="20"/>
        </w:rPr>
        <w:t xml:space="preserve"> ‘nonfinancial’ interests constituted the greater risk to expert opinion.”</w:t>
      </w:r>
      <w:r>
        <w:rPr>
          <w:sz w:val="20"/>
          <w:szCs w:val="20"/>
        </w:rPr>
        <w:t xml:space="preserve"> For a discussion of this case see:</w:t>
      </w:r>
      <w:r w:rsidRPr="006A5EBA">
        <w:rPr>
          <w:sz w:val="20"/>
          <w:szCs w:val="20"/>
        </w:rPr>
        <w:t xml:space="preserve"> “Why Having a (Nonfinancial) Interest is Not a Conflict of Interest,” 1.</w:t>
      </w:r>
      <w:r>
        <w:rPr>
          <w:sz w:val="20"/>
          <w:szCs w:val="20"/>
        </w:rPr>
        <w:t xml:space="preserve">  </w:t>
      </w:r>
    </w:p>
  </w:footnote>
  <w:footnote w:id="79">
    <w:p w14:paraId="47FC55C1" w14:textId="271DE13F" w:rsidR="00BB3FE0" w:rsidRDefault="00BB3FE0" w:rsidP="00DC75A5">
      <w:pPr>
        <w:pStyle w:val="FootnoteText"/>
        <w:ind w:firstLine="720"/>
        <w:rPr>
          <w:sz w:val="20"/>
          <w:szCs w:val="20"/>
        </w:rPr>
      </w:pPr>
      <w:r w:rsidRPr="006A5EBA">
        <w:rPr>
          <w:rStyle w:val="FootnoteReference"/>
          <w:sz w:val="20"/>
          <w:szCs w:val="20"/>
        </w:rPr>
        <w:footnoteRef/>
      </w:r>
      <w:r w:rsidRPr="006A5EBA">
        <w:rPr>
          <w:sz w:val="20"/>
          <w:szCs w:val="20"/>
        </w:rPr>
        <w:t xml:space="preserve"> Ibid., 6.</w:t>
      </w:r>
    </w:p>
    <w:p w14:paraId="4056FC56" w14:textId="77777777" w:rsidR="00BB3FE0" w:rsidRPr="006A5EBA" w:rsidRDefault="00BB3FE0" w:rsidP="00DC75A5">
      <w:pPr>
        <w:pStyle w:val="FootnoteText"/>
        <w:ind w:firstLine="720"/>
        <w:rPr>
          <w:sz w:val="20"/>
          <w:szCs w:val="20"/>
        </w:rPr>
      </w:pPr>
    </w:p>
  </w:footnote>
  <w:footnote w:id="80">
    <w:p w14:paraId="3672ABE6" w14:textId="77777777" w:rsidR="00BB3FE0" w:rsidRDefault="00BB3FE0" w:rsidP="00CC0B8A">
      <w:pPr>
        <w:pStyle w:val="FootnoteText"/>
        <w:ind w:firstLine="720"/>
      </w:pPr>
      <w:r w:rsidRPr="00CB0275">
        <w:rPr>
          <w:rStyle w:val="FootnoteReference"/>
          <w:sz w:val="20"/>
        </w:rPr>
        <w:footnoteRef/>
      </w:r>
      <w:r w:rsidRPr="00CB0275">
        <w:rPr>
          <w:sz w:val="20"/>
        </w:rPr>
        <w:t xml:space="preserve"> Frolic and Chidwick, 2010, 15.</w:t>
      </w:r>
    </w:p>
  </w:footnote>
  <w:footnote w:id="81">
    <w:p w14:paraId="683967C6" w14:textId="34F98F94" w:rsidR="00BB3FE0" w:rsidRDefault="00BB3FE0" w:rsidP="00DC75A5">
      <w:pPr>
        <w:pStyle w:val="FootnoteText"/>
        <w:ind w:firstLine="720"/>
      </w:pPr>
      <w:r w:rsidRPr="00CB0275">
        <w:rPr>
          <w:rStyle w:val="FootnoteReference"/>
          <w:sz w:val="20"/>
        </w:rPr>
        <w:footnoteRef/>
      </w:r>
      <w:r w:rsidRPr="00CB0275">
        <w:rPr>
          <w:sz w:val="20"/>
        </w:rPr>
        <w:t xml:space="preserve"> Directors of hospital-based bioethics programs may be regular </w:t>
      </w:r>
      <w:r>
        <w:rPr>
          <w:sz w:val="20"/>
        </w:rPr>
        <w:t>members of decision-making bodie</w:t>
      </w:r>
      <w:r w:rsidRPr="00CB0275">
        <w:rPr>
          <w:sz w:val="20"/>
        </w:rPr>
        <w:t>s such as institutional Quality of Care Committee</w:t>
      </w:r>
      <w:r>
        <w:rPr>
          <w:sz w:val="20"/>
        </w:rPr>
        <w:t>s</w:t>
      </w:r>
      <w:r w:rsidRPr="00CB0275">
        <w:rPr>
          <w:sz w:val="20"/>
        </w:rPr>
        <w:t xml:space="preserve"> (which regularly review medical errors, near misses, and safety trends); Research Integrity Committee</w:t>
      </w:r>
      <w:r>
        <w:rPr>
          <w:sz w:val="20"/>
        </w:rPr>
        <w:t>s</w:t>
      </w:r>
      <w:r w:rsidRPr="00CB0275">
        <w:rPr>
          <w:sz w:val="20"/>
        </w:rPr>
        <w:t xml:space="preserve"> which review the results of investigations into allegations of research misconduct; Medical Advisory Committee</w:t>
      </w:r>
      <w:r>
        <w:rPr>
          <w:sz w:val="20"/>
        </w:rPr>
        <w:t>s</w:t>
      </w:r>
      <w:r w:rsidRPr="00CB0275">
        <w:rPr>
          <w:sz w:val="20"/>
        </w:rPr>
        <w:t xml:space="preserve"> (which approve corporate policy and program minutes, set standards for physician credentialing, and receive regular reports from officials such as the chief executive, chief financial officer and chief operating officer); and, in more recent years, Relationship Management Committee</w:t>
      </w:r>
      <w:r>
        <w:rPr>
          <w:sz w:val="20"/>
        </w:rPr>
        <w:t>s</w:t>
      </w:r>
      <w:r w:rsidRPr="00CB0275">
        <w:rPr>
          <w:sz w:val="20"/>
        </w:rPr>
        <w:t xml:space="preserve"> (which create</w:t>
      </w:r>
      <w:r>
        <w:rPr>
          <w:sz w:val="20"/>
        </w:rPr>
        <w:t>,</w:t>
      </w:r>
      <w:r w:rsidRPr="00CB0275">
        <w:rPr>
          <w:sz w:val="20"/>
        </w:rPr>
        <w:t xml:space="preserve"> or review</w:t>
      </w:r>
      <w:r>
        <w:rPr>
          <w:sz w:val="20"/>
        </w:rPr>
        <w:t>,</w:t>
      </w:r>
      <w:r w:rsidRPr="00CB0275">
        <w:rPr>
          <w:sz w:val="20"/>
        </w:rPr>
        <w:t xml:space="preserve"> conflict of interest management plans for staff, physicians, scientists, and officials).</w:t>
      </w:r>
      <w:r>
        <w:rPr>
          <w:sz w:val="20"/>
        </w:rPr>
        <w:t xml:space="preserve"> </w:t>
      </w:r>
      <w:r w:rsidRPr="00CB0275">
        <w:rPr>
          <w:sz w:val="20"/>
        </w:rPr>
        <w:t xml:space="preserve">Because members of these committees are largely senior officials such as chiefs of programs, ombudspersons, senior legal counsel, and vice-presidents, an ethicist’s regular attendance can provide </w:t>
      </w:r>
      <w:r>
        <w:rPr>
          <w:sz w:val="20"/>
        </w:rPr>
        <w:t xml:space="preserve">her with </w:t>
      </w:r>
      <w:r w:rsidRPr="00CB0275">
        <w:rPr>
          <w:sz w:val="20"/>
        </w:rPr>
        <w:t>access to potential allies</w:t>
      </w:r>
      <w:r>
        <w:rPr>
          <w:sz w:val="20"/>
        </w:rPr>
        <w:t>,</w:t>
      </w:r>
      <w:r w:rsidRPr="00CB0275">
        <w:rPr>
          <w:sz w:val="20"/>
        </w:rPr>
        <w:t xml:space="preserve"> as well as an enhanced appreciation of the preoccupations of these parties</w:t>
      </w:r>
      <w:r>
        <w:rPr>
          <w:sz w:val="20"/>
        </w:rPr>
        <w:t>,</w:t>
      </w:r>
      <w:r w:rsidRPr="00CB0275">
        <w:rPr>
          <w:sz w:val="20"/>
        </w:rPr>
        <w:t xml:space="preserve"> and a sense of which proposals have a reasonable prospect of success. This may be a mixed blessing, as it may generate further opportunities for what some have labelled structural conflict</w:t>
      </w:r>
      <w:r>
        <w:rPr>
          <w:sz w:val="20"/>
        </w:rPr>
        <w:t>s</w:t>
      </w:r>
      <w:r w:rsidRPr="00CB0275">
        <w:rPr>
          <w:sz w:val="20"/>
        </w:rPr>
        <w:t xml:space="preserve"> of interest, but this is a topic to which </w:t>
      </w:r>
      <w:r>
        <w:rPr>
          <w:sz w:val="20"/>
        </w:rPr>
        <w:t xml:space="preserve">I </w:t>
      </w:r>
      <w:r w:rsidRPr="00CB0275">
        <w:rPr>
          <w:sz w:val="20"/>
        </w:rPr>
        <w:t>will return presently.</w:t>
      </w:r>
      <w:r>
        <w:rPr>
          <w:sz w:val="20"/>
        </w:rPr>
        <w:t xml:space="preserve"> </w:t>
      </w:r>
    </w:p>
  </w:footnote>
  <w:footnote w:id="82">
    <w:p w14:paraId="7D4F133B" w14:textId="77777777" w:rsidR="00BB3FE0" w:rsidRPr="00CB0275" w:rsidRDefault="00BB3FE0" w:rsidP="00A94BD6">
      <w:pPr>
        <w:pStyle w:val="FootnoteText"/>
        <w:ind w:firstLine="720"/>
        <w:rPr>
          <w:sz w:val="20"/>
        </w:rPr>
      </w:pPr>
      <w:r w:rsidRPr="00CB0275">
        <w:rPr>
          <w:rStyle w:val="FootnoteReference"/>
          <w:sz w:val="20"/>
        </w:rPr>
        <w:footnoteRef/>
      </w:r>
      <w:r w:rsidRPr="00CB0275">
        <w:rPr>
          <w:sz w:val="20"/>
        </w:rPr>
        <w:t xml:space="preserve"> By referencing the financial interests of the institution I do not mean to suggest that they function as a trump card or that they be assigned disproportionate weight. I merely acknowledge the fact that health care institutions must make decisions that take into account the resources that they have at their disposal. In Canada, hospitals are publically-funded institutions and if their boards and chief executive officers fail to deliver balanced budgets they may be subject to significant sanctions including, in the worst case scenario, being placed under the control of an external supervisor.</w:t>
      </w:r>
      <w:r>
        <w:rPr>
          <w:sz w:val="20"/>
        </w:rPr>
        <w:t xml:space="preserve"> </w:t>
      </w:r>
    </w:p>
  </w:footnote>
  <w:footnote w:id="83">
    <w:p w14:paraId="5DA1CBBF" w14:textId="77777777" w:rsidR="00BB3FE0" w:rsidRDefault="00BB3FE0" w:rsidP="00DC75A5">
      <w:pPr>
        <w:pStyle w:val="FootnoteText"/>
        <w:ind w:firstLine="720"/>
      </w:pPr>
      <w:r w:rsidRPr="00CB0275">
        <w:rPr>
          <w:rStyle w:val="FootnoteReference"/>
          <w:sz w:val="20"/>
        </w:rPr>
        <w:footnoteRef/>
      </w:r>
      <w:r w:rsidRPr="00CB0275">
        <w:rPr>
          <w:sz w:val="20"/>
        </w:rPr>
        <w:t xml:space="preserve"> Frolic and Chidwick, </w:t>
      </w:r>
      <w:r w:rsidRPr="00CB0275">
        <w:rPr>
          <w:i/>
          <w:sz w:val="20"/>
        </w:rPr>
        <w:t>HEC Forum</w:t>
      </w:r>
      <w:r w:rsidRPr="00CB0275">
        <w:rPr>
          <w:sz w:val="20"/>
        </w:rPr>
        <w:t xml:space="preserve"> (2010) 22:5-17, 8.</w:t>
      </w:r>
    </w:p>
  </w:footnote>
  <w:footnote w:id="84">
    <w:p w14:paraId="23124E68" w14:textId="77777777" w:rsidR="00BB3FE0" w:rsidRPr="00964516" w:rsidRDefault="00BB3FE0" w:rsidP="00A94BD6">
      <w:pPr>
        <w:pStyle w:val="FootnoteText"/>
        <w:ind w:firstLine="720"/>
        <w:rPr>
          <w:sz w:val="20"/>
          <w:szCs w:val="20"/>
        </w:rPr>
      </w:pPr>
      <w:r w:rsidRPr="00E14FFD">
        <w:rPr>
          <w:rStyle w:val="FootnoteReference"/>
          <w:sz w:val="20"/>
          <w:szCs w:val="20"/>
        </w:rPr>
        <w:footnoteRef/>
      </w:r>
      <w:r w:rsidRPr="00E14FFD">
        <w:rPr>
          <w:sz w:val="20"/>
          <w:szCs w:val="20"/>
        </w:rPr>
        <w:t xml:space="preserve"> </w:t>
      </w:r>
      <w:r w:rsidRPr="004A7C61">
        <w:rPr>
          <w:sz w:val="20"/>
          <w:szCs w:val="20"/>
        </w:rPr>
        <w:t xml:space="preserve">Frolic and Chidwick, </w:t>
      </w:r>
      <w:r w:rsidRPr="00964516">
        <w:rPr>
          <w:i/>
          <w:sz w:val="20"/>
          <w:szCs w:val="20"/>
        </w:rPr>
        <w:t>HEC Forum</w:t>
      </w:r>
      <w:r w:rsidRPr="00964516">
        <w:rPr>
          <w:sz w:val="20"/>
          <w:szCs w:val="20"/>
        </w:rPr>
        <w:t xml:space="preserve"> (2010) 22:19-29, 23.</w:t>
      </w:r>
    </w:p>
    <w:p w14:paraId="1056B477" w14:textId="77777777" w:rsidR="00BB3FE0" w:rsidRPr="00964516" w:rsidRDefault="00BB3FE0">
      <w:pPr>
        <w:pStyle w:val="FootnoteText"/>
        <w:rPr>
          <w:sz w:val="20"/>
          <w:szCs w:val="20"/>
        </w:rPr>
      </w:pPr>
    </w:p>
  </w:footnote>
  <w:footnote w:id="85">
    <w:p w14:paraId="6955F40C" w14:textId="2AA85D10" w:rsidR="00BB3FE0" w:rsidRPr="00E14FFD" w:rsidRDefault="00BB3FE0" w:rsidP="00DC75A5">
      <w:pPr>
        <w:pStyle w:val="FootnoteText"/>
        <w:ind w:firstLine="720"/>
        <w:rPr>
          <w:sz w:val="20"/>
          <w:szCs w:val="20"/>
        </w:rPr>
      </w:pPr>
      <w:r w:rsidRPr="00E14FFD">
        <w:rPr>
          <w:rStyle w:val="FootnoteReference"/>
          <w:sz w:val="20"/>
          <w:szCs w:val="20"/>
        </w:rPr>
        <w:footnoteRef/>
      </w:r>
      <w:r w:rsidRPr="00E14FFD">
        <w:rPr>
          <w:sz w:val="20"/>
          <w:szCs w:val="20"/>
        </w:rPr>
        <w:t xml:space="preserve"> Ibid</w:t>
      </w:r>
      <w:r>
        <w:rPr>
          <w:sz w:val="20"/>
          <w:szCs w:val="20"/>
        </w:rPr>
        <w:t>.</w:t>
      </w:r>
      <w:r w:rsidRPr="00E14FFD">
        <w:rPr>
          <w:sz w:val="20"/>
          <w:szCs w:val="20"/>
        </w:rPr>
        <w:t>, 9.</w:t>
      </w:r>
    </w:p>
    <w:p w14:paraId="218060C1" w14:textId="77777777" w:rsidR="00BB3FE0" w:rsidRPr="004A7C61" w:rsidRDefault="00BB3FE0">
      <w:pPr>
        <w:pStyle w:val="FootnoteText"/>
        <w:rPr>
          <w:sz w:val="20"/>
          <w:szCs w:val="20"/>
        </w:rPr>
      </w:pPr>
    </w:p>
  </w:footnote>
  <w:footnote w:id="86">
    <w:p w14:paraId="550C9145" w14:textId="4CE8AB42" w:rsidR="00BB3FE0" w:rsidRPr="00964516" w:rsidRDefault="00BB3FE0" w:rsidP="00A94BD6">
      <w:pPr>
        <w:pStyle w:val="FootnoteText"/>
        <w:ind w:firstLine="720"/>
        <w:rPr>
          <w:sz w:val="20"/>
          <w:szCs w:val="20"/>
        </w:rPr>
      </w:pPr>
      <w:r w:rsidRPr="00E14FFD">
        <w:rPr>
          <w:rStyle w:val="FootnoteReference"/>
          <w:sz w:val="20"/>
          <w:szCs w:val="20"/>
        </w:rPr>
        <w:footnoteRef/>
      </w:r>
      <w:r w:rsidRPr="00E14FFD">
        <w:rPr>
          <w:sz w:val="20"/>
          <w:szCs w:val="20"/>
        </w:rPr>
        <w:t xml:space="preserve"> </w:t>
      </w:r>
      <w:r>
        <w:rPr>
          <w:sz w:val="20"/>
          <w:szCs w:val="20"/>
        </w:rPr>
        <w:t>Ibid.,</w:t>
      </w:r>
      <w:r w:rsidRPr="00964516">
        <w:rPr>
          <w:sz w:val="20"/>
          <w:szCs w:val="20"/>
        </w:rPr>
        <w:t xml:space="preserve"> 10.</w:t>
      </w:r>
    </w:p>
  </w:footnote>
  <w:footnote w:id="87">
    <w:p w14:paraId="6AB6CA2E" w14:textId="77777777" w:rsidR="00BB3FE0" w:rsidRPr="00964516" w:rsidRDefault="00BB3FE0" w:rsidP="00964516">
      <w:pPr>
        <w:pStyle w:val="FootnoteText"/>
        <w:rPr>
          <w:sz w:val="20"/>
          <w:szCs w:val="20"/>
        </w:rPr>
      </w:pPr>
    </w:p>
    <w:p w14:paraId="5E2DF701" w14:textId="7973CE1B" w:rsidR="00BB3FE0" w:rsidRPr="00E14FFD" w:rsidRDefault="00BB3FE0" w:rsidP="00E3272C">
      <w:pPr>
        <w:pStyle w:val="FootnoteText"/>
        <w:ind w:firstLine="720"/>
        <w:rPr>
          <w:sz w:val="20"/>
          <w:szCs w:val="20"/>
        </w:rPr>
      </w:pPr>
      <w:r w:rsidRPr="00E14FFD">
        <w:rPr>
          <w:rStyle w:val="FootnoteReference"/>
          <w:sz w:val="20"/>
          <w:szCs w:val="20"/>
        </w:rPr>
        <w:footnoteRef/>
      </w:r>
      <w:r w:rsidRPr="00E14FFD">
        <w:rPr>
          <w:sz w:val="20"/>
          <w:szCs w:val="20"/>
        </w:rPr>
        <w:t xml:space="preserve"> Ibid., 11.</w:t>
      </w:r>
    </w:p>
    <w:p w14:paraId="2469D3A2" w14:textId="77777777" w:rsidR="00BB3FE0" w:rsidRPr="004A7C61" w:rsidRDefault="00BB3FE0" w:rsidP="00E3272C">
      <w:pPr>
        <w:pStyle w:val="FootnoteText"/>
        <w:ind w:firstLine="720"/>
        <w:rPr>
          <w:sz w:val="20"/>
          <w:szCs w:val="20"/>
        </w:rPr>
      </w:pPr>
    </w:p>
  </w:footnote>
  <w:footnote w:id="88">
    <w:p w14:paraId="0AE8A168" w14:textId="77777777" w:rsidR="00BB3FE0" w:rsidRPr="00A94BD6" w:rsidRDefault="00BB3FE0" w:rsidP="00A94BD6">
      <w:pPr>
        <w:pStyle w:val="FootnoteText"/>
        <w:ind w:firstLine="720"/>
        <w:rPr>
          <w:sz w:val="20"/>
        </w:rPr>
      </w:pPr>
      <w:r w:rsidRPr="00CB0275">
        <w:rPr>
          <w:rStyle w:val="FootnoteReference"/>
          <w:sz w:val="20"/>
        </w:rPr>
        <w:footnoteRef/>
      </w:r>
      <w:r w:rsidRPr="00CB0275">
        <w:rPr>
          <w:sz w:val="20"/>
        </w:rPr>
        <w:t xml:space="preserve"> The PHE’s suspicions may have been well founded but it should be noted that research ethics consultation </w:t>
      </w:r>
      <w:r>
        <w:rPr>
          <w:sz w:val="20"/>
        </w:rPr>
        <w:t>is not without its own high stak</w:t>
      </w:r>
      <w:r w:rsidRPr="00CB0275">
        <w:rPr>
          <w:sz w:val="20"/>
        </w:rPr>
        <w:t>es cases, and it too requires the exercise of judgement. If the ethicist, however, was largely assigned administrative tasks related to research review (such as ensuring that protocols are consistent with well-established standards pertaining to informed consent or privacy protections) then it may be reasonable to infer that these new duties were designed to reduce her range of discretion and influence.</w:t>
      </w:r>
      <w:r>
        <w:rPr>
          <w:sz w:val="20"/>
        </w:rPr>
        <w:t xml:space="preserve"> </w:t>
      </w:r>
      <w:r>
        <w:t xml:space="preserve">     </w:t>
      </w:r>
    </w:p>
  </w:footnote>
  <w:footnote w:id="89">
    <w:p w14:paraId="2885C4B6" w14:textId="77777777" w:rsidR="00BB3FE0" w:rsidRDefault="00BB3FE0" w:rsidP="00DC75A5">
      <w:pPr>
        <w:pStyle w:val="FootnoteText"/>
        <w:ind w:firstLine="720"/>
        <w:rPr>
          <w:sz w:val="20"/>
        </w:rPr>
      </w:pPr>
    </w:p>
    <w:p w14:paraId="1984C510" w14:textId="07FDA3E9" w:rsidR="00BB3FE0" w:rsidRDefault="00BB3FE0" w:rsidP="00DC75A5">
      <w:pPr>
        <w:pStyle w:val="FootnoteText"/>
        <w:ind w:firstLine="720"/>
      </w:pPr>
      <w:r w:rsidRPr="00CB0275">
        <w:rPr>
          <w:rStyle w:val="FootnoteReference"/>
          <w:sz w:val="20"/>
        </w:rPr>
        <w:footnoteRef/>
      </w:r>
      <w:r w:rsidRPr="00CB0275">
        <w:rPr>
          <w:sz w:val="20"/>
        </w:rPr>
        <w:t xml:space="preserve"> Andrew Stark, “Comparing conflict of interest across the professions,” in </w:t>
      </w:r>
      <w:r w:rsidRPr="00CB0275">
        <w:rPr>
          <w:i/>
          <w:sz w:val="20"/>
        </w:rPr>
        <w:t>Conflict of Interest in the Professions</w:t>
      </w:r>
      <w:r>
        <w:rPr>
          <w:sz w:val="20"/>
        </w:rPr>
        <w:t>, 336.</w:t>
      </w:r>
    </w:p>
  </w:footnote>
  <w:footnote w:id="90">
    <w:p w14:paraId="1588A5B8" w14:textId="77777777" w:rsidR="00BB3FE0" w:rsidRPr="00A557D7" w:rsidRDefault="00BB3FE0" w:rsidP="00DC75A5">
      <w:pPr>
        <w:pStyle w:val="FootnoteText"/>
        <w:ind w:firstLine="720"/>
      </w:pPr>
      <w:r w:rsidRPr="00CB0275">
        <w:rPr>
          <w:rStyle w:val="FootnoteReference"/>
          <w:sz w:val="20"/>
        </w:rPr>
        <w:footnoteRef/>
      </w:r>
      <w:r w:rsidRPr="00CB0275">
        <w:rPr>
          <w:sz w:val="20"/>
        </w:rPr>
        <w:t xml:space="preserve"> The tendency to believe that participation in research will be of benefit to patient-participants is a phenomenon that was helpfully captured by Paul Appelbaum and colleagues who coined the phrase “therapeutic misconception.” In recent decades an extensive and nuanced literature on this topic has been generated which is not necessarily relevant to this project, but it is important to recognize Appelbaum’s core insight which is that researchers and participants alike are inclined to minimize or deny the disadvantages associated with study participation.    </w:t>
      </w:r>
    </w:p>
  </w:footnote>
  <w:footnote w:id="91">
    <w:p w14:paraId="364A5272" w14:textId="77777777" w:rsidR="00BB3FE0" w:rsidRDefault="00BB3FE0">
      <w:pPr>
        <w:pStyle w:val="FootnoteText"/>
        <w:rPr>
          <w:sz w:val="20"/>
        </w:rPr>
      </w:pPr>
    </w:p>
    <w:p w14:paraId="5C49A7A5" w14:textId="77777777" w:rsidR="00BB3FE0" w:rsidRPr="00964516" w:rsidRDefault="00BB3FE0" w:rsidP="000507AF">
      <w:pPr>
        <w:pStyle w:val="FootnoteText"/>
        <w:ind w:firstLine="720"/>
        <w:rPr>
          <w:sz w:val="20"/>
          <w:szCs w:val="20"/>
        </w:rPr>
      </w:pPr>
      <w:r w:rsidRPr="00CB0275">
        <w:rPr>
          <w:rStyle w:val="FootnoteReference"/>
          <w:sz w:val="20"/>
        </w:rPr>
        <w:footnoteRef/>
      </w:r>
      <w:r w:rsidRPr="00CB0275">
        <w:rPr>
          <w:sz w:val="20"/>
        </w:rPr>
        <w:t xml:space="preserve"> The legal profession has an interesting way of conceptualizing these kinds of conflicts. If challenged, a lawyer must be able to demonstrate that the dual-representation is what is described as a consentable conflict. For a lawyer’s conflict of interest to be consentable she must be able to establish both that the clients were fully informed of the nature of the conflict, and that she was able to fulfil her duties to each of them in a competent manner. In addition, a lawyer engaged in case involving dual representation must be vigilant to the possibility that a consentable conflict may devolve into an unconsentable one. If, for example, one of her clients decides to sue the other she will need to alert these parties that she can no longer function as lawyer to them both. A lawyer who fails to do so may find herself disbarred. The gravity with which such conflicts are addressed reflects the conviction that a lawyer’s inadequately managed conflict of interest presents a problem not only for the lawyer and her clients but for the integrity of the justice system itself. For a helpful introduction to this topic see: Kevin H. Michels, “</w:t>
      </w:r>
      <w:r>
        <w:rPr>
          <w:sz w:val="20"/>
        </w:rPr>
        <w:t xml:space="preserve">What Conflicts Can be Waived? A </w:t>
      </w:r>
      <w:r w:rsidRPr="00E14FFD">
        <w:rPr>
          <w:sz w:val="20"/>
          <w:szCs w:val="20"/>
        </w:rPr>
        <w:t xml:space="preserve">Unified Understanding of Competence and Consent,” </w:t>
      </w:r>
      <w:r w:rsidRPr="004A7C61">
        <w:rPr>
          <w:i/>
          <w:sz w:val="20"/>
          <w:szCs w:val="20"/>
        </w:rPr>
        <w:t>Rutgers Law Review</w:t>
      </w:r>
      <w:r w:rsidRPr="00964516">
        <w:rPr>
          <w:sz w:val="20"/>
          <w:szCs w:val="20"/>
        </w:rPr>
        <w:t xml:space="preserve"> 65, no. 12 (2012): 109-172.  </w:t>
      </w:r>
    </w:p>
  </w:footnote>
  <w:footnote w:id="92">
    <w:p w14:paraId="119036EA" w14:textId="77777777" w:rsidR="00BB3FE0" w:rsidRPr="00E14FFD" w:rsidRDefault="00BB3FE0" w:rsidP="00A94BD6">
      <w:pPr>
        <w:pStyle w:val="FootnoteText"/>
        <w:ind w:firstLine="720"/>
        <w:rPr>
          <w:sz w:val="20"/>
          <w:szCs w:val="20"/>
        </w:rPr>
      </w:pPr>
    </w:p>
    <w:p w14:paraId="10B142AE" w14:textId="23FBE516" w:rsidR="00BB3FE0" w:rsidRPr="00CB0275" w:rsidRDefault="00BB3FE0" w:rsidP="00A94BD6">
      <w:pPr>
        <w:pStyle w:val="FootnoteText"/>
        <w:ind w:firstLine="720"/>
        <w:rPr>
          <w:sz w:val="20"/>
        </w:rPr>
      </w:pPr>
      <w:r w:rsidRPr="00E14FFD">
        <w:rPr>
          <w:rStyle w:val="FootnoteReference"/>
          <w:sz w:val="20"/>
          <w:szCs w:val="20"/>
        </w:rPr>
        <w:footnoteRef/>
      </w:r>
      <w:r w:rsidRPr="00E14FFD">
        <w:rPr>
          <w:sz w:val="20"/>
          <w:szCs w:val="20"/>
        </w:rPr>
        <w:t xml:space="preserve"> Frolic and</w:t>
      </w:r>
      <w:r w:rsidRPr="00CB0275">
        <w:rPr>
          <w:sz w:val="20"/>
        </w:rPr>
        <w:t xml:space="preserve"> Chidwick, </w:t>
      </w:r>
      <w:r w:rsidRPr="00CB0275">
        <w:rPr>
          <w:i/>
          <w:sz w:val="20"/>
        </w:rPr>
        <w:t>HEC Forum</w:t>
      </w:r>
      <w:r>
        <w:rPr>
          <w:sz w:val="20"/>
        </w:rPr>
        <w:t xml:space="preserve"> (2010) 22:5-17, 11.</w:t>
      </w:r>
    </w:p>
  </w:footnote>
  <w:footnote w:id="93">
    <w:p w14:paraId="7B57C99A" w14:textId="77777777" w:rsidR="00BB3FE0" w:rsidRDefault="00BB3FE0" w:rsidP="00DC75A5">
      <w:pPr>
        <w:pStyle w:val="FootnoteText"/>
        <w:ind w:firstLine="720"/>
      </w:pPr>
      <w:r w:rsidRPr="00CB0275">
        <w:rPr>
          <w:rStyle w:val="FootnoteReference"/>
          <w:sz w:val="20"/>
        </w:rPr>
        <w:footnoteRef/>
      </w:r>
      <w:r w:rsidRPr="00CB0275">
        <w:rPr>
          <w:sz w:val="20"/>
        </w:rPr>
        <w:t xml:space="preserve"> In cases of this kind it is common for opinions to be divided within teams and within families so the example need not imply a straightforward conflict between the interests of a family, or </w:t>
      </w:r>
      <w:r>
        <w:rPr>
          <w:sz w:val="20"/>
        </w:rPr>
        <w:t xml:space="preserve">a </w:t>
      </w:r>
      <w:r w:rsidRPr="00CB0275">
        <w:rPr>
          <w:sz w:val="20"/>
        </w:rPr>
        <w:t xml:space="preserve">patient’s decision maker, and the interests of a unified team.    </w:t>
      </w:r>
    </w:p>
  </w:footnote>
  <w:footnote w:id="94">
    <w:p w14:paraId="71DE0238" w14:textId="77777777" w:rsidR="00BB3FE0" w:rsidRPr="00DC75A5" w:rsidRDefault="00BB3FE0" w:rsidP="00DC75A5">
      <w:pPr>
        <w:pStyle w:val="FootnoteText"/>
        <w:ind w:firstLine="720"/>
        <w:rPr>
          <w:sz w:val="20"/>
          <w:szCs w:val="20"/>
        </w:rPr>
      </w:pPr>
      <w:r w:rsidRPr="00CB0275">
        <w:rPr>
          <w:rStyle w:val="FootnoteReference"/>
          <w:sz w:val="20"/>
        </w:rPr>
        <w:footnoteRef/>
      </w:r>
      <w:r w:rsidRPr="00CB0275">
        <w:rPr>
          <w:sz w:val="20"/>
        </w:rPr>
        <w:t xml:space="preserve"> I have not invoked this usage employed by John R. Boatright before but meddlesome is a convenient shorthand for the various external interests (such as money, status, or professional advancement) that may distort a professional’s judgement in a case that involves a conflict of </w:t>
      </w:r>
      <w:r w:rsidRPr="00DC75A5">
        <w:rPr>
          <w:sz w:val="20"/>
          <w:szCs w:val="20"/>
        </w:rPr>
        <w:t xml:space="preserve">interest. </w:t>
      </w:r>
    </w:p>
    <w:p w14:paraId="6D08001F" w14:textId="77777777" w:rsidR="00BB3FE0" w:rsidRPr="00DC75A5" w:rsidRDefault="00BB3FE0">
      <w:pPr>
        <w:pStyle w:val="FootnoteText"/>
        <w:rPr>
          <w:sz w:val="20"/>
          <w:szCs w:val="20"/>
        </w:rPr>
      </w:pPr>
    </w:p>
  </w:footnote>
  <w:footnote w:id="95">
    <w:p w14:paraId="66F9A71C" w14:textId="77777777" w:rsidR="00BB3FE0" w:rsidRDefault="00BB3FE0" w:rsidP="00DC75A5">
      <w:pPr>
        <w:pStyle w:val="FootnoteText"/>
        <w:ind w:firstLine="720"/>
      </w:pPr>
      <w:r w:rsidRPr="00DC75A5">
        <w:rPr>
          <w:rStyle w:val="FootnoteReference"/>
          <w:sz w:val="20"/>
          <w:szCs w:val="20"/>
        </w:rPr>
        <w:footnoteRef/>
      </w:r>
      <w:r w:rsidRPr="00DC75A5">
        <w:rPr>
          <w:sz w:val="20"/>
        </w:rPr>
        <w:t xml:space="preserve"> </w:t>
      </w:r>
      <w:r w:rsidRPr="00CB0275">
        <w:rPr>
          <w:sz w:val="20"/>
        </w:rPr>
        <w:t xml:space="preserve">Andrew Stark, “Comparing conflict of interest across the professions,” in </w:t>
      </w:r>
      <w:r w:rsidRPr="00CB0275">
        <w:rPr>
          <w:i/>
          <w:sz w:val="20"/>
        </w:rPr>
        <w:t>Conflict of Interest in the Professions</w:t>
      </w:r>
      <w:r w:rsidRPr="00CB0275">
        <w:rPr>
          <w:sz w:val="20"/>
        </w:rPr>
        <w:t xml:space="preserve">, ibid. </w:t>
      </w:r>
    </w:p>
  </w:footnote>
  <w:footnote w:id="96">
    <w:p w14:paraId="128CD523" w14:textId="70877F2E" w:rsidR="00BB3FE0" w:rsidRPr="00DC75A5" w:rsidRDefault="00BB3FE0" w:rsidP="000507AF">
      <w:pPr>
        <w:pStyle w:val="FootnoteText"/>
        <w:ind w:firstLine="720"/>
        <w:rPr>
          <w:sz w:val="20"/>
          <w:szCs w:val="20"/>
        </w:rPr>
      </w:pPr>
      <w:r w:rsidRPr="00DC75A5">
        <w:rPr>
          <w:rStyle w:val="FootnoteReference"/>
          <w:sz w:val="20"/>
          <w:szCs w:val="20"/>
        </w:rPr>
        <w:footnoteRef/>
      </w:r>
      <w:r w:rsidRPr="00DC75A5">
        <w:rPr>
          <w:sz w:val="20"/>
          <w:szCs w:val="20"/>
        </w:rPr>
        <w:t xml:space="preserve"> Ibid</w:t>
      </w:r>
      <w:r>
        <w:rPr>
          <w:sz w:val="20"/>
          <w:szCs w:val="20"/>
        </w:rPr>
        <w:t>.</w:t>
      </w:r>
      <w:r w:rsidRPr="00DC75A5">
        <w:rPr>
          <w:sz w:val="20"/>
          <w:szCs w:val="20"/>
        </w:rPr>
        <w:t>, 343.</w:t>
      </w:r>
    </w:p>
    <w:p w14:paraId="3FD94BC6" w14:textId="77777777" w:rsidR="00BB3FE0" w:rsidRPr="000507AF" w:rsidRDefault="00BB3FE0">
      <w:pPr>
        <w:pStyle w:val="FootnoteText"/>
        <w:rPr>
          <w:sz w:val="20"/>
          <w:szCs w:val="20"/>
        </w:rPr>
      </w:pPr>
    </w:p>
  </w:footnote>
  <w:footnote w:id="97">
    <w:p w14:paraId="0E3CBD47" w14:textId="02BBB541" w:rsidR="00BB3FE0" w:rsidRPr="00E3272C" w:rsidRDefault="00BB3FE0" w:rsidP="00E3272C">
      <w:pPr>
        <w:pStyle w:val="FootnoteText"/>
        <w:ind w:firstLine="720"/>
        <w:rPr>
          <w:sz w:val="20"/>
          <w:szCs w:val="20"/>
        </w:rPr>
      </w:pPr>
      <w:r w:rsidRPr="00DC75A5">
        <w:rPr>
          <w:rStyle w:val="FootnoteReference"/>
          <w:sz w:val="20"/>
          <w:szCs w:val="20"/>
        </w:rPr>
        <w:footnoteRef/>
      </w:r>
      <w:r w:rsidRPr="00DC75A5">
        <w:rPr>
          <w:sz w:val="20"/>
          <w:szCs w:val="20"/>
        </w:rPr>
        <w:t xml:space="preserve"> Ibid</w:t>
      </w:r>
      <w:r>
        <w:rPr>
          <w:sz w:val="20"/>
          <w:szCs w:val="20"/>
        </w:rPr>
        <w:t>.</w:t>
      </w:r>
      <w:r w:rsidRPr="00DC75A5">
        <w:rPr>
          <w:sz w:val="20"/>
          <w:szCs w:val="20"/>
        </w:rPr>
        <w:t>, 342.</w:t>
      </w:r>
    </w:p>
  </w:footnote>
  <w:footnote w:id="98">
    <w:p w14:paraId="4B36182C" w14:textId="2D869EC7" w:rsidR="00BB3FE0" w:rsidRDefault="00BB3FE0" w:rsidP="00FF3A29">
      <w:pPr>
        <w:pStyle w:val="FootnoteText"/>
        <w:ind w:firstLine="720"/>
      </w:pPr>
      <w:r w:rsidRPr="00CB0275">
        <w:rPr>
          <w:rStyle w:val="FootnoteReference"/>
          <w:sz w:val="20"/>
        </w:rPr>
        <w:footnoteRef/>
      </w:r>
      <w:r w:rsidRPr="00CB0275">
        <w:rPr>
          <w:sz w:val="20"/>
        </w:rPr>
        <w:t xml:space="preserve"> Ibid</w:t>
      </w:r>
      <w:r>
        <w:rPr>
          <w:sz w:val="20"/>
        </w:rPr>
        <w:t>.</w:t>
      </w:r>
      <w:r w:rsidRPr="00CB0275">
        <w:rPr>
          <w:sz w:val="20"/>
        </w:rPr>
        <w:t>, 345.</w:t>
      </w:r>
    </w:p>
  </w:footnote>
  <w:footnote w:id="99">
    <w:p w14:paraId="754A1F7B" w14:textId="77777777" w:rsidR="00BB3FE0" w:rsidRPr="00CB0275" w:rsidRDefault="00BB3FE0" w:rsidP="00DC75A5">
      <w:pPr>
        <w:pStyle w:val="FootnoteText"/>
        <w:ind w:firstLine="720"/>
        <w:rPr>
          <w:sz w:val="20"/>
          <w:szCs w:val="20"/>
        </w:rPr>
      </w:pPr>
      <w:r w:rsidRPr="00CB0275">
        <w:rPr>
          <w:rStyle w:val="FootnoteReference"/>
          <w:sz w:val="20"/>
          <w:szCs w:val="20"/>
        </w:rPr>
        <w:footnoteRef/>
      </w:r>
      <w:r w:rsidRPr="00CB0275">
        <w:rPr>
          <w:sz w:val="20"/>
          <w:szCs w:val="20"/>
        </w:rPr>
        <w:t xml:space="preserve"> By using the phrase ‘ethics consultation and support’ I mean to reference the full range of activities that are typically part of a healthcare ethicist’s work. The fact that some of my case examples focus on clinical consultation (particularly in the form of a single patient’s care-related concerns) does not imply that I believe this to be the most important or canonical part of the PHE’s work. My cases were chosen to illustrate specific aspects of the work or to make arguments clearer, but I fully endorse Bean’s view that a great many, if not most, cases are hybrid in nature and implicate clinical, organizational</w:t>
      </w:r>
      <w:r>
        <w:rPr>
          <w:sz w:val="20"/>
          <w:szCs w:val="20"/>
        </w:rPr>
        <w:t xml:space="preserve"> and, often, </w:t>
      </w:r>
      <w:r w:rsidRPr="00CB0275">
        <w:rPr>
          <w:sz w:val="20"/>
          <w:szCs w:val="20"/>
        </w:rPr>
        <w:t>research-related concerns.</w:t>
      </w:r>
    </w:p>
    <w:p w14:paraId="37A6A72C" w14:textId="77777777" w:rsidR="00BB3FE0" w:rsidRPr="00CB0275" w:rsidRDefault="00BB3FE0" w:rsidP="00170CDA">
      <w:pPr>
        <w:pStyle w:val="FootnoteText"/>
        <w:rPr>
          <w:sz w:val="20"/>
          <w:szCs w:val="20"/>
        </w:rPr>
      </w:pPr>
    </w:p>
  </w:footnote>
  <w:footnote w:id="100">
    <w:p w14:paraId="0F6815A2" w14:textId="77777777" w:rsidR="00BB3FE0" w:rsidRPr="00CB0275" w:rsidRDefault="00BB3FE0" w:rsidP="00DC75A5">
      <w:pPr>
        <w:pStyle w:val="Heading1"/>
        <w:shd w:val="clear" w:color="auto" w:fill="FFFFFF"/>
        <w:spacing w:before="0"/>
        <w:ind w:firstLine="720"/>
        <w:rPr>
          <w:rFonts w:ascii="Times New Roman" w:eastAsia="Times New Roman" w:hAnsi="Times New Roman" w:cs="Times New Roman"/>
          <w:bCs/>
          <w:color w:val="111111"/>
          <w:kern w:val="36"/>
          <w:sz w:val="20"/>
          <w:szCs w:val="20"/>
          <w:bdr w:val="none" w:sz="0" w:space="0" w:color="auto"/>
          <w:lang w:eastAsia="en-GB"/>
        </w:rPr>
      </w:pPr>
      <w:r w:rsidRPr="00CB0275">
        <w:rPr>
          <w:rStyle w:val="FootnoteReference"/>
          <w:rFonts w:ascii="Times New Roman" w:hAnsi="Times New Roman" w:cs="Times New Roman"/>
          <w:color w:val="auto"/>
          <w:sz w:val="20"/>
          <w:szCs w:val="20"/>
        </w:rPr>
        <w:footnoteRef/>
      </w:r>
      <w:r w:rsidRPr="00CB0275">
        <w:rPr>
          <w:rFonts w:ascii="Times New Roman" w:hAnsi="Times New Roman" w:cs="Times New Roman"/>
          <w:color w:val="auto"/>
          <w:sz w:val="20"/>
          <w:szCs w:val="20"/>
        </w:rPr>
        <w:t xml:space="preserve"> A collection of essays called </w:t>
      </w:r>
      <w:r w:rsidRPr="00CB0275">
        <w:rPr>
          <w:rFonts w:ascii="Times New Roman" w:eastAsia="Times New Roman" w:hAnsi="Times New Roman" w:cs="Times New Roman"/>
          <w:bCs/>
          <w:i/>
          <w:color w:val="111111"/>
          <w:kern w:val="36"/>
          <w:sz w:val="20"/>
          <w:szCs w:val="20"/>
          <w:bdr w:val="none" w:sz="0" w:space="0" w:color="auto"/>
          <w:lang w:eastAsia="en-GB"/>
        </w:rPr>
        <w:t>Beyond Bioethics: Toward a New Biopolitics</w:t>
      </w:r>
      <w:r w:rsidRPr="00CB0275">
        <w:rPr>
          <w:rFonts w:ascii="Times New Roman" w:eastAsia="Times New Roman" w:hAnsi="Times New Roman" w:cs="Times New Roman"/>
          <w:bCs/>
          <w:color w:val="111111"/>
          <w:kern w:val="36"/>
          <w:sz w:val="20"/>
          <w:szCs w:val="20"/>
          <w:bdr w:val="none" w:sz="0" w:space="0" w:color="auto"/>
          <w:lang w:eastAsia="en-GB"/>
        </w:rPr>
        <w:t xml:space="preserve"> has recently been released and it joins other volumes whose titles may not expressly reference the political character of the field but that are nonetheless occupied with similar or related concerns. A few such offerings are: Tom Koch’s </w:t>
      </w:r>
      <w:r w:rsidRPr="00CB0275">
        <w:rPr>
          <w:rFonts w:ascii="Times New Roman" w:eastAsia="Times New Roman" w:hAnsi="Times New Roman" w:cs="Times New Roman"/>
          <w:bCs/>
          <w:i/>
          <w:color w:val="111111"/>
          <w:kern w:val="36"/>
          <w:sz w:val="20"/>
          <w:szCs w:val="20"/>
          <w:bdr w:val="none" w:sz="0" w:space="0" w:color="auto"/>
          <w:lang w:eastAsia="en-GB"/>
        </w:rPr>
        <w:t>Thieves of Virtue</w:t>
      </w:r>
      <w:r w:rsidRPr="00CB0275">
        <w:rPr>
          <w:rFonts w:ascii="Times New Roman" w:eastAsia="Times New Roman" w:hAnsi="Times New Roman" w:cs="Times New Roman"/>
          <w:bCs/>
          <w:color w:val="111111"/>
          <w:kern w:val="36"/>
          <w:sz w:val="20"/>
          <w:szCs w:val="20"/>
          <w:bdr w:val="none" w:sz="0" w:space="0" w:color="auto"/>
          <w:lang w:eastAsia="en-GB"/>
        </w:rPr>
        <w:t xml:space="preserve">, Lisa Eckenweiler and Felicia Cohn’s, </w:t>
      </w:r>
      <w:r w:rsidRPr="00CB0275">
        <w:rPr>
          <w:rFonts w:ascii="Times New Roman" w:eastAsia="Times New Roman" w:hAnsi="Times New Roman" w:cs="Times New Roman"/>
          <w:bCs/>
          <w:i/>
          <w:color w:val="111111"/>
          <w:kern w:val="36"/>
          <w:sz w:val="20"/>
          <w:szCs w:val="20"/>
          <w:bdr w:val="none" w:sz="0" w:space="0" w:color="auto"/>
          <w:lang w:eastAsia="en-GB"/>
        </w:rPr>
        <w:t>The Ethics of Bioethics,</w:t>
      </w:r>
      <w:r w:rsidRPr="00CB0275">
        <w:rPr>
          <w:rFonts w:ascii="Times New Roman" w:eastAsia="Times New Roman" w:hAnsi="Times New Roman" w:cs="Times New Roman"/>
          <w:bCs/>
          <w:color w:val="111111"/>
          <w:kern w:val="36"/>
          <w:sz w:val="20"/>
          <w:szCs w:val="20"/>
          <w:bdr w:val="none" w:sz="0" w:space="0" w:color="auto"/>
          <w:lang w:eastAsia="en-GB"/>
        </w:rPr>
        <w:t xml:space="preserve"> and Barry Hoffmaster’s </w:t>
      </w:r>
      <w:r w:rsidRPr="00CB0275">
        <w:rPr>
          <w:rFonts w:ascii="Times New Roman" w:eastAsia="Times New Roman" w:hAnsi="Times New Roman" w:cs="Times New Roman"/>
          <w:bCs/>
          <w:i/>
          <w:color w:val="111111"/>
          <w:kern w:val="36"/>
          <w:sz w:val="20"/>
          <w:szCs w:val="20"/>
          <w:bdr w:val="none" w:sz="0" w:space="0" w:color="auto"/>
          <w:lang w:eastAsia="en-GB"/>
        </w:rPr>
        <w:t>Bioethics in Social Context.</w:t>
      </w:r>
      <w:r w:rsidRPr="00CB0275">
        <w:rPr>
          <w:rFonts w:ascii="Times New Roman" w:eastAsia="Times New Roman" w:hAnsi="Times New Roman" w:cs="Times New Roman"/>
          <w:bCs/>
          <w:color w:val="111111"/>
          <w:kern w:val="36"/>
          <w:sz w:val="20"/>
          <w:szCs w:val="20"/>
          <w:bdr w:val="none" w:sz="0" w:space="0" w:color="auto"/>
          <w:lang w:eastAsia="en-GB"/>
        </w:rPr>
        <w:t xml:space="preserve">  </w:t>
      </w:r>
    </w:p>
    <w:p w14:paraId="2712A8BE" w14:textId="77777777" w:rsidR="00BB3FE0" w:rsidRPr="00CB0275" w:rsidRDefault="00BB3FE0" w:rsidP="00170CDA">
      <w:pPr>
        <w:pStyle w:val="FootnoteText"/>
        <w:rPr>
          <w:sz w:val="20"/>
          <w:szCs w:val="20"/>
        </w:rPr>
      </w:pPr>
    </w:p>
  </w:footnote>
  <w:footnote w:id="101">
    <w:p w14:paraId="11E0400B" w14:textId="77777777" w:rsidR="00BB3FE0" w:rsidRPr="00CB0275" w:rsidRDefault="00BB3FE0" w:rsidP="00DC75A5">
      <w:pPr>
        <w:pStyle w:val="FootnoteText"/>
        <w:ind w:firstLine="720"/>
        <w:rPr>
          <w:rFonts w:eastAsia="Arial Unicode MS" w:hAnsi="Arial Unicode MS" w:cs="Arial Unicode MS"/>
          <w:sz w:val="20"/>
        </w:rPr>
      </w:pPr>
      <w:r w:rsidRPr="00CB0275">
        <w:rPr>
          <w:sz w:val="20"/>
          <w:szCs w:val="20"/>
          <w:vertAlign w:val="superscript"/>
        </w:rPr>
        <w:footnoteRef/>
      </w:r>
      <w:r w:rsidRPr="00CB0275">
        <w:rPr>
          <w:rFonts w:eastAsia="Arial Unicode MS" w:hAnsi="Arial Unicode MS" w:cs="Arial Unicode MS"/>
          <w:sz w:val="20"/>
          <w:szCs w:val="20"/>
        </w:rPr>
        <w:t xml:space="preserve"> Some health care ethics consultants do wear white coats but most do not, and their symbolic significance is not lost on members of the field. Those who wear them, such as the ethicists who work at the physician-owned Cleveland Clinic, report that they do so in order to be taken </w:t>
      </w:r>
      <w:r w:rsidRPr="00CB0275">
        <w:rPr>
          <w:rFonts w:eastAsia="Arial Unicode MS" w:hAnsi="Arial Unicode MS" w:cs="Arial Unicode MS"/>
          <w:sz w:val="20"/>
        </w:rPr>
        <w:t>seriously in an environment where their standing might readily be undermined without them. [Private communication with member of that program.] Other ethicists regard the white coat as misleading; even if they are also physicians, they are not practicing medicine when they are performing ethics consultations. In addition, some see the white coat as symbolic of a hierarchical posture that they do not wish to endorse or represent.</w:t>
      </w:r>
    </w:p>
    <w:p w14:paraId="63059041" w14:textId="77777777" w:rsidR="00BB3FE0" w:rsidRPr="00CB0275" w:rsidRDefault="00BB3FE0" w:rsidP="004928C2">
      <w:pPr>
        <w:pStyle w:val="FootnoteText"/>
        <w:tabs>
          <w:tab w:val="right" w:pos="7930"/>
        </w:tabs>
        <w:rPr>
          <w:sz w:val="20"/>
        </w:rPr>
      </w:pPr>
      <w:r w:rsidRPr="00CB0275">
        <w:rPr>
          <w:rFonts w:eastAsia="Arial Unicode MS" w:hAnsi="Arial Unicode MS" w:cs="Arial Unicode MS"/>
          <w:sz w:val="20"/>
        </w:rPr>
        <w:t xml:space="preserve">  </w:t>
      </w:r>
      <w:r w:rsidRPr="00CB0275">
        <w:rPr>
          <w:rFonts w:eastAsia="Arial Unicode MS" w:hAnsi="Arial Unicode MS" w:cs="Arial Unicode MS"/>
          <w:sz w:val="20"/>
        </w:rPr>
        <w:tab/>
      </w:r>
    </w:p>
  </w:footnote>
  <w:footnote w:id="102">
    <w:p w14:paraId="677BF889" w14:textId="77777777" w:rsidR="00BB3FE0" w:rsidRDefault="00BB3FE0" w:rsidP="00DC75A5">
      <w:pPr>
        <w:pStyle w:val="FootnoteText"/>
        <w:ind w:firstLine="720"/>
      </w:pPr>
      <w:r w:rsidRPr="00CB0275">
        <w:rPr>
          <w:sz w:val="20"/>
          <w:vertAlign w:val="superscript"/>
        </w:rPr>
        <w:footnoteRef/>
      </w:r>
      <w:r w:rsidRPr="00CB0275">
        <w:rPr>
          <w:rFonts w:eastAsia="Arial Unicode MS" w:hAnsi="Arial Unicode MS" w:cs="Arial Unicode MS"/>
          <w:sz w:val="20"/>
        </w:rPr>
        <w:t xml:space="preserve"> Carl Elliott. </w:t>
      </w:r>
      <w:r w:rsidRPr="00CB0275">
        <w:rPr>
          <w:rFonts w:eastAsia="Arial Unicode MS" w:hAnsi="Arial Unicode MS" w:cs="Arial Unicode MS"/>
          <w:i/>
          <w:iCs/>
          <w:sz w:val="20"/>
        </w:rPr>
        <w:t>White Coat, Black Hats: Adventures on the Dark Side of Medicine, 150-151.</w:t>
      </w:r>
    </w:p>
  </w:footnote>
  <w:footnote w:id="103">
    <w:p w14:paraId="19FA8154" w14:textId="77777777" w:rsidR="00BB3FE0" w:rsidRPr="00183758" w:rsidRDefault="00BB3FE0" w:rsidP="00DC75A5">
      <w:pPr>
        <w:pStyle w:val="FootnoteText"/>
        <w:ind w:firstLine="720"/>
        <w:rPr>
          <w:sz w:val="20"/>
          <w:szCs w:val="20"/>
        </w:rPr>
      </w:pPr>
      <w:r w:rsidRPr="00CB0275">
        <w:rPr>
          <w:rStyle w:val="FootnoteReference"/>
          <w:sz w:val="20"/>
        </w:rPr>
        <w:footnoteRef/>
      </w:r>
      <w:r w:rsidRPr="00CB0275">
        <w:rPr>
          <w:sz w:val="20"/>
        </w:rPr>
        <w:t xml:space="preserve"> I recognize that these charges have both descriptive and normative dimensions. My </w:t>
      </w:r>
      <w:r w:rsidRPr="00183758">
        <w:rPr>
          <w:sz w:val="20"/>
          <w:szCs w:val="20"/>
        </w:rPr>
        <w:t>interest is not in uncovering strategies for measuring the degree of influence that ethicists exert in healthcare settings or even in surveying their ideological orientations. It is, rather, in answering a more philosophical question, that is; is the PHE’s work necessarily political and, if so, should that be a cause for concern?</w:t>
      </w:r>
    </w:p>
    <w:p w14:paraId="3A403A06" w14:textId="77777777" w:rsidR="00BB3FE0" w:rsidRPr="00183758" w:rsidRDefault="00BB3FE0">
      <w:pPr>
        <w:pStyle w:val="FootnoteText"/>
        <w:rPr>
          <w:sz w:val="20"/>
          <w:szCs w:val="20"/>
        </w:rPr>
      </w:pPr>
      <w:r w:rsidRPr="00183758">
        <w:rPr>
          <w:sz w:val="20"/>
          <w:szCs w:val="20"/>
        </w:rPr>
        <w:t xml:space="preserve">       </w:t>
      </w:r>
    </w:p>
  </w:footnote>
  <w:footnote w:id="104">
    <w:p w14:paraId="4CFECF19" w14:textId="77777777" w:rsidR="00BB3FE0" w:rsidRDefault="00BB3FE0" w:rsidP="00183758">
      <w:pPr>
        <w:pStyle w:val="FootnoteText"/>
        <w:ind w:firstLine="720"/>
      </w:pPr>
      <w:r w:rsidRPr="00183758">
        <w:rPr>
          <w:rStyle w:val="FootnoteReference"/>
          <w:sz w:val="20"/>
          <w:szCs w:val="20"/>
        </w:rPr>
        <w:footnoteRef/>
      </w:r>
      <w:r w:rsidRPr="00183758">
        <w:rPr>
          <w:sz w:val="20"/>
          <w:szCs w:val="20"/>
        </w:rPr>
        <w:t>Although Tom Koch and Giles Scofield, among others, use the phrase “medical ethicist” to describe those I am calling practicing healthcare ethicists, the usage is not a widespread or unproblematic one. Many in the field view the modifier “medical’ as unnecessarily limiting (as it seems to exclude issues that arise in public health and global health ethics, for example) and is reflective of a tendency to place priority on the practice of medicine or the work of physicians. In contrast, the PHE designation can make space for conversations about the social determinants of health and recognize the diverse stakeholders who engage in ethical deliberation.</w:t>
      </w:r>
      <w:r w:rsidRPr="00183758">
        <w:t xml:space="preserve">  </w:t>
      </w:r>
    </w:p>
  </w:footnote>
  <w:footnote w:id="105">
    <w:p w14:paraId="665BC088" w14:textId="77777777" w:rsidR="00BB3FE0" w:rsidRDefault="00BB3FE0" w:rsidP="00DC75A5">
      <w:pPr>
        <w:pStyle w:val="FootnoteText"/>
        <w:ind w:firstLine="720"/>
        <w:rPr>
          <w:rFonts w:eastAsia="Arial Unicode MS" w:hAnsi="Arial Unicode MS" w:cs="Arial Unicode MS"/>
          <w:sz w:val="20"/>
        </w:rPr>
      </w:pPr>
    </w:p>
    <w:p w14:paraId="68F60210" w14:textId="77777777" w:rsidR="00BB3FE0" w:rsidRPr="00A94BD6" w:rsidRDefault="00BB3FE0" w:rsidP="00A94BD6">
      <w:pPr>
        <w:pStyle w:val="FootnoteText"/>
        <w:ind w:firstLine="720"/>
        <w:rPr>
          <w:rFonts w:eastAsia="Arial Unicode MS" w:hAnsi="Arial Unicode MS" w:cs="Arial Unicode MS"/>
          <w:sz w:val="20"/>
        </w:rPr>
      </w:pPr>
      <w:r w:rsidRPr="00CB0275">
        <w:rPr>
          <w:sz w:val="20"/>
          <w:vertAlign w:val="superscript"/>
        </w:rPr>
        <w:footnoteRef/>
      </w:r>
      <w:r w:rsidRPr="00CB0275">
        <w:rPr>
          <w:rFonts w:eastAsia="Arial Unicode MS" w:hAnsi="Arial Unicode MS" w:cs="Arial Unicode MS"/>
          <w:sz w:val="20"/>
        </w:rPr>
        <w:t xml:space="preserve"> </w:t>
      </w:r>
      <w:r w:rsidRPr="00CB0275">
        <w:rPr>
          <w:rFonts w:eastAsia="Arial Unicode MS" w:hAnsi="Arial Unicode MS" w:cs="Arial Unicode MS"/>
          <w:i/>
          <w:iCs/>
          <w:sz w:val="20"/>
        </w:rPr>
        <w:t>Thieves of Virtue: When Bioethics Stole Medicine</w:t>
      </w:r>
      <w:r>
        <w:rPr>
          <w:rFonts w:eastAsia="Arial Unicode MS" w:hAnsi="Arial Unicode MS" w:cs="Arial Unicode MS"/>
          <w:sz w:val="20"/>
        </w:rPr>
        <w:t>, 18.</w:t>
      </w:r>
    </w:p>
  </w:footnote>
  <w:footnote w:id="106">
    <w:p w14:paraId="40BA05CA" w14:textId="77777777" w:rsidR="00BB3FE0" w:rsidRPr="00E14FFD" w:rsidRDefault="00BB3FE0" w:rsidP="00DC75A5">
      <w:pPr>
        <w:pStyle w:val="FootnoteText"/>
        <w:ind w:firstLine="720"/>
        <w:rPr>
          <w:sz w:val="20"/>
          <w:szCs w:val="20"/>
        </w:rPr>
      </w:pPr>
      <w:r w:rsidRPr="00E14FFD">
        <w:rPr>
          <w:rStyle w:val="FootnoteReference"/>
          <w:sz w:val="20"/>
          <w:szCs w:val="20"/>
        </w:rPr>
        <w:footnoteRef/>
      </w:r>
      <w:r w:rsidRPr="00E14FFD">
        <w:rPr>
          <w:sz w:val="20"/>
          <w:szCs w:val="20"/>
        </w:rPr>
        <w:t xml:space="preserve"> Ibid., 5.</w:t>
      </w:r>
    </w:p>
    <w:p w14:paraId="3B7CF864" w14:textId="77777777" w:rsidR="00BB3FE0" w:rsidRPr="004A7C61" w:rsidRDefault="00BB3FE0">
      <w:pPr>
        <w:pStyle w:val="FootnoteText"/>
        <w:rPr>
          <w:sz w:val="20"/>
          <w:szCs w:val="20"/>
        </w:rPr>
      </w:pPr>
    </w:p>
  </w:footnote>
  <w:footnote w:id="107">
    <w:p w14:paraId="4451DE48" w14:textId="28BFAF15" w:rsidR="00BB3FE0" w:rsidRPr="00E14FFD" w:rsidRDefault="00BB3FE0" w:rsidP="00E14FFD">
      <w:pPr>
        <w:pStyle w:val="FootnoteText"/>
        <w:ind w:firstLine="720"/>
        <w:rPr>
          <w:sz w:val="20"/>
          <w:szCs w:val="20"/>
        </w:rPr>
      </w:pPr>
      <w:r w:rsidRPr="00E14FFD">
        <w:rPr>
          <w:rStyle w:val="FootnoteReference"/>
          <w:sz w:val="20"/>
          <w:szCs w:val="20"/>
        </w:rPr>
        <w:footnoteRef/>
      </w:r>
      <w:r w:rsidRPr="00E14FFD">
        <w:rPr>
          <w:sz w:val="20"/>
          <w:szCs w:val="20"/>
        </w:rPr>
        <w:t xml:space="preserve"> There is truth to the claim that health systems attend closely to the costs associated with care provision. Provincial Ministries of Health impose funding formulas that specify the rates that can be </w:t>
      </w:r>
      <w:r w:rsidRPr="004A7C61">
        <w:rPr>
          <w:sz w:val="20"/>
          <w:szCs w:val="20"/>
        </w:rPr>
        <w:t>charged for procedures such as hip</w:t>
      </w:r>
      <w:r w:rsidRPr="00F900C4">
        <w:rPr>
          <w:sz w:val="20"/>
        </w:rPr>
        <w:t xml:space="preserve"> and knee replacements and dictate the number of days that hospitals will paid to keep patients in their beds. For an Ontario example see the Ministry of Health </w:t>
      </w:r>
      <w:r w:rsidRPr="00E14FFD">
        <w:rPr>
          <w:sz w:val="20"/>
          <w:szCs w:val="20"/>
        </w:rPr>
        <w:t>and Long Term Care’s “Patient Based Funding Overview</w:t>
      </w:r>
      <w:r>
        <w:rPr>
          <w:sz w:val="20"/>
          <w:szCs w:val="20"/>
        </w:rPr>
        <w:t>.</w:t>
      </w:r>
      <w:r w:rsidRPr="00E14FFD">
        <w:rPr>
          <w:sz w:val="20"/>
          <w:szCs w:val="20"/>
        </w:rPr>
        <w:t>”</w:t>
      </w:r>
      <w:r>
        <w:rPr>
          <w:sz w:val="20"/>
          <w:szCs w:val="20"/>
        </w:rPr>
        <w:t xml:space="preserve"> Online: </w:t>
      </w:r>
      <w:hyperlink r:id="rId11" w:history="1">
        <w:r w:rsidRPr="00964516">
          <w:rPr>
            <w:rStyle w:val="Hyperlink"/>
            <w:sz w:val="20"/>
            <w:szCs w:val="20"/>
          </w:rPr>
          <w:t>http://www.health.gov.on.ca/en/pro/programs/ecfa/docs/ecfa_funding_pres.pdf</w:t>
        </w:r>
      </w:hyperlink>
      <w:r>
        <w:rPr>
          <w:sz w:val="20"/>
          <w:szCs w:val="20"/>
        </w:rPr>
        <w:t xml:space="preserve">. Accessed: 10 July 2010. </w:t>
      </w:r>
      <w:r w:rsidRPr="004A7C61">
        <w:rPr>
          <w:sz w:val="20"/>
          <w:szCs w:val="20"/>
        </w:rPr>
        <w:t>Similarly, institutional offices of Research Operations struggle with challenge of generating high</w:t>
      </w:r>
      <w:r w:rsidRPr="00F900C4">
        <w:rPr>
          <w:sz w:val="20"/>
        </w:rPr>
        <w:t xml:space="preserve"> quality research with insufficient public and priva</w:t>
      </w:r>
      <w:r>
        <w:rPr>
          <w:sz w:val="20"/>
        </w:rPr>
        <w:t xml:space="preserve">te funds. Biorepositories offer </w:t>
      </w:r>
      <w:r w:rsidRPr="00F900C4">
        <w:rPr>
          <w:sz w:val="20"/>
        </w:rPr>
        <w:t xml:space="preserve">opportunities to generate revenues to support costly knowledge-generating activities. What is not self-evident, however, is the contention that PHEs </w:t>
      </w:r>
      <w:r>
        <w:rPr>
          <w:sz w:val="20"/>
        </w:rPr>
        <w:t xml:space="preserve">generally will regard these financial considerations as more important than the </w:t>
      </w:r>
      <w:r w:rsidRPr="00F900C4">
        <w:rPr>
          <w:sz w:val="20"/>
        </w:rPr>
        <w:t xml:space="preserve">competing </w:t>
      </w:r>
      <w:r w:rsidR="00D44ECE">
        <w:rPr>
          <w:sz w:val="20"/>
        </w:rPr>
        <w:t>interest</w:t>
      </w:r>
      <w:r w:rsidRPr="00F900C4">
        <w:rPr>
          <w:sz w:val="20"/>
        </w:rPr>
        <w:t xml:space="preserve">s of patients and research participants.    </w:t>
      </w:r>
    </w:p>
    <w:p w14:paraId="13C954B7" w14:textId="77777777" w:rsidR="00BB3FE0" w:rsidRPr="00F900C4" w:rsidRDefault="00BB3FE0">
      <w:pPr>
        <w:pStyle w:val="FootnoteText"/>
        <w:rPr>
          <w:sz w:val="20"/>
        </w:rPr>
      </w:pPr>
    </w:p>
  </w:footnote>
  <w:footnote w:id="108">
    <w:p w14:paraId="2DC39AD1" w14:textId="3763D4D7" w:rsidR="00BB3FE0" w:rsidRPr="00F900C4" w:rsidRDefault="00BB3FE0" w:rsidP="00DC75A5">
      <w:pPr>
        <w:pStyle w:val="FootnoteText"/>
        <w:ind w:firstLine="720"/>
        <w:rPr>
          <w:sz w:val="20"/>
        </w:rPr>
      </w:pPr>
      <w:r w:rsidRPr="00F900C4">
        <w:rPr>
          <w:rStyle w:val="FootnoteReference"/>
          <w:sz w:val="20"/>
        </w:rPr>
        <w:footnoteRef/>
      </w:r>
      <w:r>
        <w:rPr>
          <w:sz w:val="20"/>
        </w:rPr>
        <w:t xml:space="preserve"> </w:t>
      </w:r>
      <w:r w:rsidRPr="00F900C4">
        <w:rPr>
          <w:sz w:val="20"/>
        </w:rPr>
        <w:t>Elliott’s academic appointment is with the Center for Bioethics at the University of Minnesota, however, many of his recent publications are aimed at a popular audience an</w:t>
      </w:r>
      <w:r>
        <w:rPr>
          <w:sz w:val="20"/>
        </w:rPr>
        <w:t>d appear in mass market periodical</w:t>
      </w:r>
      <w:r w:rsidRPr="00F900C4">
        <w:rPr>
          <w:sz w:val="20"/>
        </w:rPr>
        <w:t xml:space="preserve">s like the </w:t>
      </w:r>
      <w:r w:rsidRPr="00F900C4">
        <w:rPr>
          <w:i/>
          <w:sz w:val="20"/>
        </w:rPr>
        <w:t>New Yorker</w:t>
      </w:r>
      <w:r w:rsidRPr="00F900C4">
        <w:rPr>
          <w:sz w:val="20"/>
        </w:rPr>
        <w:t xml:space="preserve"> and </w:t>
      </w:r>
      <w:r w:rsidRPr="00F900C4">
        <w:rPr>
          <w:i/>
          <w:sz w:val="20"/>
        </w:rPr>
        <w:t>The Atlantic</w:t>
      </w:r>
      <w:r w:rsidRPr="00F900C4">
        <w:rPr>
          <w:sz w:val="20"/>
        </w:rPr>
        <w:t>. Some of his most noteworthy articles have exposed abuses in human subjects’ research, and in recent years, Elliott has suggested that he has greater confidence in the ability of investigative journalists to promote the good of research participants than the efforts of practicing healthcare ethicists or of institutional review boards</w:t>
      </w:r>
      <w:r>
        <w:rPr>
          <w:sz w:val="20"/>
        </w:rPr>
        <w:t>:</w:t>
      </w:r>
      <w:r w:rsidRPr="00F900C4">
        <w:rPr>
          <w:sz w:val="20"/>
        </w:rPr>
        <w:t xml:space="preserve"> “A Conversation with writer and troublemaker Carl Elliott,” Part I, PLOS, </w:t>
      </w:r>
      <w:hyperlink r:id="rId12" w:history="1">
        <w:r w:rsidRPr="00964516">
          <w:rPr>
            <w:rStyle w:val="Hyperlink"/>
            <w:sz w:val="20"/>
            <w:szCs w:val="20"/>
          </w:rPr>
          <w:t>https://www.geneticsandsociety.org/article/conversation-writer-and-troublemaker-carl-elliott-parts-i-ii</w:t>
        </w:r>
      </w:hyperlink>
      <w:r>
        <w:rPr>
          <w:sz w:val="20"/>
        </w:rPr>
        <w:t>.</w:t>
      </w:r>
      <w:r w:rsidRPr="00F900C4">
        <w:rPr>
          <w:sz w:val="20"/>
        </w:rPr>
        <w:t xml:space="preserve"> Accessed: 27 April 2018.</w:t>
      </w:r>
    </w:p>
    <w:p w14:paraId="44170F74" w14:textId="77777777" w:rsidR="00BB3FE0" w:rsidRPr="00F900C4" w:rsidRDefault="00BB3FE0">
      <w:pPr>
        <w:pStyle w:val="FootnoteText"/>
        <w:rPr>
          <w:sz w:val="20"/>
        </w:rPr>
      </w:pPr>
      <w:r w:rsidRPr="00F900C4">
        <w:rPr>
          <w:sz w:val="20"/>
        </w:rPr>
        <w:t xml:space="preserve">        </w:t>
      </w:r>
    </w:p>
  </w:footnote>
  <w:footnote w:id="109">
    <w:p w14:paraId="43B8B294" w14:textId="77777777" w:rsidR="00BB3FE0" w:rsidRPr="00A94BD6" w:rsidRDefault="00BB3FE0" w:rsidP="00A94BD6">
      <w:pPr>
        <w:widowControl w:val="0"/>
        <w:ind w:firstLine="720"/>
        <w:rPr>
          <w:sz w:val="20"/>
        </w:rPr>
      </w:pPr>
      <w:r w:rsidRPr="00F900C4">
        <w:rPr>
          <w:rStyle w:val="FootnoteReference"/>
          <w:sz w:val="20"/>
        </w:rPr>
        <w:footnoteRef/>
      </w:r>
      <w:r w:rsidRPr="00F900C4">
        <w:rPr>
          <w:sz w:val="20"/>
        </w:rPr>
        <w:t xml:space="preserve"> See especially Carl Elliott’s “Throwing a bone to the watchdog.” </w:t>
      </w:r>
      <w:r>
        <w:rPr>
          <w:i/>
          <w:sz w:val="20"/>
        </w:rPr>
        <w:t xml:space="preserve">Hastings Center </w:t>
      </w:r>
      <w:r w:rsidRPr="00F900C4">
        <w:rPr>
          <w:i/>
          <w:sz w:val="20"/>
        </w:rPr>
        <w:t xml:space="preserve">Report </w:t>
      </w:r>
      <w:r>
        <w:rPr>
          <w:sz w:val="20"/>
        </w:rPr>
        <w:t>(2001), 9-12.</w:t>
      </w:r>
    </w:p>
  </w:footnote>
  <w:footnote w:id="110">
    <w:p w14:paraId="1FA79EA6" w14:textId="36A567AE" w:rsidR="00BB3FE0" w:rsidRDefault="00BB3FE0" w:rsidP="002C7BE3">
      <w:pPr>
        <w:pStyle w:val="FootnoteText"/>
        <w:ind w:firstLine="720"/>
        <w:rPr>
          <w:sz w:val="20"/>
        </w:rPr>
      </w:pPr>
      <w:r w:rsidRPr="002C7BE3">
        <w:rPr>
          <w:rStyle w:val="FootnoteReference"/>
          <w:sz w:val="20"/>
        </w:rPr>
        <w:footnoteRef/>
      </w:r>
      <w:r w:rsidRPr="002C7BE3">
        <w:rPr>
          <w:sz w:val="20"/>
        </w:rPr>
        <w:t xml:space="preserve"> </w:t>
      </w:r>
      <w:r>
        <w:rPr>
          <w:sz w:val="20"/>
        </w:rPr>
        <w:t>During the Council’s tenure a flood of articles were published by prominent bioethicists critiquing its composition as well as its specific recommendations. See, for example, “The Endarkenment” by R. Alta Charo in E</w:t>
      </w:r>
      <w:r w:rsidRPr="007B5C7B">
        <w:rPr>
          <w:sz w:val="20"/>
        </w:rPr>
        <w:t xml:space="preserve">ckenwiler &amp; Felicia Cohn (eds.), </w:t>
      </w:r>
      <w:r w:rsidRPr="007B5C7B">
        <w:rPr>
          <w:i/>
          <w:sz w:val="20"/>
        </w:rPr>
        <w:t>The Ethics of Bioethics: Mapping the Moral</w:t>
      </w:r>
      <w:r w:rsidRPr="007B5C7B">
        <w:rPr>
          <w:sz w:val="20"/>
        </w:rPr>
        <w:t xml:space="preserve"> </w:t>
      </w:r>
      <w:r w:rsidRPr="007B5C7B">
        <w:rPr>
          <w:i/>
          <w:sz w:val="20"/>
        </w:rPr>
        <w:t>Landscape.</w:t>
      </w:r>
      <w:r w:rsidRPr="007B5C7B">
        <w:rPr>
          <w:sz w:val="20"/>
        </w:rPr>
        <w:t xml:space="preserve"> Johns Hopkins University Press (2007)</w:t>
      </w:r>
      <w:r>
        <w:rPr>
          <w:sz w:val="20"/>
        </w:rPr>
        <w:t xml:space="preserve">. Contrary to Koch’s contention, most members of the field were far from supportive of what might have been described as the Council’s neo-conservative agenda. </w:t>
      </w:r>
    </w:p>
    <w:p w14:paraId="7C7E19B2" w14:textId="77777777" w:rsidR="00BB3FE0" w:rsidRDefault="00BB3FE0" w:rsidP="002C7BE3">
      <w:pPr>
        <w:pStyle w:val="FootnoteText"/>
        <w:ind w:firstLine="720"/>
      </w:pPr>
      <w:r>
        <w:rPr>
          <w:sz w:val="20"/>
        </w:rPr>
        <w:t xml:space="preserve">      </w:t>
      </w:r>
      <w:r w:rsidRPr="002C7BE3">
        <w:rPr>
          <w:sz w:val="20"/>
        </w:rPr>
        <w:t xml:space="preserve"> </w:t>
      </w:r>
    </w:p>
  </w:footnote>
  <w:footnote w:id="111">
    <w:p w14:paraId="0CACC83D" w14:textId="77777777" w:rsidR="00BB3FE0" w:rsidRPr="00973585" w:rsidRDefault="00BB3FE0" w:rsidP="00A94BD6">
      <w:pPr>
        <w:pStyle w:val="FootnoteText"/>
        <w:ind w:firstLine="720"/>
        <w:rPr>
          <w:sz w:val="20"/>
        </w:rPr>
      </w:pPr>
      <w:r w:rsidRPr="00973585">
        <w:rPr>
          <w:rStyle w:val="FootnoteReference"/>
          <w:sz w:val="20"/>
          <w:szCs w:val="20"/>
        </w:rPr>
        <w:footnoteRef/>
      </w:r>
      <w:r w:rsidRPr="00973585">
        <w:rPr>
          <w:sz w:val="20"/>
          <w:szCs w:val="20"/>
        </w:rPr>
        <w:t xml:space="preserve"> Mark B. Brown, Three Ways to Politicize Bioethics, </w:t>
      </w:r>
      <w:r w:rsidRPr="00973585">
        <w:rPr>
          <w:i/>
          <w:sz w:val="20"/>
          <w:szCs w:val="20"/>
        </w:rPr>
        <w:t xml:space="preserve">The American Journal of Bioethics </w:t>
      </w:r>
      <w:r w:rsidRPr="00973585">
        <w:rPr>
          <w:sz w:val="20"/>
          <w:szCs w:val="20"/>
        </w:rPr>
        <w:t>9 no. 2, (2009</w:t>
      </w:r>
      <w:r w:rsidRPr="00973585">
        <w:rPr>
          <w:sz w:val="20"/>
        </w:rPr>
        <w:t>): 44.</w:t>
      </w:r>
    </w:p>
  </w:footnote>
  <w:footnote w:id="112">
    <w:p w14:paraId="5B8A8854" w14:textId="77777777" w:rsidR="00BB3FE0" w:rsidRDefault="00BB3FE0" w:rsidP="00973585">
      <w:pPr>
        <w:pStyle w:val="FootnoteText"/>
        <w:ind w:firstLine="720"/>
      </w:pPr>
      <w:r w:rsidRPr="00973585">
        <w:rPr>
          <w:rStyle w:val="FootnoteReference"/>
          <w:sz w:val="20"/>
        </w:rPr>
        <w:footnoteRef/>
      </w:r>
      <w:r>
        <w:rPr>
          <w:sz w:val="20"/>
        </w:rPr>
        <w:t xml:space="preserve"> Ibid.</w:t>
      </w:r>
      <w:r w:rsidRPr="00973585">
        <w:rPr>
          <w:sz w:val="20"/>
        </w:rPr>
        <w:t xml:space="preserve"> </w:t>
      </w:r>
    </w:p>
  </w:footnote>
  <w:footnote w:id="113">
    <w:p w14:paraId="5753162C" w14:textId="645535C2" w:rsidR="00BB3FE0" w:rsidRDefault="00BB3FE0" w:rsidP="00CB2A5A">
      <w:pPr>
        <w:pStyle w:val="FootnoteText"/>
        <w:ind w:firstLine="720"/>
      </w:pPr>
      <w:r w:rsidRPr="00CB2A5A">
        <w:rPr>
          <w:rStyle w:val="FootnoteReference"/>
          <w:sz w:val="20"/>
        </w:rPr>
        <w:footnoteRef/>
      </w:r>
      <w:r w:rsidRPr="00CB2A5A">
        <w:rPr>
          <w:sz w:val="20"/>
        </w:rPr>
        <w:t xml:space="preserve"> Principlism, most often identified with </w:t>
      </w:r>
      <w:r>
        <w:rPr>
          <w:sz w:val="20"/>
        </w:rPr>
        <w:t xml:space="preserve">the work of </w:t>
      </w:r>
      <w:r w:rsidRPr="00CB2A5A">
        <w:rPr>
          <w:sz w:val="20"/>
        </w:rPr>
        <w:t>Tom L. Beauchamp and James F. Childress, is one of most recognizable frameworks for ethical decision-making. The principles in which it is grounded are autonomy, beneficence, non-maleficence, and justice.</w:t>
      </w:r>
      <w:r>
        <w:rPr>
          <w:sz w:val="20"/>
        </w:rPr>
        <w:t xml:space="preserve"> Beauchamp and Childress have clarified that they see do not see these principles as occupying all of the space that is available for moral reasoning. Instead they suggest that they should “function as an analytic framework that expresses the general values underlying rules in the common morality” or serve as “guidelines for professional ethics.” See: Beauchamp, Tom L. and James F. Childress, </w:t>
      </w:r>
      <w:r w:rsidRPr="000D367B">
        <w:rPr>
          <w:i/>
          <w:sz w:val="20"/>
        </w:rPr>
        <w:t>Principles of Biomedical Ethics</w:t>
      </w:r>
      <w:r>
        <w:rPr>
          <w:sz w:val="20"/>
        </w:rPr>
        <w:t xml:space="preserve">, Fifth ed.,12. Unfortunately, the language of rules and the crude application of principles to cases can support precisely the sort of engineering approach to ethics that many of its critics deride. My view is that while it can support such an approach, it is not inevitable that it do so.        </w:t>
      </w:r>
    </w:p>
  </w:footnote>
  <w:footnote w:id="114">
    <w:p w14:paraId="29866962" w14:textId="77777777" w:rsidR="00BB3FE0" w:rsidRDefault="00BB3FE0" w:rsidP="00DC75A5">
      <w:pPr>
        <w:pStyle w:val="FootnoteText"/>
        <w:ind w:firstLine="720"/>
        <w:rPr>
          <w:sz w:val="20"/>
          <w:szCs w:val="20"/>
        </w:rPr>
      </w:pPr>
      <w:r w:rsidRPr="00F900C4">
        <w:rPr>
          <w:rStyle w:val="FootnoteReference"/>
          <w:sz w:val="20"/>
          <w:szCs w:val="20"/>
        </w:rPr>
        <w:footnoteRef/>
      </w:r>
      <w:r w:rsidRPr="00F900C4">
        <w:rPr>
          <w:sz w:val="20"/>
          <w:szCs w:val="20"/>
        </w:rPr>
        <w:t xml:space="preserve"> Koch, 111.</w:t>
      </w:r>
      <w:r>
        <w:rPr>
          <w:sz w:val="20"/>
          <w:szCs w:val="20"/>
        </w:rPr>
        <w:t xml:space="preserve"> Earlier, I made reference to the very interesting question of whether PHEs should take legal standards to be binding in all cases. Whether laws constitute porous or impermeable boundaries in a case may depend on a number of variables (such as whether the law is habitually disobeyed and what the penalties for disobedience are likely to be) which will not be addressed here. These are questions which could very fruitfully be addressed via the establishment of practice standards should PHEs succeed in becoming a regulated healthcare profession.    </w:t>
      </w:r>
    </w:p>
    <w:p w14:paraId="24858E73" w14:textId="77777777" w:rsidR="00BB3FE0" w:rsidRPr="00DC75A5" w:rsidRDefault="00BB3FE0">
      <w:pPr>
        <w:pStyle w:val="FootnoteText"/>
        <w:rPr>
          <w:sz w:val="20"/>
          <w:szCs w:val="20"/>
        </w:rPr>
      </w:pPr>
      <w:r>
        <w:rPr>
          <w:sz w:val="20"/>
          <w:szCs w:val="20"/>
        </w:rPr>
        <w:tab/>
      </w:r>
    </w:p>
  </w:footnote>
  <w:footnote w:id="115">
    <w:p w14:paraId="32B68DF2" w14:textId="77777777" w:rsidR="00BB3FE0" w:rsidRDefault="00BB3FE0" w:rsidP="00DC75A5">
      <w:pPr>
        <w:pStyle w:val="FootnoteText"/>
        <w:ind w:firstLine="720"/>
        <w:rPr>
          <w:sz w:val="20"/>
          <w:szCs w:val="20"/>
        </w:rPr>
      </w:pPr>
      <w:r w:rsidRPr="00F900C4">
        <w:rPr>
          <w:rStyle w:val="FootnoteReference"/>
          <w:sz w:val="20"/>
          <w:szCs w:val="20"/>
        </w:rPr>
        <w:footnoteRef/>
      </w:r>
      <w:r w:rsidRPr="00F900C4">
        <w:rPr>
          <w:sz w:val="20"/>
          <w:szCs w:val="20"/>
        </w:rPr>
        <w:t xml:space="preserve"> Ibid.</w:t>
      </w:r>
    </w:p>
    <w:p w14:paraId="20705149" w14:textId="77777777" w:rsidR="00BB3FE0" w:rsidRPr="007F433B" w:rsidRDefault="00BB3FE0" w:rsidP="00DC75A5">
      <w:pPr>
        <w:pStyle w:val="FootnoteText"/>
        <w:ind w:firstLine="720"/>
        <w:rPr>
          <w:sz w:val="20"/>
        </w:rPr>
      </w:pPr>
    </w:p>
  </w:footnote>
  <w:footnote w:id="116">
    <w:p w14:paraId="0FEB253B" w14:textId="6E35A7D8" w:rsidR="00BB3FE0" w:rsidRPr="007F433B" w:rsidRDefault="00BB3FE0" w:rsidP="007F433B">
      <w:pPr>
        <w:pStyle w:val="FootnoteText"/>
        <w:ind w:firstLine="720"/>
        <w:rPr>
          <w:sz w:val="20"/>
        </w:rPr>
      </w:pPr>
      <w:r w:rsidRPr="007F433B">
        <w:rPr>
          <w:rStyle w:val="FootnoteReference"/>
          <w:sz w:val="20"/>
        </w:rPr>
        <w:footnoteRef/>
      </w:r>
      <w:r w:rsidRPr="007F433B">
        <w:rPr>
          <w:sz w:val="20"/>
        </w:rPr>
        <w:t xml:space="preserve"> </w:t>
      </w:r>
      <w:r>
        <w:rPr>
          <w:sz w:val="20"/>
        </w:rPr>
        <w:t xml:space="preserve">I leave aside the question of whether an ethicist should ever recommend a course of action which conflicts with the law or with policies set by the colleges of the regulated health professions, or of the institution that employs the PHE and those seeking her counsel. This question is an important one which has interesting parallels in jurisprudential debate. As PHEs explore professionalization, they may benefit from engagement with a broader literature which is careful to distinguish law from morality and which looks at the question of obedience to so-called wicked law.  </w:t>
      </w:r>
    </w:p>
  </w:footnote>
  <w:footnote w:id="117">
    <w:p w14:paraId="12C8C39B" w14:textId="23B90DC5" w:rsidR="00BB3FE0" w:rsidRDefault="00BB3FE0">
      <w:pPr>
        <w:pStyle w:val="FootnoteText"/>
      </w:pPr>
      <w:r>
        <w:tab/>
      </w:r>
      <w:r w:rsidRPr="00964516">
        <w:rPr>
          <w:rStyle w:val="FootnoteReference"/>
          <w:sz w:val="20"/>
          <w:szCs w:val="20"/>
        </w:rPr>
        <w:footnoteRef/>
      </w:r>
      <w:r w:rsidRPr="00964516">
        <w:rPr>
          <w:sz w:val="20"/>
          <w:szCs w:val="20"/>
        </w:rPr>
        <w:t xml:space="preserve"> </w:t>
      </w:r>
      <w:r w:rsidRPr="00E14FFD">
        <w:rPr>
          <w:sz w:val="20"/>
          <w:szCs w:val="20"/>
        </w:rPr>
        <w:t>See especially: Margaret Urban Wal</w:t>
      </w:r>
      <w:r w:rsidRPr="004A7C61">
        <w:rPr>
          <w:sz w:val="20"/>
          <w:szCs w:val="20"/>
        </w:rPr>
        <w:t>ker’s “Keeping Moral Space</w:t>
      </w:r>
      <w:r>
        <w:rPr>
          <w:sz w:val="20"/>
        </w:rPr>
        <w:t xml:space="preserve"> Open: New Images of Ethics Consulting” in the </w:t>
      </w:r>
      <w:r w:rsidRPr="000D367B">
        <w:rPr>
          <w:i/>
          <w:sz w:val="20"/>
        </w:rPr>
        <w:t>Hastings Center Report</w:t>
      </w:r>
      <w:r>
        <w:rPr>
          <w:sz w:val="20"/>
        </w:rPr>
        <w:t xml:space="preserve"> 23.2 (1993), 35.        </w:t>
      </w:r>
    </w:p>
  </w:footnote>
  <w:footnote w:id="118">
    <w:p w14:paraId="4AFFF564" w14:textId="3EB8D4B6" w:rsidR="00BB3FE0" w:rsidRDefault="00BB3FE0" w:rsidP="00795F72">
      <w:pPr>
        <w:pStyle w:val="FootnoteText"/>
        <w:ind w:firstLine="720"/>
        <w:rPr>
          <w:sz w:val="20"/>
        </w:rPr>
      </w:pPr>
      <w:r w:rsidRPr="00DF6A04">
        <w:rPr>
          <w:rStyle w:val="FootnoteReference"/>
          <w:sz w:val="20"/>
        </w:rPr>
        <w:footnoteRef/>
      </w:r>
      <w:r w:rsidRPr="00DF6A04">
        <w:rPr>
          <w:sz w:val="20"/>
        </w:rPr>
        <w:t xml:space="preserve"> Joan Tronto, “Who is authorized to do ethics? Inherently political dimensions of applied ethics,” </w:t>
      </w:r>
      <w:r w:rsidRPr="00DF6A04">
        <w:rPr>
          <w:i/>
          <w:sz w:val="20"/>
        </w:rPr>
        <w:t>Ethical Theory and Moral Practice</w:t>
      </w:r>
      <w:r w:rsidRPr="00DF6A04">
        <w:rPr>
          <w:sz w:val="20"/>
        </w:rPr>
        <w:t xml:space="preserve">, 14.4 (2011), 414. </w:t>
      </w:r>
    </w:p>
    <w:p w14:paraId="5875D691" w14:textId="77777777" w:rsidR="00BB3FE0" w:rsidRPr="00DF6A04" w:rsidRDefault="00BB3FE0" w:rsidP="00795F72">
      <w:pPr>
        <w:pStyle w:val="FootnoteText"/>
        <w:ind w:firstLine="720"/>
        <w:rPr>
          <w:sz w:val="20"/>
        </w:rPr>
      </w:pPr>
    </w:p>
  </w:footnote>
  <w:footnote w:id="119">
    <w:p w14:paraId="3BB55F54" w14:textId="1B750C4C" w:rsidR="00BB3FE0" w:rsidRDefault="00BB3FE0" w:rsidP="00CC02EB">
      <w:pPr>
        <w:pStyle w:val="FootnoteText"/>
        <w:ind w:firstLine="720"/>
      </w:pPr>
      <w:r w:rsidRPr="00DF6A04">
        <w:rPr>
          <w:rStyle w:val="FootnoteReference"/>
          <w:sz w:val="20"/>
        </w:rPr>
        <w:footnoteRef/>
      </w:r>
      <w:r>
        <w:rPr>
          <w:sz w:val="20"/>
        </w:rPr>
        <w:t xml:space="preserve"> </w:t>
      </w:r>
      <w:r w:rsidRPr="00DF6A04">
        <w:rPr>
          <w:sz w:val="20"/>
        </w:rPr>
        <w:t>Ibid., 414.</w:t>
      </w:r>
    </w:p>
  </w:footnote>
  <w:footnote w:id="120">
    <w:p w14:paraId="3816ED83" w14:textId="77777777" w:rsidR="00BB3FE0" w:rsidRPr="0040224A" w:rsidRDefault="00BB3FE0" w:rsidP="00B427E7">
      <w:pPr>
        <w:pStyle w:val="FootnoteText"/>
        <w:ind w:firstLine="720"/>
        <w:rPr>
          <w:sz w:val="20"/>
          <w:szCs w:val="20"/>
        </w:rPr>
      </w:pPr>
      <w:r w:rsidRPr="0040224A">
        <w:rPr>
          <w:rStyle w:val="FootnoteReference"/>
          <w:sz w:val="20"/>
          <w:szCs w:val="20"/>
        </w:rPr>
        <w:footnoteRef/>
      </w:r>
      <w:r>
        <w:rPr>
          <w:sz w:val="20"/>
          <w:szCs w:val="20"/>
        </w:rPr>
        <w:t xml:space="preserve"> </w:t>
      </w:r>
      <w:r w:rsidRPr="0040224A">
        <w:rPr>
          <w:sz w:val="20"/>
          <w:szCs w:val="20"/>
        </w:rPr>
        <w:t>Tronto, 416.</w:t>
      </w:r>
    </w:p>
    <w:p w14:paraId="62A285D1" w14:textId="77777777" w:rsidR="00BB3FE0" w:rsidRPr="0040224A" w:rsidRDefault="00BB3FE0" w:rsidP="00B427E7">
      <w:pPr>
        <w:pStyle w:val="FootnoteText"/>
        <w:ind w:firstLine="720"/>
        <w:rPr>
          <w:sz w:val="20"/>
          <w:szCs w:val="20"/>
        </w:rPr>
      </w:pPr>
    </w:p>
  </w:footnote>
  <w:footnote w:id="121">
    <w:p w14:paraId="0BE615BC" w14:textId="746578C7" w:rsidR="00BB3FE0" w:rsidRDefault="00BB3FE0" w:rsidP="00B427E7">
      <w:pPr>
        <w:pStyle w:val="FootnoteText"/>
        <w:ind w:firstLine="720"/>
        <w:rPr>
          <w:sz w:val="20"/>
          <w:szCs w:val="20"/>
        </w:rPr>
      </w:pPr>
      <w:r w:rsidRPr="0040224A">
        <w:rPr>
          <w:rStyle w:val="FootnoteReference"/>
          <w:sz w:val="20"/>
          <w:szCs w:val="20"/>
        </w:rPr>
        <w:footnoteRef/>
      </w:r>
      <w:r>
        <w:rPr>
          <w:sz w:val="20"/>
          <w:szCs w:val="20"/>
        </w:rPr>
        <w:t xml:space="preserve"> </w:t>
      </w:r>
      <w:r w:rsidRPr="0040224A">
        <w:rPr>
          <w:sz w:val="20"/>
          <w:szCs w:val="20"/>
        </w:rPr>
        <w:t>Ibid.</w:t>
      </w:r>
    </w:p>
    <w:p w14:paraId="337FA490" w14:textId="77777777" w:rsidR="00BB3FE0" w:rsidRPr="0040224A" w:rsidRDefault="00BB3FE0" w:rsidP="00E14FFD">
      <w:pPr>
        <w:pStyle w:val="FootnoteText"/>
        <w:ind w:firstLine="720"/>
        <w:rPr>
          <w:sz w:val="20"/>
          <w:szCs w:val="20"/>
        </w:rPr>
      </w:pPr>
    </w:p>
  </w:footnote>
  <w:footnote w:id="122">
    <w:p w14:paraId="42D8FA36" w14:textId="77777777" w:rsidR="00BB3FE0" w:rsidRDefault="00BB3FE0" w:rsidP="0040224A">
      <w:pPr>
        <w:pStyle w:val="FootnoteText"/>
        <w:ind w:firstLine="720"/>
        <w:rPr>
          <w:sz w:val="20"/>
        </w:rPr>
      </w:pPr>
      <w:r w:rsidRPr="00DF6A04">
        <w:rPr>
          <w:rStyle w:val="FootnoteReference"/>
          <w:sz w:val="20"/>
        </w:rPr>
        <w:footnoteRef/>
      </w:r>
      <w:r w:rsidRPr="00DF6A04">
        <w:rPr>
          <w:sz w:val="20"/>
        </w:rPr>
        <w:t xml:space="preserve"> Tronto, 413.</w:t>
      </w:r>
    </w:p>
    <w:p w14:paraId="1903B18D" w14:textId="77777777" w:rsidR="00BB3FE0" w:rsidRPr="0040224A" w:rsidRDefault="00BB3FE0" w:rsidP="0040224A">
      <w:pPr>
        <w:pStyle w:val="FootnoteText"/>
        <w:ind w:firstLine="720"/>
        <w:rPr>
          <w:sz w:val="20"/>
        </w:rPr>
      </w:pPr>
    </w:p>
  </w:footnote>
  <w:footnote w:id="123">
    <w:p w14:paraId="030440D1" w14:textId="2572F384" w:rsidR="00BB3FE0" w:rsidRPr="001A0A11" w:rsidRDefault="00BB3FE0" w:rsidP="00D57F83">
      <w:pPr>
        <w:pStyle w:val="FootnoteText"/>
        <w:ind w:firstLine="720"/>
        <w:rPr>
          <w:sz w:val="20"/>
          <w:szCs w:val="20"/>
        </w:rPr>
      </w:pPr>
      <w:r w:rsidRPr="00D57F83">
        <w:rPr>
          <w:rStyle w:val="FootnoteReference"/>
          <w:sz w:val="20"/>
        </w:rPr>
        <w:footnoteRef/>
      </w:r>
      <w:r w:rsidRPr="00D57F83">
        <w:rPr>
          <w:sz w:val="20"/>
        </w:rPr>
        <w:t xml:space="preserve"> Indeed</w:t>
      </w:r>
      <w:r>
        <w:rPr>
          <w:sz w:val="20"/>
        </w:rPr>
        <w:t xml:space="preserve">, Tronto cited Caplan’s experiences in order to provide clear illustrations of some ways that ethicists can, and ought to, use their role-based authority to reduce power differentials in very hierarchical settings such as bedside teaching rounds. She is not so naïve as to imagine that the PHE will always prevail, but she appears to be optimistic enough to countenance an institutional ethics practice which permits the consultant to engage strategically in the art of </w:t>
      </w:r>
      <w:r w:rsidRPr="001A0A11">
        <w:rPr>
          <w:sz w:val="20"/>
          <w:szCs w:val="20"/>
        </w:rPr>
        <w:t>compromise without becoming hopelessly compromised.</w:t>
      </w:r>
    </w:p>
    <w:p w14:paraId="45F4E6C5" w14:textId="755C4D06" w:rsidR="00BB3FE0" w:rsidRPr="005D3E46" w:rsidRDefault="00BB3FE0" w:rsidP="005D3E46">
      <w:pPr>
        <w:pStyle w:val="FootnoteText"/>
        <w:ind w:firstLine="720"/>
        <w:rPr>
          <w:sz w:val="20"/>
        </w:rPr>
      </w:pPr>
      <w:r w:rsidRPr="001A0A11">
        <w:rPr>
          <w:sz w:val="20"/>
          <w:szCs w:val="20"/>
        </w:rPr>
        <w:t xml:space="preserve">I would not suggest that this aspect of the work is easy or uncontroversial. As a member of the ASBH task force that drafted the code of ethics for practicing </w:t>
      </w:r>
      <w:r>
        <w:rPr>
          <w:sz w:val="20"/>
          <w:szCs w:val="20"/>
        </w:rPr>
        <w:t xml:space="preserve">healthcare </w:t>
      </w:r>
      <w:r w:rsidRPr="001A0A11">
        <w:rPr>
          <w:sz w:val="20"/>
          <w:szCs w:val="20"/>
        </w:rPr>
        <w:t>ethicists, I can attest that the code element that spoke to the obligation to “Promote Just Health Care” was the one which generated the most vigorous discussions within the group</w:t>
      </w:r>
      <w:r>
        <w:rPr>
          <w:sz w:val="20"/>
        </w:rPr>
        <w:t xml:space="preserve">. For further discussion see: A. J. </w:t>
      </w:r>
      <w:r w:rsidRPr="005D3E46">
        <w:rPr>
          <w:sz w:val="20"/>
        </w:rPr>
        <w:t xml:space="preserve">Tarzian, </w:t>
      </w:r>
      <w:r>
        <w:rPr>
          <w:sz w:val="20"/>
        </w:rPr>
        <w:t xml:space="preserve">L.D. </w:t>
      </w:r>
      <w:r w:rsidRPr="005D3E46">
        <w:rPr>
          <w:sz w:val="20"/>
        </w:rPr>
        <w:t xml:space="preserve">Wocial, and the ASBH Clinical Ethics Consultation Affairs Committee. “A Code of Ethics for Health Care Ethics Consultants: Journey to the Present and Implications for the Field.” </w:t>
      </w:r>
      <w:r w:rsidRPr="005D3E46">
        <w:rPr>
          <w:i/>
          <w:sz w:val="20"/>
        </w:rPr>
        <w:t>American Journal of Bioethics</w:t>
      </w:r>
      <w:r>
        <w:rPr>
          <w:sz w:val="20"/>
        </w:rPr>
        <w:t xml:space="preserve"> </w:t>
      </w:r>
      <w:r w:rsidRPr="005D3E46">
        <w:rPr>
          <w:sz w:val="20"/>
        </w:rPr>
        <w:t>15.5 (2015): 38-51.</w:t>
      </w:r>
    </w:p>
    <w:p w14:paraId="3DBF3016" w14:textId="417F5EEE" w:rsidR="00BB3FE0" w:rsidRDefault="00BB3FE0" w:rsidP="00D57F83">
      <w:pPr>
        <w:pStyle w:val="FootnoteText"/>
        <w:ind w:firstLine="720"/>
      </w:pPr>
      <w:r>
        <w:rPr>
          <w:sz w:val="20"/>
        </w:rPr>
        <w:t xml:space="preserve">         </w:t>
      </w:r>
    </w:p>
  </w:footnote>
  <w:footnote w:id="124">
    <w:p w14:paraId="6AA488DE" w14:textId="3761BDF9" w:rsidR="00BB3FE0" w:rsidRPr="0058476D" w:rsidRDefault="00BB3FE0" w:rsidP="00A835BA">
      <w:pPr>
        <w:pStyle w:val="FootnoteText"/>
        <w:ind w:firstLine="720"/>
        <w:rPr>
          <w:sz w:val="20"/>
          <w:szCs w:val="20"/>
        </w:rPr>
      </w:pPr>
      <w:r w:rsidRPr="0058476D">
        <w:rPr>
          <w:rStyle w:val="FootnoteReference"/>
          <w:sz w:val="20"/>
        </w:rPr>
        <w:footnoteRef/>
      </w:r>
      <w:r>
        <w:rPr>
          <w:sz w:val="20"/>
        </w:rPr>
        <w:t xml:space="preserve"> Even an ethics consultation</w:t>
      </w:r>
      <w:r w:rsidRPr="0058476D">
        <w:rPr>
          <w:sz w:val="20"/>
        </w:rPr>
        <w:t xml:space="preserve"> </w:t>
      </w:r>
      <w:r>
        <w:rPr>
          <w:sz w:val="20"/>
        </w:rPr>
        <w:t xml:space="preserve">which explicitly acknowledges the influences of racism and poverty in shaping Malek’s past, and his prospects for the future, will have only a limited prospect of addressing these variables in ways that can meet his needs. A skilled PHE should be capable of mediating discussions between members of a </w:t>
      </w:r>
      <w:r>
        <w:rPr>
          <w:sz w:val="20"/>
          <w:szCs w:val="20"/>
        </w:rPr>
        <w:t>clinical team that has</w:t>
      </w:r>
      <w:r w:rsidRPr="0058476D">
        <w:rPr>
          <w:sz w:val="20"/>
          <w:szCs w:val="20"/>
        </w:rPr>
        <w:t xml:space="preserve"> become divided over his </w:t>
      </w:r>
      <w:r>
        <w:rPr>
          <w:sz w:val="20"/>
          <w:szCs w:val="20"/>
        </w:rPr>
        <w:t xml:space="preserve">expressions of anger, but she will not be able to guarantee that he has access to discharge destinations that are barrier-free in all of the ways that he requires. This is not to suggest, however, that the healthcare ethicist has no role in addressing these issues in other ways (policy, advocacy, and education come to mind) and in other venues. How much professional responsibility a PHE should take for advocacy work is a complex matter which is acknowledged, but cannot fully be addressed, by this project. </w:t>
      </w:r>
    </w:p>
  </w:footnote>
  <w:footnote w:id="125">
    <w:p w14:paraId="4523946D" w14:textId="3CBB2CD5" w:rsidR="00BB3FE0" w:rsidRPr="00006F1F" w:rsidRDefault="00BB3FE0" w:rsidP="00805557">
      <w:pPr>
        <w:pStyle w:val="FootnoteText"/>
        <w:ind w:firstLine="720"/>
        <w:rPr>
          <w:sz w:val="20"/>
          <w:szCs w:val="20"/>
        </w:rPr>
      </w:pPr>
      <w:r w:rsidRPr="0058476D">
        <w:rPr>
          <w:rStyle w:val="FootnoteReference"/>
          <w:sz w:val="20"/>
          <w:szCs w:val="20"/>
        </w:rPr>
        <w:footnoteRef/>
      </w:r>
      <w:r>
        <w:rPr>
          <w:sz w:val="20"/>
          <w:szCs w:val="20"/>
        </w:rPr>
        <w:t xml:space="preserve"> </w:t>
      </w:r>
      <w:r w:rsidRPr="0058476D">
        <w:rPr>
          <w:sz w:val="20"/>
          <w:szCs w:val="20"/>
        </w:rPr>
        <w:t>Susan Sherwin</w:t>
      </w:r>
      <w:r>
        <w:rPr>
          <w:sz w:val="20"/>
          <w:szCs w:val="20"/>
        </w:rPr>
        <w:t xml:space="preserve">. Whither Bioethics? How Feminism Can Help Reorient Bioethics, </w:t>
      </w:r>
      <w:r w:rsidRPr="00006F1F">
        <w:rPr>
          <w:i/>
          <w:sz w:val="20"/>
          <w:szCs w:val="20"/>
        </w:rPr>
        <w:t>International Journal of Feminist Approaches to Bioethics</w:t>
      </w:r>
      <w:r>
        <w:rPr>
          <w:sz w:val="20"/>
          <w:szCs w:val="20"/>
        </w:rPr>
        <w:t xml:space="preserve"> 1.1 (2008), 23-24.</w:t>
      </w:r>
      <w:r w:rsidRPr="00006F1F">
        <w:t xml:space="preserve"> </w:t>
      </w:r>
    </w:p>
    <w:p w14:paraId="0101E308" w14:textId="77777777" w:rsidR="00BB3FE0" w:rsidRPr="00006F1F" w:rsidRDefault="00BB3FE0" w:rsidP="00805557">
      <w:pPr>
        <w:pStyle w:val="FootnoteText"/>
        <w:ind w:firstLine="720"/>
        <w:rPr>
          <w:sz w:val="20"/>
          <w:szCs w:val="20"/>
        </w:rPr>
      </w:pPr>
      <w:r w:rsidRPr="00006F1F">
        <w:rPr>
          <w:sz w:val="20"/>
          <w:szCs w:val="20"/>
        </w:rPr>
        <w:t xml:space="preserve"> </w:t>
      </w:r>
    </w:p>
  </w:footnote>
  <w:footnote w:id="126">
    <w:p w14:paraId="406F5DAF" w14:textId="77777777" w:rsidR="00BB3FE0" w:rsidRDefault="00BB3FE0" w:rsidP="001D2037">
      <w:pPr>
        <w:pStyle w:val="FootnoteText"/>
        <w:ind w:firstLine="720"/>
        <w:rPr>
          <w:sz w:val="20"/>
        </w:rPr>
      </w:pPr>
      <w:r w:rsidRPr="001D2037">
        <w:rPr>
          <w:rStyle w:val="FootnoteReference"/>
          <w:sz w:val="20"/>
        </w:rPr>
        <w:footnoteRef/>
      </w:r>
      <w:r w:rsidRPr="001D2037">
        <w:rPr>
          <w:sz w:val="20"/>
        </w:rPr>
        <w:t xml:space="preserve"> </w:t>
      </w:r>
      <w:r w:rsidRPr="001D2037">
        <w:rPr>
          <w:sz w:val="20"/>
          <w:szCs w:val="20"/>
        </w:rPr>
        <w:t>Ibid., 12.</w:t>
      </w:r>
    </w:p>
    <w:p w14:paraId="0B69C9C3" w14:textId="77777777" w:rsidR="00BB3FE0" w:rsidRPr="001D2037" w:rsidRDefault="00BB3FE0" w:rsidP="001D2037">
      <w:pPr>
        <w:pStyle w:val="FootnoteText"/>
        <w:ind w:firstLine="720"/>
        <w:rPr>
          <w:sz w:val="20"/>
          <w:szCs w:val="20"/>
        </w:rPr>
      </w:pPr>
    </w:p>
  </w:footnote>
  <w:footnote w:id="127">
    <w:p w14:paraId="746DEBD8" w14:textId="77777777" w:rsidR="00BB3FE0" w:rsidRDefault="00BB3FE0" w:rsidP="00A835BA">
      <w:pPr>
        <w:pStyle w:val="FootnoteText"/>
        <w:ind w:firstLine="720"/>
        <w:rPr>
          <w:sz w:val="20"/>
          <w:szCs w:val="20"/>
        </w:rPr>
      </w:pPr>
      <w:r>
        <w:rPr>
          <w:rStyle w:val="FootnoteReference"/>
        </w:rPr>
        <w:footnoteRef/>
      </w:r>
      <w:r>
        <w:rPr>
          <w:sz w:val="20"/>
          <w:szCs w:val="20"/>
        </w:rPr>
        <w:t xml:space="preserve"> Ibid., 14.</w:t>
      </w:r>
    </w:p>
    <w:p w14:paraId="37FDAB8A" w14:textId="77777777" w:rsidR="00BB3FE0" w:rsidRPr="001D2037" w:rsidRDefault="00BB3FE0" w:rsidP="00A835BA">
      <w:pPr>
        <w:pStyle w:val="FootnoteText"/>
        <w:ind w:firstLine="720"/>
        <w:rPr>
          <w:sz w:val="20"/>
          <w:szCs w:val="20"/>
        </w:rPr>
      </w:pPr>
    </w:p>
  </w:footnote>
  <w:footnote w:id="128">
    <w:p w14:paraId="19AAA088" w14:textId="3BC1D060" w:rsidR="00BB3FE0" w:rsidRPr="001D2037" w:rsidRDefault="00BB3FE0" w:rsidP="001D2037">
      <w:pPr>
        <w:pStyle w:val="FootnoteText"/>
        <w:ind w:firstLine="720"/>
        <w:rPr>
          <w:sz w:val="20"/>
          <w:szCs w:val="20"/>
        </w:rPr>
      </w:pPr>
      <w:r w:rsidRPr="001D2037">
        <w:rPr>
          <w:rStyle w:val="FootnoteReference"/>
          <w:sz w:val="20"/>
          <w:szCs w:val="20"/>
        </w:rPr>
        <w:footnoteRef/>
      </w:r>
      <w:r>
        <w:rPr>
          <w:sz w:val="20"/>
          <w:szCs w:val="20"/>
        </w:rPr>
        <w:t xml:space="preserve"> I</w:t>
      </w:r>
      <w:r w:rsidRPr="001D2037">
        <w:rPr>
          <w:sz w:val="20"/>
          <w:szCs w:val="20"/>
        </w:rPr>
        <w:t>bid</w:t>
      </w:r>
      <w:r>
        <w:rPr>
          <w:sz w:val="20"/>
          <w:szCs w:val="20"/>
        </w:rPr>
        <w:t>., 15.</w:t>
      </w:r>
      <w:r w:rsidRPr="001D2037">
        <w:rPr>
          <w:sz w:val="20"/>
          <w:szCs w:val="20"/>
        </w:rPr>
        <w:t xml:space="preserve"> </w:t>
      </w:r>
    </w:p>
  </w:footnote>
  <w:footnote w:id="129">
    <w:p w14:paraId="41DD3B40" w14:textId="77777777" w:rsidR="00BB3FE0" w:rsidRPr="00900C32" w:rsidRDefault="00BB3FE0" w:rsidP="00900C32">
      <w:pPr>
        <w:pStyle w:val="FootnoteText"/>
        <w:ind w:firstLine="720"/>
        <w:rPr>
          <w:sz w:val="20"/>
          <w:szCs w:val="20"/>
        </w:rPr>
      </w:pPr>
    </w:p>
    <w:p w14:paraId="5F36E8C7" w14:textId="77777777" w:rsidR="00BB3FE0" w:rsidRDefault="00BB3FE0" w:rsidP="00900C32">
      <w:pPr>
        <w:pStyle w:val="FootnoteText"/>
        <w:ind w:firstLine="720"/>
      </w:pPr>
      <w:r w:rsidRPr="00900C32">
        <w:rPr>
          <w:rStyle w:val="FootnoteReference"/>
          <w:sz w:val="20"/>
        </w:rPr>
        <w:footnoteRef/>
      </w:r>
      <w:r w:rsidRPr="00900C32">
        <w:rPr>
          <w:sz w:val="20"/>
        </w:rPr>
        <w:t xml:space="preserve"> </w:t>
      </w:r>
      <w:r>
        <w:rPr>
          <w:sz w:val="20"/>
        </w:rPr>
        <w:t>Ibid., 13.</w:t>
      </w:r>
    </w:p>
  </w:footnote>
  <w:footnote w:id="130">
    <w:p w14:paraId="588D1506" w14:textId="77777777" w:rsidR="00BB3FE0" w:rsidRPr="00ED70C9" w:rsidRDefault="00BB3FE0" w:rsidP="00446AD0">
      <w:pPr>
        <w:pStyle w:val="FootnoteText"/>
        <w:ind w:firstLine="720"/>
        <w:rPr>
          <w:sz w:val="20"/>
          <w:szCs w:val="20"/>
        </w:rPr>
      </w:pPr>
      <w:r w:rsidRPr="00446AD0">
        <w:rPr>
          <w:rStyle w:val="FootnoteReference"/>
          <w:sz w:val="20"/>
        </w:rPr>
        <w:footnoteRef/>
      </w:r>
      <w:r>
        <w:rPr>
          <w:sz w:val="20"/>
        </w:rPr>
        <w:t xml:space="preserve"> Horst W. J. Rittel </w:t>
      </w:r>
      <w:r w:rsidRPr="00ED70C9">
        <w:rPr>
          <w:sz w:val="20"/>
          <w:szCs w:val="20"/>
        </w:rPr>
        <w:t xml:space="preserve">and Melvin M. Webber. “Dilemmas in a General Theory of Planning,” </w:t>
      </w:r>
      <w:r w:rsidRPr="00ED70C9">
        <w:rPr>
          <w:i/>
          <w:sz w:val="20"/>
          <w:szCs w:val="20"/>
        </w:rPr>
        <w:t>Policy Sciences</w:t>
      </w:r>
      <w:r w:rsidRPr="00ED70C9">
        <w:rPr>
          <w:sz w:val="20"/>
          <w:szCs w:val="20"/>
        </w:rPr>
        <w:t xml:space="preserve"> 4.2 (1973), 160. </w:t>
      </w:r>
    </w:p>
    <w:p w14:paraId="376C7540" w14:textId="77777777" w:rsidR="00BB3FE0" w:rsidRPr="00ED70C9" w:rsidRDefault="00BB3FE0" w:rsidP="00446AD0">
      <w:pPr>
        <w:pStyle w:val="FootnoteText"/>
        <w:ind w:firstLine="720"/>
        <w:rPr>
          <w:sz w:val="20"/>
          <w:szCs w:val="20"/>
        </w:rPr>
      </w:pPr>
    </w:p>
  </w:footnote>
  <w:footnote w:id="131">
    <w:p w14:paraId="278C1948" w14:textId="4B8259C0" w:rsidR="00BB3FE0" w:rsidRDefault="00BB3FE0" w:rsidP="00D973A4">
      <w:pPr>
        <w:pStyle w:val="FootnoteText"/>
        <w:ind w:firstLine="720"/>
        <w:rPr>
          <w:sz w:val="20"/>
          <w:szCs w:val="20"/>
        </w:rPr>
      </w:pPr>
      <w:r w:rsidRPr="00ED70C9">
        <w:rPr>
          <w:rStyle w:val="FootnoteReference"/>
          <w:sz w:val="20"/>
          <w:szCs w:val="20"/>
        </w:rPr>
        <w:footnoteRef/>
      </w:r>
      <w:r w:rsidRPr="00ED70C9">
        <w:rPr>
          <w:sz w:val="20"/>
          <w:szCs w:val="20"/>
        </w:rPr>
        <w:t xml:space="preserve"> See, for example, Adrienne M. Young. “Solving the wicked problem of hospital malnutrition,” in </w:t>
      </w:r>
      <w:r w:rsidRPr="00ED70C9">
        <w:rPr>
          <w:i/>
          <w:sz w:val="20"/>
          <w:szCs w:val="20"/>
        </w:rPr>
        <w:t xml:space="preserve">Nutrition and Dietetics </w:t>
      </w:r>
      <w:r>
        <w:rPr>
          <w:sz w:val="20"/>
          <w:szCs w:val="20"/>
        </w:rPr>
        <w:t>72 (2015), 200-204, or Carol A Heimer. “</w:t>
      </w:r>
      <w:r w:rsidRPr="00D973A4">
        <w:rPr>
          <w:sz w:val="20"/>
          <w:szCs w:val="20"/>
        </w:rPr>
        <w:t>‘Wicked’ ethics: Compliance work and the practice of ethics in HIV research</w:t>
      </w:r>
      <w:r>
        <w:rPr>
          <w:sz w:val="20"/>
          <w:szCs w:val="20"/>
        </w:rPr>
        <w:t xml:space="preserve">,” </w:t>
      </w:r>
      <w:r w:rsidRPr="00606D54">
        <w:rPr>
          <w:i/>
          <w:sz w:val="20"/>
          <w:szCs w:val="20"/>
        </w:rPr>
        <w:t>Social Science &amp; Medicine</w:t>
      </w:r>
      <w:r>
        <w:rPr>
          <w:sz w:val="20"/>
          <w:szCs w:val="20"/>
        </w:rPr>
        <w:t xml:space="preserve"> 98 (</w:t>
      </w:r>
      <w:r w:rsidRPr="00D973A4">
        <w:rPr>
          <w:sz w:val="20"/>
          <w:szCs w:val="20"/>
        </w:rPr>
        <w:t>2013</w:t>
      </w:r>
      <w:r>
        <w:rPr>
          <w:sz w:val="20"/>
          <w:szCs w:val="20"/>
        </w:rPr>
        <w:t xml:space="preserve">), </w:t>
      </w:r>
      <w:r w:rsidRPr="00D973A4">
        <w:rPr>
          <w:sz w:val="20"/>
          <w:szCs w:val="20"/>
        </w:rPr>
        <w:t>371-378</w:t>
      </w:r>
      <w:r>
        <w:rPr>
          <w:sz w:val="20"/>
          <w:szCs w:val="20"/>
        </w:rPr>
        <w:t>.</w:t>
      </w:r>
    </w:p>
    <w:p w14:paraId="62BA097E" w14:textId="77777777" w:rsidR="00BB3FE0" w:rsidRPr="00CF7FCF" w:rsidRDefault="00BB3FE0" w:rsidP="00D973A4">
      <w:pPr>
        <w:pStyle w:val="FootnoteText"/>
        <w:ind w:firstLine="720"/>
        <w:rPr>
          <w:sz w:val="20"/>
          <w:szCs w:val="20"/>
        </w:rPr>
      </w:pPr>
    </w:p>
  </w:footnote>
  <w:footnote w:id="132">
    <w:p w14:paraId="44B29F72" w14:textId="77777777" w:rsidR="00BB3FE0" w:rsidRDefault="00BB3FE0" w:rsidP="00A94BD6">
      <w:pPr>
        <w:pStyle w:val="FootnoteText"/>
        <w:ind w:firstLine="720"/>
        <w:rPr>
          <w:sz w:val="20"/>
        </w:rPr>
      </w:pPr>
      <w:r w:rsidRPr="00EF7D63">
        <w:rPr>
          <w:rStyle w:val="FootnoteReference"/>
          <w:sz w:val="20"/>
        </w:rPr>
        <w:footnoteRef/>
      </w:r>
      <w:r w:rsidRPr="00EF7D63">
        <w:rPr>
          <w:sz w:val="20"/>
        </w:rPr>
        <w:t xml:space="preserve"> Ibid.</w:t>
      </w:r>
    </w:p>
    <w:p w14:paraId="139BAC69" w14:textId="77777777" w:rsidR="00BB3FE0" w:rsidRPr="00EF7D63" w:rsidRDefault="00BB3FE0" w:rsidP="00A94BD6">
      <w:pPr>
        <w:pStyle w:val="FootnoteText"/>
        <w:ind w:firstLine="720"/>
        <w:rPr>
          <w:sz w:val="20"/>
        </w:rPr>
      </w:pPr>
    </w:p>
  </w:footnote>
  <w:footnote w:id="133">
    <w:p w14:paraId="5632035F" w14:textId="77777777" w:rsidR="00BB3FE0" w:rsidRDefault="00BB3FE0" w:rsidP="00BA5F7F">
      <w:pPr>
        <w:pStyle w:val="FootnoteText"/>
        <w:ind w:firstLine="720"/>
        <w:rPr>
          <w:sz w:val="20"/>
        </w:rPr>
      </w:pPr>
      <w:r w:rsidRPr="00EF7D63">
        <w:rPr>
          <w:rStyle w:val="FootnoteReference"/>
          <w:sz w:val="20"/>
        </w:rPr>
        <w:footnoteRef/>
      </w:r>
      <w:r w:rsidRPr="00EF7D63">
        <w:rPr>
          <w:sz w:val="20"/>
        </w:rPr>
        <w:t xml:space="preserve"> Ibid.</w:t>
      </w:r>
      <w:r>
        <w:rPr>
          <w:sz w:val="20"/>
        </w:rPr>
        <w:t>, 156.</w:t>
      </w:r>
    </w:p>
    <w:p w14:paraId="57B83B70" w14:textId="77777777" w:rsidR="00BB3FE0" w:rsidRPr="00606D54" w:rsidRDefault="00BB3FE0" w:rsidP="00BA5F7F">
      <w:pPr>
        <w:pStyle w:val="FootnoteText"/>
        <w:ind w:firstLine="720"/>
        <w:rPr>
          <w:sz w:val="20"/>
        </w:rPr>
      </w:pPr>
    </w:p>
  </w:footnote>
  <w:footnote w:id="134">
    <w:p w14:paraId="51CD0F0E" w14:textId="77777777" w:rsidR="00BB3FE0" w:rsidRDefault="00BB3FE0" w:rsidP="00606D54">
      <w:pPr>
        <w:pStyle w:val="FootnoteText"/>
        <w:ind w:firstLine="720"/>
        <w:rPr>
          <w:sz w:val="20"/>
        </w:rPr>
      </w:pPr>
      <w:r w:rsidRPr="00606D54">
        <w:rPr>
          <w:rStyle w:val="FootnoteReference"/>
          <w:sz w:val="20"/>
        </w:rPr>
        <w:footnoteRef/>
      </w:r>
      <w:r w:rsidRPr="00606D54">
        <w:rPr>
          <w:sz w:val="20"/>
        </w:rPr>
        <w:t xml:space="preserve"> For a superb treatment of the evolution of the professions in the United States, as well as an analysis of the debate surrounding the professional status of clinical ethics consultants see Deborah S. Cummins, “Professional Status of Bioethics Consultation.” </w:t>
      </w:r>
      <w:r w:rsidRPr="00606D54">
        <w:rPr>
          <w:i/>
          <w:sz w:val="20"/>
        </w:rPr>
        <w:t>Theoretical Medicine</w:t>
      </w:r>
      <w:r w:rsidRPr="00606D54">
        <w:rPr>
          <w:sz w:val="20"/>
        </w:rPr>
        <w:t xml:space="preserve"> 23 (2002), 19-43.   </w:t>
      </w:r>
    </w:p>
    <w:p w14:paraId="42C75DFC" w14:textId="77777777" w:rsidR="00BB3FE0" w:rsidRPr="00606D54" w:rsidRDefault="00BB3FE0" w:rsidP="00606D54">
      <w:pPr>
        <w:pStyle w:val="FootnoteText"/>
        <w:ind w:firstLine="720"/>
        <w:rPr>
          <w:sz w:val="20"/>
        </w:rPr>
      </w:pPr>
    </w:p>
  </w:footnote>
  <w:footnote w:id="135">
    <w:p w14:paraId="756D547A" w14:textId="5B0221B0" w:rsidR="00BB3FE0" w:rsidRPr="00CF7FCF" w:rsidRDefault="00BB3FE0" w:rsidP="00C302D7">
      <w:pPr>
        <w:pStyle w:val="FootnoteText"/>
        <w:ind w:firstLine="720"/>
        <w:rPr>
          <w:sz w:val="20"/>
          <w:szCs w:val="20"/>
        </w:rPr>
      </w:pPr>
      <w:r w:rsidRPr="00CF7FCF">
        <w:rPr>
          <w:rStyle w:val="FootnoteReference"/>
          <w:sz w:val="20"/>
          <w:szCs w:val="20"/>
        </w:rPr>
        <w:footnoteRef/>
      </w:r>
      <w:r w:rsidRPr="00CF7FCF">
        <w:rPr>
          <w:sz w:val="20"/>
          <w:szCs w:val="20"/>
        </w:rPr>
        <w:t xml:space="preserve"> Ibid.</w:t>
      </w:r>
    </w:p>
    <w:p w14:paraId="7BD34CF4" w14:textId="77777777" w:rsidR="00BB3FE0" w:rsidRPr="00CF7FCF" w:rsidRDefault="00BB3FE0" w:rsidP="00C302D7">
      <w:pPr>
        <w:pStyle w:val="FootnoteText"/>
        <w:ind w:firstLine="720"/>
        <w:rPr>
          <w:sz w:val="20"/>
          <w:szCs w:val="20"/>
        </w:rPr>
      </w:pPr>
    </w:p>
  </w:footnote>
  <w:footnote w:id="136">
    <w:p w14:paraId="17984793" w14:textId="77777777" w:rsidR="00BB3FE0" w:rsidRDefault="00BB3FE0" w:rsidP="00A94BD6">
      <w:pPr>
        <w:ind w:firstLine="720"/>
        <w:rPr>
          <w:sz w:val="20"/>
          <w:szCs w:val="20"/>
          <w:lang w:val="en-US"/>
        </w:rPr>
      </w:pPr>
      <w:r w:rsidRPr="00CF7FCF">
        <w:rPr>
          <w:rStyle w:val="FootnoteReference"/>
          <w:sz w:val="20"/>
          <w:szCs w:val="20"/>
        </w:rPr>
        <w:footnoteRef/>
      </w:r>
      <w:r w:rsidRPr="00CF7FCF">
        <w:rPr>
          <w:sz w:val="20"/>
          <w:szCs w:val="20"/>
          <w:lang w:val="en-US"/>
        </w:rPr>
        <w:t xml:space="preserve"> Susan Sherwin. “Foundations, Frameworks, Lenses: The Role of Theory in Bioethics,” </w:t>
      </w:r>
      <w:r w:rsidRPr="00CF7FCF">
        <w:rPr>
          <w:i/>
          <w:sz w:val="20"/>
          <w:szCs w:val="20"/>
          <w:lang w:val="en-US"/>
        </w:rPr>
        <w:t>Bioethics</w:t>
      </w:r>
      <w:r>
        <w:rPr>
          <w:sz w:val="20"/>
          <w:szCs w:val="20"/>
          <w:lang w:val="en-US"/>
        </w:rPr>
        <w:t xml:space="preserve"> 13.3-4 (1999) 198-205.</w:t>
      </w:r>
    </w:p>
    <w:p w14:paraId="7E4EB48B" w14:textId="6CFF421D" w:rsidR="00BB3FE0" w:rsidRPr="00A94BD6" w:rsidRDefault="00BB3FE0" w:rsidP="00A94BD6">
      <w:pPr>
        <w:ind w:firstLine="720"/>
        <w:rPr>
          <w:sz w:val="20"/>
          <w:szCs w:val="20"/>
          <w:lang w:val="en-US"/>
        </w:rPr>
      </w:pPr>
      <w:r w:rsidRPr="00460D03">
        <w:rPr>
          <w:sz w:val="20"/>
          <w:szCs w:val="20"/>
        </w:rPr>
        <w:t xml:space="preserve"> </w:t>
      </w:r>
    </w:p>
  </w:footnote>
  <w:footnote w:id="137">
    <w:p w14:paraId="2C712BD0" w14:textId="77777777" w:rsidR="00BB3FE0" w:rsidRDefault="00BB3FE0" w:rsidP="00460D03">
      <w:pPr>
        <w:pStyle w:val="FootnoteText"/>
        <w:ind w:firstLine="720"/>
        <w:rPr>
          <w:sz w:val="20"/>
          <w:szCs w:val="20"/>
        </w:rPr>
      </w:pPr>
      <w:r w:rsidRPr="00460D03">
        <w:rPr>
          <w:rStyle w:val="FootnoteReference"/>
          <w:sz w:val="20"/>
          <w:szCs w:val="20"/>
        </w:rPr>
        <w:footnoteRef/>
      </w:r>
      <w:r w:rsidRPr="00460D03">
        <w:rPr>
          <w:sz w:val="20"/>
          <w:szCs w:val="20"/>
        </w:rPr>
        <w:t xml:space="preserve"> Ibid, 200.</w:t>
      </w:r>
    </w:p>
    <w:p w14:paraId="0CAA9306" w14:textId="77777777" w:rsidR="00BB3FE0" w:rsidRPr="003E138A" w:rsidRDefault="00BB3FE0" w:rsidP="00460D03">
      <w:pPr>
        <w:pStyle w:val="FootnoteText"/>
        <w:ind w:firstLine="720"/>
        <w:rPr>
          <w:sz w:val="20"/>
          <w:szCs w:val="20"/>
        </w:rPr>
      </w:pPr>
    </w:p>
  </w:footnote>
  <w:footnote w:id="138">
    <w:p w14:paraId="06D6F319" w14:textId="77777777" w:rsidR="00BB3FE0" w:rsidRDefault="00BB3FE0" w:rsidP="00255616">
      <w:pPr>
        <w:pStyle w:val="FootnoteText"/>
        <w:ind w:firstLine="720"/>
        <w:rPr>
          <w:sz w:val="20"/>
        </w:rPr>
      </w:pPr>
      <w:r w:rsidRPr="00255616">
        <w:rPr>
          <w:rStyle w:val="FootnoteReference"/>
          <w:sz w:val="20"/>
        </w:rPr>
        <w:footnoteRef/>
      </w:r>
      <w:r w:rsidRPr="00255616">
        <w:rPr>
          <w:sz w:val="20"/>
        </w:rPr>
        <w:t xml:space="preserve"> H. Tristram Engelhardt, Jr. “Consensus Formation: The Creation of an Ideology.” </w:t>
      </w:r>
      <w:r w:rsidRPr="00255616">
        <w:rPr>
          <w:i/>
          <w:sz w:val="20"/>
        </w:rPr>
        <w:t>Cambridge Quarterly of Healthcare Ethics</w:t>
      </w:r>
      <w:r w:rsidRPr="00255616">
        <w:rPr>
          <w:sz w:val="20"/>
        </w:rPr>
        <w:t xml:space="preserve"> (2002) 11, 8.</w:t>
      </w:r>
    </w:p>
    <w:p w14:paraId="7F38B61C" w14:textId="77777777" w:rsidR="00BB3FE0" w:rsidRPr="00865A21" w:rsidRDefault="00BB3FE0" w:rsidP="00255616">
      <w:pPr>
        <w:pStyle w:val="FootnoteText"/>
        <w:ind w:firstLine="720"/>
        <w:rPr>
          <w:sz w:val="20"/>
        </w:rPr>
      </w:pPr>
    </w:p>
  </w:footnote>
  <w:footnote w:id="139">
    <w:p w14:paraId="3DAF3A92" w14:textId="378DFD7F" w:rsidR="00BB3FE0" w:rsidRDefault="00BB3FE0" w:rsidP="002648B9">
      <w:pPr>
        <w:pStyle w:val="FootnoteText"/>
        <w:ind w:firstLine="720"/>
        <w:rPr>
          <w:sz w:val="20"/>
        </w:rPr>
      </w:pPr>
      <w:r w:rsidRPr="002609A7">
        <w:rPr>
          <w:rStyle w:val="FootnoteReference"/>
          <w:sz w:val="20"/>
        </w:rPr>
        <w:footnoteRef/>
      </w:r>
      <w:r>
        <w:rPr>
          <w:sz w:val="20"/>
        </w:rPr>
        <w:t xml:space="preserve"> Physicians are still </w:t>
      </w:r>
      <w:r w:rsidRPr="002609A7">
        <w:rPr>
          <w:sz w:val="20"/>
        </w:rPr>
        <w:t xml:space="preserve">high status members of </w:t>
      </w:r>
      <w:r>
        <w:rPr>
          <w:sz w:val="20"/>
        </w:rPr>
        <w:t xml:space="preserve">healthcare teams but other professionals </w:t>
      </w:r>
      <w:r w:rsidRPr="002609A7">
        <w:rPr>
          <w:sz w:val="20"/>
        </w:rPr>
        <w:t>are becoming more insistent about the value of the contributions that</w:t>
      </w:r>
      <w:r>
        <w:rPr>
          <w:sz w:val="20"/>
        </w:rPr>
        <w:t xml:space="preserve"> they bring to the table</w:t>
      </w:r>
      <w:r w:rsidRPr="002609A7">
        <w:rPr>
          <w:sz w:val="20"/>
        </w:rPr>
        <w:t>. At least in academic teaching hospitals it i</w:t>
      </w:r>
      <w:r>
        <w:rPr>
          <w:sz w:val="20"/>
        </w:rPr>
        <w:t>s common for other team members</w:t>
      </w:r>
      <w:r w:rsidRPr="002609A7">
        <w:rPr>
          <w:sz w:val="20"/>
        </w:rPr>
        <w:t xml:space="preserve"> to hold advanced degrees and </w:t>
      </w:r>
      <w:r>
        <w:rPr>
          <w:sz w:val="20"/>
        </w:rPr>
        <w:t xml:space="preserve">many are quick to reference the fact </w:t>
      </w:r>
      <w:r w:rsidRPr="002609A7">
        <w:rPr>
          <w:sz w:val="20"/>
        </w:rPr>
        <w:t xml:space="preserve">that hierarchical communication structures have negative effects on safety, </w:t>
      </w:r>
      <w:r w:rsidR="006F406B">
        <w:rPr>
          <w:sz w:val="20"/>
        </w:rPr>
        <w:t xml:space="preserve">quality, </w:t>
      </w:r>
      <w:r>
        <w:rPr>
          <w:sz w:val="20"/>
        </w:rPr>
        <w:t xml:space="preserve">efficiency, </w:t>
      </w:r>
      <w:r w:rsidRPr="002609A7">
        <w:rPr>
          <w:sz w:val="20"/>
        </w:rPr>
        <w:t xml:space="preserve">morale, and </w:t>
      </w:r>
      <w:r>
        <w:rPr>
          <w:sz w:val="20"/>
        </w:rPr>
        <w:t>the patient experience</w:t>
      </w:r>
      <w:r w:rsidRPr="002609A7">
        <w:rPr>
          <w:sz w:val="20"/>
        </w:rPr>
        <w:t>.</w:t>
      </w:r>
    </w:p>
    <w:p w14:paraId="0666CA2F" w14:textId="77777777" w:rsidR="00BB3FE0" w:rsidRPr="002609A7" w:rsidRDefault="00BB3FE0" w:rsidP="002648B9">
      <w:pPr>
        <w:pStyle w:val="FootnoteText"/>
        <w:ind w:firstLine="720"/>
        <w:rPr>
          <w:sz w:val="20"/>
        </w:rPr>
      </w:pPr>
    </w:p>
  </w:footnote>
  <w:footnote w:id="140">
    <w:p w14:paraId="30672A11" w14:textId="77777777" w:rsidR="00BB3FE0" w:rsidRPr="00865A21" w:rsidRDefault="00BB3FE0" w:rsidP="00865A21">
      <w:pPr>
        <w:pStyle w:val="FootnoteText"/>
        <w:ind w:firstLine="720"/>
        <w:rPr>
          <w:sz w:val="20"/>
        </w:rPr>
      </w:pPr>
      <w:r w:rsidRPr="00865A21">
        <w:rPr>
          <w:rStyle w:val="FootnoteReference"/>
          <w:sz w:val="20"/>
        </w:rPr>
        <w:footnoteRef/>
      </w:r>
      <w:r w:rsidRPr="00865A21">
        <w:rPr>
          <w:sz w:val="20"/>
        </w:rPr>
        <w:t xml:space="preserve"> Ibid.</w:t>
      </w:r>
    </w:p>
  </w:footnote>
  <w:footnote w:id="141">
    <w:p w14:paraId="00C5A279" w14:textId="690C3103" w:rsidR="00BB3FE0" w:rsidRPr="00682706" w:rsidRDefault="00BB3FE0" w:rsidP="00682706">
      <w:pPr>
        <w:pStyle w:val="FootnoteText"/>
        <w:ind w:firstLine="720"/>
        <w:rPr>
          <w:sz w:val="20"/>
        </w:rPr>
      </w:pPr>
      <w:r w:rsidRPr="002C1D18">
        <w:rPr>
          <w:rStyle w:val="FootnoteReference"/>
          <w:sz w:val="20"/>
        </w:rPr>
        <w:footnoteRef/>
      </w:r>
      <w:r w:rsidRPr="002C1D18">
        <w:rPr>
          <w:sz w:val="20"/>
        </w:rPr>
        <w:t xml:space="preserve"> These kinds of cases </w:t>
      </w:r>
      <w:r>
        <w:rPr>
          <w:sz w:val="20"/>
        </w:rPr>
        <w:t xml:space="preserve">can </w:t>
      </w:r>
      <w:r w:rsidRPr="002C1D18">
        <w:rPr>
          <w:sz w:val="20"/>
        </w:rPr>
        <w:t>generate uncertainty, on occasion, but hard cases are generally o</w:t>
      </w:r>
      <w:r>
        <w:rPr>
          <w:sz w:val="20"/>
        </w:rPr>
        <w:t>nes involving minors, decisionall</w:t>
      </w:r>
      <w:r w:rsidRPr="002C1D18">
        <w:rPr>
          <w:sz w:val="20"/>
        </w:rPr>
        <w:t xml:space="preserve">y-incapacitated persons, or individuals </w:t>
      </w:r>
      <w:r>
        <w:rPr>
          <w:sz w:val="20"/>
        </w:rPr>
        <w:t xml:space="preserve">thought to be particularly </w:t>
      </w:r>
      <w:r w:rsidRPr="002C1D18">
        <w:rPr>
          <w:sz w:val="20"/>
        </w:rPr>
        <w:t>vulnerable to coercion.</w:t>
      </w:r>
      <w:r>
        <w:rPr>
          <w:sz w:val="20"/>
        </w:rPr>
        <w:t xml:space="preserve"> </w:t>
      </w:r>
    </w:p>
  </w:footnote>
  <w:footnote w:id="142">
    <w:p w14:paraId="38F6BCB2" w14:textId="699CE87A" w:rsidR="00BB3FE0" w:rsidRPr="00985458" w:rsidRDefault="00BB3FE0" w:rsidP="009834B4">
      <w:pPr>
        <w:pStyle w:val="FootnoteText"/>
        <w:ind w:firstLine="720"/>
        <w:rPr>
          <w:sz w:val="20"/>
        </w:rPr>
      </w:pPr>
      <w:r w:rsidRPr="00985458">
        <w:rPr>
          <w:rStyle w:val="FootnoteReference"/>
          <w:sz w:val="20"/>
        </w:rPr>
        <w:footnoteRef/>
      </w:r>
      <w:r w:rsidRPr="00985458">
        <w:rPr>
          <w:sz w:val="20"/>
        </w:rPr>
        <w:t xml:space="preserve"> My focus here </w:t>
      </w:r>
      <w:r>
        <w:rPr>
          <w:sz w:val="20"/>
        </w:rPr>
        <w:t>remains</w:t>
      </w:r>
      <w:r w:rsidRPr="00985458">
        <w:rPr>
          <w:sz w:val="20"/>
        </w:rPr>
        <w:t xml:space="preserve"> on consultation, broadly understood. It is acknowledged that ethicists also devote a great deal of their professional time to teaching, research, and policy development, but these activities are not generally understood to be controversial in the ways that have been described thus far. </w:t>
      </w:r>
      <w:r>
        <w:rPr>
          <w:sz w:val="20"/>
        </w:rPr>
        <w:t xml:space="preserve">Admittedly, this may be a mistake because an ethicist can exert great influence through her efforts in each of these areas of practice. I, however, will not dwell on these other possible sources of concern because they are not unique to the PHE’s work, and because these types of work are sufficiently public to allow them to be observed and critiqued by other members of the health care and lay communities. The content and outcomes of ethics consultations, on the other hand, are generally known only to participants or to those privy to the content of the confidential patient records that contain the consultants’ recommendations.     </w:t>
      </w:r>
    </w:p>
    <w:p w14:paraId="6CB1D01B" w14:textId="77777777" w:rsidR="00BB3FE0" w:rsidRPr="00985458" w:rsidRDefault="00BB3FE0">
      <w:pPr>
        <w:pStyle w:val="FootnoteText"/>
        <w:rPr>
          <w:sz w:val="20"/>
        </w:rPr>
      </w:pPr>
    </w:p>
  </w:footnote>
  <w:footnote w:id="143">
    <w:p w14:paraId="7C898022" w14:textId="77777777" w:rsidR="00BB3FE0" w:rsidRDefault="00BB3FE0" w:rsidP="00D05B37">
      <w:pPr>
        <w:pStyle w:val="FootnoteText"/>
        <w:ind w:firstLine="720"/>
      </w:pPr>
      <w:r w:rsidRPr="00D05B37">
        <w:rPr>
          <w:rStyle w:val="FootnoteReference"/>
          <w:sz w:val="20"/>
        </w:rPr>
        <w:footnoteRef/>
      </w:r>
      <w:r w:rsidRPr="00D05B37">
        <w:rPr>
          <w:sz w:val="20"/>
        </w:rPr>
        <w:t xml:space="preserve"> In describing the nature of their work, PHEs sometimes distinguish case-based consultations fr</w:t>
      </w:r>
      <w:r>
        <w:rPr>
          <w:sz w:val="20"/>
        </w:rPr>
        <w:t xml:space="preserve">om other types of consultations, </w:t>
      </w:r>
      <w:r w:rsidRPr="00D05B37">
        <w:rPr>
          <w:sz w:val="20"/>
        </w:rPr>
        <w:t>or reque</w:t>
      </w:r>
      <w:r>
        <w:rPr>
          <w:sz w:val="20"/>
        </w:rPr>
        <w:t>sts for clarification or advice</w:t>
      </w:r>
      <w:r w:rsidRPr="00D05B37">
        <w:rPr>
          <w:sz w:val="20"/>
        </w:rPr>
        <w:t>. A case-based consultation need not pertain to the care of specific patien</w:t>
      </w:r>
      <w:r>
        <w:rPr>
          <w:sz w:val="20"/>
        </w:rPr>
        <w:t xml:space="preserve">t, however. As was noted earlier, it may </w:t>
      </w:r>
      <w:r w:rsidRPr="00D05B37">
        <w:rPr>
          <w:sz w:val="20"/>
        </w:rPr>
        <w:t xml:space="preserve">involve </w:t>
      </w:r>
      <w:r>
        <w:rPr>
          <w:sz w:val="20"/>
        </w:rPr>
        <w:t>questions arising in the conduct</w:t>
      </w:r>
      <w:r w:rsidRPr="00D05B37">
        <w:rPr>
          <w:sz w:val="20"/>
        </w:rPr>
        <w:t xml:space="preserve"> of human subjects</w:t>
      </w:r>
      <w:r>
        <w:rPr>
          <w:sz w:val="20"/>
        </w:rPr>
        <w:t>’</w:t>
      </w:r>
      <w:r w:rsidRPr="00D05B37">
        <w:rPr>
          <w:sz w:val="20"/>
        </w:rPr>
        <w:t xml:space="preserve"> research, or</w:t>
      </w:r>
      <w:r>
        <w:rPr>
          <w:sz w:val="20"/>
        </w:rPr>
        <w:t xml:space="preserve"> in the effort to set organizational priorities. It may also involve a combination of any of these three possibilities</w:t>
      </w:r>
      <w:r w:rsidRPr="00D05B37">
        <w:rPr>
          <w:sz w:val="20"/>
        </w:rPr>
        <w:t xml:space="preserve">.     </w:t>
      </w:r>
    </w:p>
  </w:footnote>
  <w:footnote w:id="144">
    <w:p w14:paraId="4205A0F2" w14:textId="77777777" w:rsidR="00BB3FE0" w:rsidRDefault="00BB3FE0" w:rsidP="00A94BD6">
      <w:pPr>
        <w:pStyle w:val="FootnoteText"/>
        <w:ind w:firstLine="720"/>
        <w:rPr>
          <w:sz w:val="20"/>
        </w:rPr>
      </w:pPr>
      <w:r w:rsidRPr="00460AD2">
        <w:rPr>
          <w:rStyle w:val="FootnoteReference"/>
          <w:sz w:val="20"/>
        </w:rPr>
        <w:footnoteRef/>
      </w:r>
      <w:r>
        <w:rPr>
          <w:sz w:val="20"/>
        </w:rPr>
        <w:t xml:space="preserve"> There is a considerable literature on patients in challenging circumstances that latterly referenced</w:t>
      </w:r>
      <w:r w:rsidRPr="00460AD2">
        <w:rPr>
          <w:sz w:val="20"/>
        </w:rPr>
        <w:t xml:space="preserve"> </w:t>
      </w:r>
      <w:r>
        <w:rPr>
          <w:sz w:val="20"/>
        </w:rPr>
        <w:t>the so-called hateful or impossible patient. In addition, ethicists do consult on cases with a view toward helping providers to identify and reinforce boundaries in circumstances where boundary-crossings are likely to occur. Typologies of boundary crossings have been offered in the psychological, professional, and ethical literature. One type involves straightforward conflict of interest scenarios, but others describe relationships that threaten to erode professional boundaries because the patients are seen as, in some way, unlike other patients because of the associations, positive or negative, that providers make with them. (A patient may, for example, remind a professional of a beloved or despised relative, or remind her of a prior case that was especially rewarding or upsetting.) It is reasonable to suppose that bioethicists are not immune to these all-too-human challenges.</w:t>
      </w:r>
    </w:p>
    <w:p w14:paraId="6CFC42D9" w14:textId="77777777" w:rsidR="00BB3FE0" w:rsidRPr="00460AD2" w:rsidRDefault="00BB3FE0" w:rsidP="00460AD2">
      <w:pPr>
        <w:pStyle w:val="FootnoteText"/>
        <w:ind w:firstLine="720"/>
        <w:rPr>
          <w:sz w:val="20"/>
        </w:rPr>
      </w:pPr>
      <w:r>
        <w:rPr>
          <w:sz w:val="20"/>
        </w:rPr>
        <w:t xml:space="preserve">      </w:t>
      </w:r>
    </w:p>
  </w:footnote>
  <w:footnote w:id="145">
    <w:p w14:paraId="249D5DFE" w14:textId="77777777" w:rsidR="00BB3FE0" w:rsidRPr="0020117A" w:rsidRDefault="00BB3FE0" w:rsidP="00A94BD6">
      <w:pPr>
        <w:pStyle w:val="FootnoteText"/>
        <w:ind w:firstLine="720"/>
        <w:rPr>
          <w:sz w:val="20"/>
        </w:rPr>
      </w:pPr>
      <w:r w:rsidRPr="0020117A">
        <w:rPr>
          <w:rStyle w:val="FootnoteReference"/>
          <w:sz w:val="20"/>
        </w:rPr>
        <w:footnoteRef/>
      </w:r>
      <w:r>
        <w:rPr>
          <w:sz w:val="20"/>
        </w:rPr>
        <w:t xml:space="preserve"> </w:t>
      </w:r>
      <w:r w:rsidRPr="0020117A">
        <w:rPr>
          <w:sz w:val="20"/>
        </w:rPr>
        <w:t xml:space="preserve">Andrew Jameton. </w:t>
      </w:r>
      <w:r w:rsidRPr="0020117A">
        <w:rPr>
          <w:i/>
          <w:sz w:val="20"/>
        </w:rPr>
        <w:t>Nursing Practice: The Ethical Issues.</w:t>
      </w:r>
      <w:r w:rsidRPr="0020117A">
        <w:rPr>
          <w:sz w:val="20"/>
        </w:rPr>
        <w:t xml:space="preserve"> Englewood Cliffs, NJ: Prentice Hall (1984)</w:t>
      </w:r>
      <w:r>
        <w:rPr>
          <w:sz w:val="20"/>
        </w:rPr>
        <w:t xml:space="preserve">, 6. </w:t>
      </w:r>
    </w:p>
  </w:footnote>
  <w:footnote w:id="146">
    <w:p w14:paraId="442BA720" w14:textId="77777777" w:rsidR="00BB3FE0" w:rsidRPr="0062597A" w:rsidRDefault="00BB3FE0" w:rsidP="00EC7B2A">
      <w:pPr>
        <w:pStyle w:val="FootnoteText"/>
        <w:ind w:firstLine="720"/>
        <w:rPr>
          <w:sz w:val="20"/>
          <w:szCs w:val="20"/>
        </w:rPr>
      </w:pPr>
      <w:r w:rsidRPr="0062597A">
        <w:rPr>
          <w:rStyle w:val="FootnoteReference"/>
          <w:sz w:val="20"/>
          <w:szCs w:val="20"/>
        </w:rPr>
        <w:footnoteRef/>
      </w:r>
      <w:r w:rsidRPr="0062597A">
        <w:rPr>
          <w:sz w:val="20"/>
          <w:szCs w:val="20"/>
        </w:rPr>
        <w:t xml:space="preserve"> It should be acknowledged that futility is a controversial concept especially in the critical care context. My aim is not to engage t</w:t>
      </w:r>
      <w:r>
        <w:rPr>
          <w:sz w:val="20"/>
          <w:szCs w:val="20"/>
        </w:rPr>
        <w:t>hat extensive literature, but</w:t>
      </w:r>
      <w:r w:rsidRPr="0062597A">
        <w:rPr>
          <w:sz w:val="20"/>
          <w:szCs w:val="20"/>
        </w:rPr>
        <w:t xml:space="preserve"> to offer an example of a specific type of hard case, and a common </w:t>
      </w:r>
      <w:r>
        <w:rPr>
          <w:sz w:val="20"/>
          <w:szCs w:val="20"/>
        </w:rPr>
        <w:t xml:space="preserve">and easily recognizable </w:t>
      </w:r>
      <w:r w:rsidRPr="0062597A">
        <w:rPr>
          <w:sz w:val="20"/>
          <w:szCs w:val="20"/>
        </w:rPr>
        <w:t xml:space="preserve">source of moral distress.  </w:t>
      </w:r>
    </w:p>
  </w:footnote>
  <w:footnote w:id="147">
    <w:p w14:paraId="59B745E6" w14:textId="77777777" w:rsidR="00BB3FE0" w:rsidRPr="0062597A" w:rsidRDefault="00BB3FE0" w:rsidP="00811FC7">
      <w:pPr>
        <w:pStyle w:val="FootnoteText"/>
        <w:ind w:firstLine="720"/>
        <w:rPr>
          <w:sz w:val="20"/>
          <w:szCs w:val="20"/>
        </w:rPr>
      </w:pPr>
    </w:p>
    <w:p w14:paraId="67016923" w14:textId="77777777" w:rsidR="00BB3FE0" w:rsidRPr="00811FC7" w:rsidRDefault="00BB3FE0" w:rsidP="00811FC7">
      <w:pPr>
        <w:pStyle w:val="FootnoteText"/>
        <w:ind w:firstLine="720"/>
        <w:rPr>
          <w:sz w:val="20"/>
          <w:szCs w:val="20"/>
        </w:rPr>
      </w:pPr>
      <w:r w:rsidRPr="00811FC7">
        <w:rPr>
          <w:rStyle w:val="FootnoteReference"/>
          <w:sz w:val="20"/>
          <w:szCs w:val="20"/>
        </w:rPr>
        <w:footnoteRef/>
      </w:r>
      <w:r w:rsidRPr="00811FC7">
        <w:rPr>
          <w:sz w:val="20"/>
          <w:szCs w:val="20"/>
        </w:rPr>
        <w:t xml:space="preserve"> </w:t>
      </w:r>
      <w:r>
        <w:rPr>
          <w:sz w:val="20"/>
          <w:szCs w:val="20"/>
        </w:rPr>
        <w:t xml:space="preserve">Uninsured patients are typically eligible only for emergency services (that is, those time-sensitive interventions necessary to preserve life and limb). This means that regularly scheduled dialysis treatments generally cannot be billed to provincial insurance plans and hospital administrators need to decide whether to absorb these costs or to instruct patients to seek emergent care when their condition becomes critical. Because hospital global budgets are under significant pressures the latter option often is pursued. A healthcare ethicist may advocate for compassionate access to this or other uninsured services but there is no guarantee that her organization will accept her recommendation. Moreover, when faced with a specific case she cannot decide by fiat that the service will be provided on a regular schedule and without cost to affected patients.     </w:t>
      </w:r>
    </w:p>
  </w:footnote>
  <w:footnote w:id="148">
    <w:p w14:paraId="3C2B42B9" w14:textId="77777777" w:rsidR="00BB3FE0" w:rsidRDefault="00BB3FE0" w:rsidP="00A94BD6">
      <w:pPr>
        <w:pStyle w:val="FootnoteText"/>
        <w:ind w:firstLine="720"/>
        <w:rPr>
          <w:sz w:val="20"/>
        </w:rPr>
      </w:pPr>
      <w:r w:rsidRPr="006A61D3">
        <w:rPr>
          <w:rStyle w:val="FootnoteReference"/>
          <w:sz w:val="20"/>
        </w:rPr>
        <w:footnoteRef/>
      </w:r>
      <w:r w:rsidRPr="006A61D3">
        <w:rPr>
          <w:sz w:val="20"/>
        </w:rPr>
        <w:t xml:space="preserve"> </w:t>
      </w:r>
      <w:r>
        <w:rPr>
          <w:sz w:val="20"/>
        </w:rPr>
        <w:t xml:space="preserve">I offer these examples because it is becoming clear that research involving artificial intelligence and very large data sets is not easily evaluated by applying the standards that currently govern access to patient information or research on human subjects. Similarly, the ambiguous category called ‘surgical innovation’ covers a large range of novel or experimental procedures attempted in the context of clinical care, many of which present a significant challenge to valid consent. Innovative surgical practices typically are not seen to be subject to the principles that comprise the </w:t>
      </w:r>
      <w:r w:rsidRPr="00872FEA">
        <w:rPr>
          <w:i/>
          <w:sz w:val="20"/>
        </w:rPr>
        <w:t>Tri-Council Policy Statement</w:t>
      </w:r>
      <w:r>
        <w:rPr>
          <w:sz w:val="20"/>
        </w:rPr>
        <w:t xml:space="preserve"> because these interventions are generally deemed not to be human subjects’ research as it is defined in that document.</w:t>
      </w:r>
    </w:p>
    <w:p w14:paraId="62AB9955" w14:textId="77777777" w:rsidR="00BB3FE0" w:rsidRDefault="00BB3FE0" w:rsidP="006A61D3">
      <w:pPr>
        <w:pStyle w:val="FootnoteText"/>
        <w:ind w:firstLine="720"/>
      </w:pPr>
      <w:r>
        <w:rPr>
          <w:sz w:val="20"/>
        </w:rPr>
        <w:t xml:space="preserve">        </w:t>
      </w:r>
    </w:p>
  </w:footnote>
  <w:footnote w:id="149">
    <w:p w14:paraId="6C2641D2" w14:textId="7329F833" w:rsidR="00BB3FE0" w:rsidRPr="006A6F8A" w:rsidRDefault="00BB3FE0" w:rsidP="006A6F8A">
      <w:pPr>
        <w:pStyle w:val="FootnoteText"/>
        <w:ind w:firstLine="720"/>
        <w:rPr>
          <w:sz w:val="20"/>
          <w:szCs w:val="20"/>
        </w:rPr>
      </w:pPr>
      <w:r w:rsidRPr="00342587">
        <w:rPr>
          <w:rStyle w:val="FootnoteReference"/>
          <w:sz w:val="20"/>
          <w:szCs w:val="20"/>
        </w:rPr>
        <w:footnoteRef/>
      </w:r>
      <w:r w:rsidRPr="00342587">
        <w:rPr>
          <w:sz w:val="20"/>
          <w:szCs w:val="20"/>
        </w:rPr>
        <w:t xml:space="preserve"> A </w:t>
      </w:r>
      <w:r>
        <w:rPr>
          <w:sz w:val="20"/>
          <w:szCs w:val="20"/>
        </w:rPr>
        <w:t>social scientist might</w:t>
      </w:r>
      <w:r w:rsidRPr="00342587">
        <w:rPr>
          <w:sz w:val="20"/>
          <w:szCs w:val="20"/>
        </w:rPr>
        <w:t xml:space="preserve"> find it </w:t>
      </w:r>
      <w:r>
        <w:rPr>
          <w:sz w:val="20"/>
          <w:szCs w:val="20"/>
        </w:rPr>
        <w:t xml:space="preserve">interesting to capture and categorize the various themes that surface in the consultation work of North American PHEs. I have not attempted such an empirical exercise and readily admit that my typology may need to be adjusted should such research yield information that </w:t>
      </w:r>
      <w:r w:rsidR="007A6414">
        <w:rPr>
          <w:sz w:val="20"/>
          <w:szCs w:val="20"/>
        </w:rPr>
        <w:t>indicates</w:t>
      </w:r>
      <w:r>
        <w:rPr>
          <w:sz w:val="20"/>
          <w:szCs w:val="20"/>
        </w:rPr>
        <w:t xml:space="preserve"> that these categories </w:t>
      </w:r>
      <w:r w:rsidR="007A6414">
        <w:rPr>
          <w:sz w:val="20"/>
          <w:szCs w:val="20"/>
        </w:rPr>
        <w:t>require</w:t>
      </w:r>
      <w:r>
        <w:rPr>
          <w:sz w:val="20"/>
          <w:szCs w:val="20"/>
        </w:rPr>
        <w:t xml:space="preserve"> augment</w:t>
      </w:r>
      <w:r w:rsidR="007A6414">
        <w:rPr>
          <w:sz w:val="20"/>
          <w:szCs w:val="20"/>
        </w:rPr>
        <w:t>ation</w:t>
      </w:r>
      <w:r>
        <w:rPr>
          <w:sz w:val="20"/>
          <w:szCs w:val="20"/>
        </w:rPr>
        <w:t xml:space="preserve">. I am not, concerned, however, that a challenge to my rough and ready typology would do much damage to the general thrust of my argument. </w:t>
      </w:r>
      <w:r w:rsidRPr="00342587">
        <w:rPr>
          <w:sz w:val="20"/>
          <w:szCs w:val="20"/>
        </w:rPr>
        <w:t xml:space="preserve">  </w:t>
      </w:r>
    </w:p>
  </w:footnote>
  <w:footnote w:id="150">
    <w:p w14:paraId="12B7FD5E" w14:textId="77777777" w:rsidR="00BB3FE0" w:rsidRPr="00F44C3C" w:rsidRDefault="00BB3FE0" w:rsidP="00F44C3C">
      <w:pPr>
        <w:pStyle w:val="FootnoteText"/>
        <w:ind w:firstLine="720"/>
        <w:rPr>
          <w:sz w:val="20"/>
          <w:szCs w:val="20"/>
        </w:rPr>
      </w:pPr>
      <w:r w:rsidRPr="00F44C3C">
        <w:rPr>
          <w:rStyle w:val="FootnoteReference"/>
          <w:sz w:val="20"/>
          <w:szCs w:val="20"/>
        </w:rPr>
        <w:footnoteRef/>
      </w:r>
      <w:r w:rsidRPr="00F44C3C">
        <w:rPr>
          <w:sz w:val="20"/>
          <w:szCs w:val="20"/>
        </w:rPr>
        <w:t xml:space="preserve"> H.L.A. Hart. “Positivism and the Separation of Law and Morals” </w:t>
      </w:r>
      <w:r w:rsidRPr="00F44C3C">
        <w:rPr>
          <w:i/>
          <w:sz w:val="20"/>
          <w:szCs w:val="20"/>
        </w:rPr>
        <w:t>Harvard Law Review</w:t>
      </w:r>
      <w:r w:rsidRPr="00F44C3C">
        <w:rPr>
          <w:sz w:val="20"/>
          <w:szCs w:val="20"/>
        </w:rPr>
        <w:t xml:space="preserve"> 71.4 (1958): 607.</w:t>
      </w:r>
    </w:p>
    <w:p w14:paraId="377FBE2A" w14:textId="77777777" w:rsidR="00BB3FE0" w:rsidRPr="00F44C3C" w:rsidRDefault="00BB3FE0" w:rsidP="00F44C3C">
      <w:pPr>
        <w:pStyle w:val="FootnoteText"/>
        <w:ind w:firstLine="720"/>
        <w:rPr>
          <w:sz w:val="20"/>
          <w:szCs w:val="20"/>
        </w:rPr>
      </w:pPr>
    </w:p>
  </w:footnote>
  <w:footnote w:id="151">
    <w:p w14:paraId="3AAF21E2" w14:textId="09FF097B" w:rsidR="00BB3FE0" w:rsidRPr="009C7DF2" w:rsidRDefault="00BB3FE0" w:rsidP="00EB001B">
      <w:pPr>
        <w:pStyle w:val="FootnoteText"/>
        <w:ind w:firstLine="720"/>
        <w:rPr>
          <w:sz w:val="20"/>
          <w:szCs w:val="20"/>
        </w:rPr>
      </w:pPr>
      <w:r w:rsidRPr="009C7DF2">
        <w:rPr>
          <w:rStyle w:val="FootnoteReference"/>
          <w:sz w:val="20"/>
          <w:szCs w:val="20"/>
        </w:rPr>
        <w:footnoteRef/>
      </w:r>
      <w:r>
        <w:rPr>
          <w:sz w:val="20"/>
          <w:szCs w:val="20"/>
        </w:rPr>
        <w:t xml:space="preserve"> </w:t>
      </w:r>
      <w:r w:rsidRPr="009C7DF2">
        <w:rPr>
          <w:sz w:val="20"/>
          <w:szCs w:val="20"/>
        </w:rPr>
        <w:t xml:space="preserve">John Austin, </w:t>
      </w:r>
      <w:r w:rsidRPr="009C7DF2">
        <w:rPr>
          <w:i/>
          <w:sz w:val="20"/>
          <w:szCs w:val="20"/>
        </w:rPr>
        <w:t>The Province of Jurisprudence</w:t>
      </w:r>
      <w:r w:rsidRPr="009C7DF2">
        <w:rPr>
          <w:sz w:val="20"/>
          <w:szCs w:val="20"/>
        </w:rPr>
        <w:t xml:space="preserve"> </w:t>
      </w:r>
      <w:r w:rsidRPr="009C7DF2">
        <w:rPr>
          <w:i/>
          <w:sz w:val="20"/>
          <w:szCs w:val="20"/>
        </w:rPr>
        <w:t>Determined</w:t>
      </w:r>
      <w:r w:rsidRPr="009C7DF2">
        <w:rPr>
          <w:sz w:val="20"/>
          <w:szCs w:val="20"/>
        </w:rPr>
        <w:t xml:space="preserve"> (Library of Ideas ed., 1954) 184-185 quoted in Hart, ibid., 596.</w:t>
      </w:r>
    </w:p>
    <w:p w14:paraId="6BB39FA9" w14:textId="77777777" w:rsidR="00BB3FE0" w:rsidRPr="009C7DF2" w:rsidRDefault="00BB3FE0" w:rsidP="00EB001B">
      <w:pPr>
        <w:pStyle w:val="FootnoteText"/>
        <w:ind w:firstLine="720"/>
        <w:rPr>
          <w:sz w:val="20"/>
          <w:szCs w:val="20"/>
        </w:rPr>
      </w:pPr>
      <w:r w:rsidRPr="009C7DF2">
        <w:rPr>
          <w:sz w:val="20"/>
          <w:szCs w:val="20"/>
        </w:rPr>
        <w:t xml:space="preserve">  </w:t>
      </w:r>
    </w:p>
  </w:footnote>
  <w:footnote w:id="152">
    <w:p w14:paraId="6500F7F3" w14:textId="77777777" w:rsidR="00BB3FE0" w:rsidRPr="00F44C3C" w:rsidRDefault="00BB3FE0" w:rsidP="00A94BD6">
      <w:pPr>
        <w:pStyle w:val="FootnoteText"/>
        <w:ind w:firstLine="720"/>
        <w:rPr>
          <w:sz w:val="20"/>
          <w:szCs w:val="20"/>
        </w:rPr>
      </w:pPr>
      <w:r w:rsidRPr="009C7DF2">
        <w:rPr>
          <w:rStyle w:val="FootnoteReference"/>
          <w:sz w:val="20"/>
          <w:szCs w:val="20"/>
        </w:rPr>
        <w:footnoteRef/>
      </w:r>
      <w:r w:rsidRPr="009C7DF2">
        <w:rPr>
          <w:sz w:val="20"/>
          <w:szCs w:val="20"/>
        </w:rPr>
        <w:t xml:space="preserve"> Ibid.</w:t>
      </w:r>
    </w:p>
  </w:footnote>
  <w:footnote w:id="153">
    <w:p w14:paraId="7135124C" w14:textId="77777777" w:rsidR="00BB3FE0" w:rsidRPr="00924515" w:rsidRDefault="00BB3FE0" w:rsidP="00924515">
      <w:pPr>
        <w:pStyle w:val="FootnoteText"/>
        <w:ind w:firstLine="720"/>
        <w:rPr>
          <w:sz w:val="22"/>
        </w:rPr>
      </w:pPr>
      <w:r w:rsidRPr="00924515">
        <w:rPr>
          <w:rStyle w:val="FootnoteReference"/>
          <w:sz w:val="20"/>
        </w:rPr>
        <w:footnoteRef/>
      </w:r>
      <w:r w:rsidRPr="00924515">
        <w:rPr>
          <w:sz w:val="20"/>
        </w:rPr>
        <w:t xml:space="preserve"> Ibid., 593.</w:t>
      </w:r>
    </w:p>
  </w:footnote>
  <w:footnote w:id="154">
    <w:p w14:paraId="1C0BD277" w14:textId="77777777" w:rsidR="00BB3FE0" w:rsidRDefault="00BB3FE0" w:rsidP="0047420E">
      <w:pPr>
        <w:pStyle w:val="FootnoteText"/>
        <w:ind w:firstLine="720"/>
        <w:rPr>
          <w:sz w:val="20"/>
          <w:szCs w:val="20"/>
        </w:rPr>
      </w:pPr>
      <w:r w:rsidRPr="00CD4626">
        <w:rPr>
          <w:rStyle w:val="FootnoteReference"/>
          <w:sz w:val="20"/>
          <w:szCs w:val="20"/>
        </w:rPr>
        <w:footnoteRef/>
      </w:r>
      <w:r w:rsidRPr="00CD4626">
        <w:rPr>
          <w:sz w:val="20"/>
          <w:szCs w:val="20"/>
        </w:rPr>
        <w:t xml:space="preserve"> Ibid., 614.</w:t>
      </w:r>
    </w:p>
    <w:p w14:paraId="0C95E597" w14:textId="77777777" w:rsidR="00BB3FE0" w:rsidRPr="00CD4626" w:rsidRDefault="00BB3FE0" w:rsidP="0047420E">
      <w:pPr>
        <w:pStyle w:val="FootnoteText"/>
        <w:ind w:firstLine="720"/>
        <w:rPr>
          <w:sz w:val="20"/>
          <w:szCs w:val="20"/>
        </w:rPr>
      </w:pPr>
    </w:p>
  </w:footnote>
  <w:footnote w:id="155">
    <w:p w14:paraId="6D959AD5" w14:textId="77777777" w:rsidR="00BB3FE0" w:rsidRPr="00CD4626" w:rsidRDefault="00BB3FE0" w:rsidP="00856585">
      <w:pPr>
        <w:pStyle w:val="FootnoteText"/>
        <w:ind w:firstLine="720"/>
        <w:rPr>
          <w:sz w:val="20"/>
          <w:szCs w:val="20"/>
        </w:rPr>
      </w:pPr>
      <w:r w:rsidRPr="00CD4626">
        <w:rPr>
          <w:rStyle w:val="FootnoteReference"/>
          <w:sz w:val="20"/>
          <w:szCs w:val="20"/>
        </w:rPr>
        <w:footnoteRef/>
      </w:r>
      <w:r w:rsidRPr="00CD4626">
        <w:rPr>
          <w:sz w:val="20"/>
          <w:szCs w:val="20"/>
        </w:rPr>
        <w:t xml:space="preserve"> Ibid.</w:t>
      </w:r>
    </w:p>
    <w:p w14:paraId="1F61DA70" w14:textId="77777777" w:rsidR="00BB3FE0" w:rsidRPr="00CD4626" w:rsidRDefault="00BB3FE0" w:rsidP="00856585">
      <w:pPr>
        <w:pStyle w:val="FootnoteText"/>
        <w:ind w:firstLine="720"/>
        <w:rPr>
          <w:sz w:val="20"/>
          <w:szCs w:val="20"/>
        </w:rPr>
      </w:pPr>
    </w:p>
  </w:footnote>
  <w:footnote w:id="156">
    <w:p w14:paraId="0805B450" w14:textId="77777777" w:rsidR="00BB3FE0" w:rsidRPr="00CD4626" w:rsidRDefault="00BB3FE0" w:rsidP="00DE5AF0">
      <w:pPr>
        <w:pStyle w:val="FootnoteText"/>
        <w:ind w:firstLine="720"/>
        <w:rPr>
          <w:sz w:val="20"/>
          <w:szCs w:val="20"/>
        </w:rPr>
      </w:pPr>
      <w:r w:rsidRPr="00CD4626">
        <w:rPr>
          <w:rStyle w:val="FootnoteReference"/>
          <w:sz w:val="20"/>
          <w:szCs w:val="20"/>
        </w:rPr>
        <w:footnoteRef/>
      </w:r>
      <w:r w:rsidRPr="00CD4626">
        <w:rPr>
          <w:sz w:val="20"/>
          <w:szCs w:val="20"/>
        </w:rPr>
        <w:t xml:space="preserve"> Ibid., 629.</w:t>
      </w:r>
    </w:p>
  </w:footnote>
  <w:footnote w:id="157">
    <w:p w14:paraId="5DE30853" w14:textId="77777777" w:rsidR="00BB3FE0" w:rsidRDefault="00BB3FE0" w:rsidP="000F2181">
      <w:pPr>
        <w:pStyle w:val="FootnoteText"/>
        <w:ind w:firstLine="720"/>
        <w:rPr>
          <w:sz w:val="20"/>
        </w:rPr>
      </w:pPr>
      <w:r w:rsidRPr="000F2181">
        <w:rPr>
          <w:rStyle w:val="FootnoteReference"/>
          <w:sz w:val="20"/>
          <w:szCs w:val="20"/>
        </w:rPr>
        <w:footnoteRef/>
      </w:r>
      <w:r w:rsidRPr="000F2181">
        <w:rPr>
          <w:sz w:val="20"/>
          <w:szCs w:val="20"/>
        </w:rPr>
        <w:t xml:space="preserve"> For</w:t>
      </w:r>
      <w:r w:rsidRPr="00494CA9">
        <w:rPr>
          <w:sz w:val="20"/>
        </w:rPr>
        <w:t xml:space="preserve"> the sake of simplicity I leave aside the complexities that are sometimes associated wi</w:t>
      </w:r>
      <w:r>
        <w:rPr>
          <w:sz w:val="20"/>
        </w:rPr>
        <w:t>th determining what a</w:t>
      </w:r>
      <w:r w:rsidRPr="00494CA9">
        <w:rPr>
          <w:sz w:val="20"/>
        </w:rPr>
        <w:t xml:space="preserve"> </w:t>
      </w:r>
      <w:r>
        <w:rPr>
          <w:sz w:val="20"/>
        </w:rPr>
        <w:t xml:space="preserve">given </w:t>
      </w:r>
      <w:r w:rsidRPr="00494CA9">
        <w:rPr>
          <w:sz w:val="20"/>
        </w:rPr>
        <w:t>patient’s best interests consist in.</w:t>
      </w:r>
    </w:p>
    <w:p w14:paraId="69C338E2" w14:textId="77777777" w:rsidR="00BB3FE0" w:rsidRPr="00494CA9" w:rsidRDefault="00BB3FE0" w:rsidP="000F2181">
      <w:pPr>
        <w:pStyle w:val="FootnoteText"/>
        <w:ind w:firstLine="720"/>
        <w:rPr>
          <w:sz w:val="20"/>
        </w:rPr>
      </w:pPr>
    </w:p>
  </w:footnote>
  <w:footnote w:id="158">
    <w:p w14:paraId="016A230D" w14:textId="77777777" w:rsidR="00BB3FE0" w:rsidRDefault="00BB3FE0" w:rsidP="00BB3888">
      <w:pPr>
        <w:pStyle w:val="FootnoteText"/>
        <w:ind w:firstLine="720"/>
      </w:pPr>
      <w:r w:rsidRPr="00BB3888">
        <w:rPr>
          <w:rStyle w:val="FootnoteReference"/>
          <w:sz w:val="20"/>
        </w:rPr>
        <w:footnoteRef/>
      </w:r>
      <w:r w:rsidRPr="00BB3888">
        <w:rPr>
          <w:sz w:val="20"/>
        </w:rPr>
        <w:t xml:space="preserve"> For present purposes I leave aside the very interesting question of whether law or institutional policies constitute firm</w:t>
      </w:r>
      <w:r>
        <w:rPr>
          <w:sz w:val="20"/>
        </w:rPr>
        <w:t>,</w:t>
      </w:r>
      <w:r w:rsidRPr="00BB3888">
        <w:rPr>
          <w:sz w:val="20"/>
        </w:rPr>
        <w:t xml:space="preserve"> or relatively porous</w:t>
      </w:r>
      <w:r>
        <w:rPr>
          <w:sz w:val="20"/>
        </w:rPr>
        <w:t>,</w:t>
      </w:r>
      <w:r w:rsidRPr="00BB3888">
        <w:rPr>
          <w:sz w:val="20"/>
        </w:rPr>
        <w:t xml:space="preserve"> boundaries</w:t>
      </w:r>
      <w:r>
        <w:rPr>
          <w:sz w:val="20"/>
        </w:rPr>
        <w:t xml:space="preserve"> for</w:t>
      </w:r>
      <w:r w:rsidRPr="00BB3888">
        <w:rPr>
          <w:sz w:val="20"/>
        </w:rPr>
        <w:t xml:space="preserve"> ethical deliberation. I accept that it is a relevant and fruitful area for exploration, but I am focusing here on ordinary rather than extraordinary consultation cases. Suffice it to say that </w:t>
      </w:r>
      <w:r>
        <w:rPr>
          <w:sz w:val="20"/>
        </w:rPr>
        <w:t xml:space="preserve">practicing healthcare ethicists occasionally do </w:t>
      </w:r>
      <w:r w:rsidRPr="00BB3888">
        <w:rPr>
          <w:sz w:val="20"/>
        </w:rPr>
        <w:t>find it appropriate to point out that some options (for example,</w:t>
      </w:r>
      <w:r>
        <w:rPr>
          <w:sz w:val="20"/>
        </w:rPr>
        <w:t xml:space="preserve"> the</w:t>
      </w:r>
      <w:r w:rsidRPr="00BB3888">
        <w:rPr>
          <w:sz w:val="20"/>
        </w:rPr>
        <w:t xml:space="preserve"> sterilization of a mentally incapable, but sexually active person, upon the request of that person’s LAR) could be legally and professional</w:t>
      </w:r>
      <w:r>
        <w:rPr>
          <w:sz w:val="20"/>
        </w:rPr>
        <w:t>ly</w:t>
      </w:r>
      <w:r w:rsidRPr="00BB3888">
        <w:rPr>
          <w:sz w:val="20"/>
        </w:rPr>
        <w:t xml:space="preserve"> peril</w:t>
      </w:r>
      <w:r>
        <w:rPr>
          <w:sz w:val="20"/>
        </w:rPr>
        <w:t>ous whatever the ethical or</w:t>
      </w:r>
      <w:r w:rsidRPr="00BB3888">
        <w:rPr>
          <w:sz w:val="20"/>
        </w:rPr>
        <w:t xml:space="preserve"> pragmatic arguments marshalled in support of a particular intervention.</w:t>
      </w:r>
      <w:r>
        <w:rPr>
          <w:sz w:val="20"/>
        </w:rPr>
        <w:t xml:space="preserve"> </w:t>
      </w:r>
      <w:r w:rsidRPr="00BB3888">
        <w:rPr>
          <w:sz w:val="20"/>
        </w:rPr>
        <w:t xml:space="preserve">The PHE would be remiss in her duties if she were to omit this </w:t>
      </w:r>
      <w:r>
        <w:rPr>
          <w:sz w:val="20"/>
        </w:rPr>
        <w:t xml:space="preserve">important </w:t>
      </w:r>
      <w:r w:rsidRPr="00BB3888">
        <w:rPr>
          <w:sz w:val="20"/>
        </w:rPr>
        <w:t xml:space="preserve">context in her efforts to identify the ethical options available to various stakeholders. </w:t>
      </w:r>
      <w:r>
        <w:rPr>
          <w:sz w:val="20"/>
        </w:rPr>
        <w:t>An effort to provide context need not include an opinion on the ethical merits or demerits of that context, however.</w:t>
      </w:r>
    </w:p>
  </w:footnote>
  <w:footnote w:id="159">
    <w:p w14:paraId="5FCF613E" w14:textId="77777777" w:rsidR="00BB3FE0" w:rsidRPr="004A7C61" w:rsidRDefault="00BB3FE0" w:rsidP="000E5F31">
      <w:pPr>
        <w:pStyle w:val="FootnoteText"/>
        <w:ind w:firstLine="720"/>
        <w:rPr>
          <w:sz w:val="20"/>
          <w:szCs w:val="20"/>
        </w:rPr>
      </w:pPr>
      <w:r w:rsidRPr="00964516">
        <w:rPr>
          <w:rStyle w:val="FootnoteReference"/>
          <w:sz w:val="20"/>
          <w:szCs w:val="20"/>
        </w:rPr>
        <w:footnoteRef/>
      </w:r>
      <w:r w:rsidRPr="00964516">
        <w:rPr>
          <w:sz w:val="20"/>
          <w:szCs w:val="20"/>
        </w:rPr>
        <w:t xml:space="preserve"> </w:t>
      </w:r>
      <w:r w:rsidRPr="00E14FFD">
        <w:rPr>
          <w:i/>
          <w:sz w:val="20"/>
          <w:szCs w:val="20"/>
        </w:rPr>
        <w:t>Carter v. Canada</w:t>
      </w:r>
      <w:r w:rsidRPr="00E14FFD">
        <w:rPr>
          <w:sz w:val="20"/>
          <w:szCs w:val="20"/>
        </w:rPr>
        <w:t xml:space="preserve"> (Attorney General), 2015 SCC 5, [2015] 1 S.C.R. 331. Date: 2015</w:t>
      </w:r>
      <w:r w:rsidRPr="004A7C61">
        <w:rPr>
          <w:sz w:val="20"/>
          <w:szCs w:val="20"/>
        </w:rPr>
        <w:t xml:space="preserve"> </w:t>
      </w:r>
      <w:r w:rsidRPr="00964516">
        <w:rPr>
          <w:sz w:val="20"/>
          <w:szCs w:val="20"/>
        </w:rPr>
        <w:t xml:space="preserve">02 06. Online: </w:t>
      </w:r>
      <w:hyperlink r:id="rId13" w:history="1">
        <w:r w:rsidRPr="00964516">
          <w:rPr>
            <w:rStyle w:val="Hyperlink"/>
            <w:sz w:val="20"/>
            <w:szCs w:val="20"/>
          </w:rPr>
          <w:t>https://scc-csc.lexum.com/scc-csc/scc-csc/en/item/14637/index.do</w:t>
        </w:r>
      </w:hyperlink>
      <w:r w:rsidRPr="00E14FFD">
        <w:rPr>
          <w:sz w:val="20"/>
          <w:szCs w:val="20"/>
        </w:rPr>
        <w:t xml:space="preserve">. Accessed: February 7, 2019. </w:t>
      </w:r>
    </w:p>
    <w:p w14:paraId="31D27838" w14:textId="77777777" w:rsidR="00BB3FE0" w:rsidRPr="00964516" w:rsidRDefault="00BB3FE0" w:rsidP="000E5F31">
      <w:pPr>
        <w:pStyle w:val="FootnoteText"/>
        <w:ind w:firstLine="720"/>
        <w:rPr>
          <w:sz w:val="20"/>
          <w:szCs w:val="20"/>
        </w:rPr>
      </w:pPr>
    </w:p>
  </w:footnote>
  <w:footnote w:id="160">
    <w:p w14:paraId="725AC279" w14:textId="77777777" w:rsidR="00BB3FE0" w:rsidRPr="00964516" w:rsidRDefault="00BB3FE0" w:rsidP="00267BB3">
      <w:pPr>
        <w:pStyle w:val="FootnoteText"/>
        <w:ind w:firstLine="720"/>
        <w:rPr>
          <w:sz w:val="20"/>
          <w:szCs w:val="20"/>
        </w:rPr>
      </w:pPr>
      <w:r w:rsidRPr="00E14FFD">
        <w:rPr>
          <w:rStyle w:val="FootnoteReference"/>
          <w:sz w:val="20"/>
          <w:szCs w:val="20"/>
        </w:rPr>
        <w:footnoteRef/>
      </w:r>
      <w:r w:rsidRPr="00E14FFD">
        <w:rPr>
          <w:sz w:val="20"/>
          <w:szCs w:val="20"/>
        </w:rPr>
        <w:t xml:space="preserve"> The phrase “conscientious commitment” was coined by Bernard Dickens and Rebecca Cooke to describe a healthcare provider’s desire to overcome barriers to care provision on </w:t>
      </w:r>
      <w:r w:rsidRPr="004A7C61">
        <w:rPr>
          <w:sz w:val="20"/>
          <w:szCs w:val="20"/>
        </w:rPr>
        <w:t>wh</w:t>
      </w:r>
      <w:r w:rsidRPr="00964516">
        <w:rPr>
          <w:sz w:val="20"/>
          <w:szCs w:val="20"/>
        </w:rPr>
        <w:t xml:space="preserve">at they regard as ethical grounds. The subject of their discussion was women’s reproductive health but the term is equally applicable to the MAID context. </w:t>
      </w:r>
    </w:p>
  </w:footnote>
  <w:footnote w:id="161">
    <w:p w14:paraId="1EE39CC3" w14:textId="77777777" w:rsidR="00BB3FE0" w:rsidRPr="00964516" w:rsidRDefault="00BB3FE0" w:rsidP="000E5F31">
      <w:pPr>
        <w:pStyle w:val="FootnoteText"/>
        <w:ind w:firstLine="720"/>
        <w:rPr>
          <w:sz w:val="20"/>
          <w:szCs w:val="20"/>
        </w:rPr>
      </w:pPr>
    </w:p>
    <w:p w14:paraId="1D01A19C" w14:textId="3FED7F9D" w:rsidR="00BB3FE0" w:rsidRDefault="00BB3FE0" w:rsidP="000E5F31">
      <w:pPr>
        <w:pStyle w:val="FootnoteText"/>
        <w:ind w:firstLine="720"/>
        <w:rPr>
          <w:sz w:val="20"/>
        </w:rPr>
      </w:pPr>
      <w:r w:rsidRPr="00E14FFD">
        <w:rPr>
          <w:rStyle w:val="FootnoteReference"/>
          <w:sz w:val="20"/>
          <w:szCs w:val="20"/>
        </w:rPr>
        <w:footnoteRef/>
      </w:r>
      <w:r w:rsidRPr="00E14FFD">
        <w:rPr>
          <w:sz w:val="20"/>
          <w:szCs w:val="20"/>
        </w:rPr>
        <w:t xml:space="preserve"> As one might anticipate by now, I do not believe that </w:t>
      </w:r>
      <w:r w:rsidRPr="004A7C61">
        <w:rPr>
          <w:sz w:val="20"/>
          <w:szCs w:val="20"/>
        </w:rPr>
        <w:t>MAID</w:t>
      </w:r>
      <w:r w:rsidRPr="00964516">
        <w:rPr>
          <w:sz w:val="20"/>
          <w:szCs w:val="20"/>
        </w:rPr>
        <w:t xml:space="preserve"> obliges healthcare ethicists to approach their work in a new way. The legal permissibility of MAID, however, has brought ethical questions into greater prominence than </w:t>
      </w:r>
      <w:r w:rsidR="007A6414">
        <w:rPr>
          <w:sz w:val="20"/>
          <w:szCs w:val="20"/>
        </w:rPr>
        <w:t>they have</w:t>
      </w:r>
      <w:r w:rsidRPr="00964516">
        <w:rPr>
          <w:sz w:val="20"/>
          <w:szCs w:val="20"/>
        </w:rPr>
        <w:t xml:space="preserve"> typically enjoyed in some quarters</w:t>
      </w:r>
      <w:r>
        <w:rPr>
          <w:sz w:val="20"/>
        </w:rPr>
        <w:t xml:space="preserve">, </w:t>
      </w:r>
      <w:r w:rsidRPr="003F5DD5">
        <w:rPr>
          <w:sz w:val="20"/>
        </w:rPr>
        <w:t xml:space="preserve">and it provides PHEs </w:t>
      </w:r>
      <w:r>
        <w:rPr>
          <w:sz w:val="20"/>
        </w:rPr>
        <w:t>with an exceptional</w:t>
      </w:r>
      <w:r w:rsidRPr="003F5DD5">
        <w:rPr>
          <w:sz w:val="20"/>
        </w:rPr>
        <w:t xml:space="preserve"> opportunity to illustrate how they</w:t>
      </w:r>
      <w:r>
        <w:rPr>
          <w:sz w:val="20"/>
        </w:rPr>
        <w:t xml:space="preserve"> may be helpful in addressing some of the difficult issues that arise both in the delivery of clinical care and in corporate decision-making with respect to institutional priorities and obligations.</w:t>
      </w:r>
    </w:p>
    <w:p w14:paraId="62A19D0F" w14:textId="77777777" w:rsidR="00BB3FE0" w:rsidRPr="003F5DD5" w:rsidRDefault="00BB3FE0">
      <w:pPr>
        <w:pStyle w:val="FootnoteText"/>
        <w:rPr>
          <w:sz w:val="20"/>
        </w:rPr>
      </w:pPr>
      <w:r w:rsidRPr="003F5DD5">
        <w:rPr>
          <w:sz w:val="20"/>
        </w:rPr>
        <w:t xml:space="preserve">     </w:t>
      </w:r>
    </w:p>
  </w:footnote>
  <w:footnote w:id="162">
    <w:p w14:paraId="6D133BE9" w14:textId="77777777" w:rsidR="00BB3FE0" w:rsidRPr="00A94BD6" w:rsidRDefault="00BB3FE0" w:rsidP="00A94BD6">
      <w:pPr>
        <w:pStyle w:val="FootnoteText"/>
        <w:ind w:firstLine="720"/>
        <w:rPr>
          <w:sz w:val="20"/>
          <w:szCs w:val="20"/>
        </w:rPr>
      </w:pPr>
      <w:r w:rsidRPr="002C3297">
        <w:rPr>
          <w:rStyle w:val="FootnoteReference"/>
          <w:sz w:val="20"/>
          <w:szCs w:val="20"/>
        </w:rPr>
        <w:footnoteRef/>
      </w:r>
      <w:r w:rsidRPr="002C3297">
        <w:rPr>
          <w:sz w:val="20"/>
          <w:szCs w:val="20"/>
        </w:rPr>
        <w:t xml:space="preserve"> In Canada</w:t>
      </w:r>
      <w:r w:rsidRPr="00AE29E1">
        <w:rPr>
          <w:sz w:val="20"/>
          <w:szCs w:val="20"/>
        </w:rPr>
        <w:t xml:space="preserve"> only nurse practitioners and physicians </w:t>
      </w:r>
      <w:r>
        <w:rPr>
          <w:sz w:val="20"/>
          <w:szCs w:val="20"/>
        </w:rPr>
        <w:t>are legally</w:t>
      </w:r>
      <w:r w:rsidRPr="00AE29E1">
        <w:rPr>
          <w:sz w:val="20"/>
          <w:szCs w:val="20"/>
        </w:rPr>
        <w:t xml:space="preserve"> eligible to act as </w:t>
      </w:r>
      <w:r>
        <w:rPr>
          <w:sz w:val="20"/>
          <w:szCs w:val="20"/>
        </w:rPr>
        <w:t>MAID</w:t>
      </w:r>
      <w:r w:rsidRPr="00AE29E1">
        <w:rPr>
          <w:sz w:val="20"/>
          <w:szCs w:val="20"/>
        </w:rPr>
        <w:t xml:space="preserve"> assessors and interventionists</w:t>
      </w:r>
      <w:r>
        <w:rPr>
          <w:sz w:val="20"/>
          <w:szCs w:val="20"/>
        </w:rPr>
        <w:t xml:space="preserve">, however, other health care providers including pharmacists, registered nurses, spiritual care providers, and numerous others, have ethical and sometimes new legal or professional responsibilities related to the care of patients who request, or make inquiries with respect to, medical assistance in dying.  </w:t>
      </w:r>
    </w:p>
  </w:footnote>
  <w:footnote w:id="163">
    <w:p w14:paraId="15EE5654" w14:textId="77777777" w:rsidR="00BB3FE0" w:rsidRPr="00964516" w:rsidRDefault="00BB3FE0" w:rsidP="000E5F31">
      <w:pPr>
        <w:pStyle w:val="FootnoteText"/>
        <w:ind w:firstLine="720"/>
        <w:rPr>
          <w:sz w:val="20"/>
          <w:szCs w:val="20"/>
        </w:rPr>
      </w:pPr>
      <w:r w:rsidRPr="00E14FFD">
        <w:rPr>
          <w:rStyle w:val="FootnoteReference"/>
          <w:sz w:val="20"/>
          <w:szCs w:val="20"/>
        </w:rPr>
        <w:footnoteRef/>
      </w:r>
      <w:r w:rsidRPr="00E14FFD">
        <w:rPr>
          <w:sz w:val="20"/>
          <w:szCs w:val="20"/>
        </w:rPr>
        <w:t xml:space="preserve"> I use the terms </w:t>
      </w:r>
      <w:r w:rsidRPr="007F0263">
        <w:rPr>
          <w:sz w:val="20"/>
          <w:szCs w:val="20"/>
        </w:rPr>
        <w:t xml:space="preserve">assessors and providers </w:t>
      </w:r>
      <w:r w:rsidRPr="004A7C61">
        <w:rPr>
          <w:sz w:val="20"/>
          <w:szCs w:val="20"/>
        </w:rPr>
        <w:t xml:space="preserve">to distinguish two groups of practitioners that are intimately involved with </w:t>
      </w:r>
      <w:r w:rsidRPr="00964516">
        <w:rPr>
          <w:sz w:val="20"/>
          <w:szCs w:val="20"/>
        </w:rPr>
        <w:t xml:space="preserve">MAID provision in Canada. MAID assessors are responsible for determining (via reference to the criteria set out in the statute) whether specific patients can be deemed eligible for the intervention. MAID providers, also known as interventionists, are those who administer the medications that result in the deaths of consenting, eligible patients. Not all assessors perform MAID interventions, but all who provide the interventions must satisfy themselves, just before the procedure is initiated, that the patient remains willing and eligible to proceed.    </w:t>
      </w:r>
    </w:p>
    <w:p w14:paraId="73729194" w14:textId="77777777" w:rsidR="00BB3FE0" w:rsidRPr="00964516" w:rsidRDefault="00BB3FE0" w:rsidP="000E5F31">
      <w:pPr>
        <w:pStyle w:val="FootnoteText"/>
        <w:ind w:firstLine="720"/>
        <w:rPr>
          <w:sz w:val="20"/>
          <w:szCs w:val="20"/>
        </w:rPr>
      </w:pPr>
    </w:p>
  </w:footnote>
  <w:footnote w:id="164">
    <w:p w14:paraId="0D47DC65" w14:textId="77777777" w:rsidR="00BB3FE0" w:rsidRPr="0065582C" w:rsidRDefault="00BB3FE0" w:rsidP="000E5F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eastAsia="Arial Unicode MS"/>
          <w:color w:val="auto"/>
          <w:sz w:val="20"/>
          <w:szCs w:val="20"/>
        </w:rPr>
      </w:pPr>
      <w:r w:rsidRPr="00E14FFD">
        <w:rPr>
          <w:rStyle w:val="FootnoteReference"/>
          <w:sz w:val="20"/>
          <w:szCs w:val="20"/>
        </w:rPr>
        <w:footnoteRef/>
      </w:r>
      <w:r w:rsidRPr="00E14FFD">
        <w:rPr>
          <w:sz w:val="20"/>
          <w:szCs w:val="20"/>
        </w:rPr>
        <w:t xml:space="preserve"> Bill C-14.</w:t>
      </w:r>
      <w:r w:rsidRPr="00E14FFD">
        <w:rPr>
          <w:rFonts w:eastAsia="Arial Unicode MS"/>
          <w:color w:val="auto"/>
          <w:sz w:val="20"/>
          <w:szCs w:val="20"/>
        </w:rPr>
        <w:t xml:space="preserve"> </w:t>
      </w:r>
      <w:r w:rsidRPr="007F0263">
        <w:rPr>
          <w:rFonts w:eastAsia="Arial Unicode MS"/>
          <w:i/>
          <w:color w:val="auto"/>
          <w:sz w:val="20"/>
          <w:szCs w:val="20"/>
        </w:rPr>
        <w:t>An Act to amend the Criminal Code and to make related amendments to other Acts (medical assistance in dying)</w:t>
      </w:r>
      <w:r w:rsidRPr="004A7C61">
        <w:rPr>
          <w:rFonts w:eastAsia="Arial Unicode MS"/>
          <w:color w:val="auto"/>
          <w:sz w:val="20"/>
          <w:szCs w:val="20"/>
        </w:rPr>
        <w:t xml:space="preserve"> (2016). Assented to June 17, 2016, First Session, Forty-second Parliament, 64-65 Elizabeth II, 2015-2016.</w:t>
      </w:r>
      <w:r w:rsidRPr="00964516">
        <w:rPr>
          <w:rFonts w:eastAsia="Arial Unicode MS"/>
          <w:color w:val="auto"/>
          <w:sz w:val="20"/>
          <w:szCs w:val="20"/>
        </w:rPr>
        <w:t xml:space="preserve"> Accessed: February 6, 2019. https://www.parl.ca/DocumentViewer</w:t>
      </w:r>
      <w:r w:rsidRPr="0065582C">
        <w:rPr>
          <w:rFonts w:eastAsia="Arial Unicode MS"/>
          <w:color w:val="auto"/>
          <w:sz w:val="20"/>
          <w:szCs w:val="20"/>
        </w:rPr>
        <w:t>/en/42-1/bill/C-14/royal-assent.</w:t>
      </w:r>
    </w:p>
  </w:footnote>
  <w:footnote w:id="165">
    <w:p w14:paraId="18DECB76" w14:textId="77777777" w:rsidR="00BB3FE0" w:rsidRDefault="00BB3FE0" w:rsidP="000E5F31">
      <w:pPr>
        <w:pStyle w:val="FootnoteText"/>
        <w:ind w:firstLine="720"/>
        <w:rPr>
          <w:sz w:val="20"/>
        </w:rPr>
      </w:pPr>
      <w:r w:rsidRPr="001F343F">
        <w:rPr>
          <w:rStyle w:val="FootnoteReference"/>
          <w:sz w:val="20"/>
        </w:rPr>
        <w:footnoteRef/>
      </w:r>
      <w:r w:rsidRPr="001F343F">
        <w:rPr>
          <w:sz w:val="20"/>
        </w:rPr>
        <w:t xml:space="preserve"> Some early efforts to operationalize the reasonable foreseeability condition drew on the so-called surprise question sometimes used by pallia</w:t>
      </w:r>
      <w:r>
        <w:rPr>
          <w:sz w:val="20"/>
        </w:rPr>
        <w:t>tive care specialists to identify</w:t>
      </w:r>
      <w:r w:rsidRPr="001F343F">
        <w:rPr>
          <w:sz w:val="20"/>
        </w:rPr>
        <w:t xml:space="preserve"> those who are at the end of life and likely in need of their expertise. The question is</w:t>
      </w:r>
      <w:r>
        <w:rPr>
          <w:sz w:val="20"/>
        </w:rPr>
        <w:t>,</w:t>
      </w:r>
      <w:r w:rsidRPr="001F343F">
        <w:rPr>
          <w:sz w:val="20"/>
        </w:rPr>
        <w:t xml:space="preserve"> in essence, Would I be surprised if this patient died within the next twelve months? I leave asi</w:t>
      </w:r>
      <w:r>
        <w:rPr>
          <w:sz w:val="20"/>
        </w:rPr>
        <w:t xml:space="preserve">de the debate over the </w:t>
      </w:r>
      <w:r w:rsidRPr="001F343F">
        <w:rPr>
          <w:sz w:val="20"/>
        </w:rPr>
        <w:t>prognostic</w:t>
      </w:r>
      <w:r>
        <w:rPr>
          <w:sz w:val="20"/>
        </w:rPr>
        <w:t xml:space="preserve"> accuracy of this tool for </w:t>
      </w:r>
      <w:r w:rsidRPr="001F343F">
        <w:rPr>
          <w:sz w:val="20"/>
        </w:rPr>
        <w:t>cancer or other patient populations.</w:t>
      </w:r>
      <w:r>
        <w:rPr>
          <w:sz w:val="20"/>
        </w:rPr>
        <w:t xml:space="preserve"> My point is that since a recent Ontario Superior Court decision it has become evident that this approach is more restrictive than the courts intended.  </w:t>
      </w:r>
    </w:p>
    <w:p w14:paraId="36302D42" w14:textId="77777777" w:rsidR="00BB3FE0" w:rsidRPr="001F343F" w:rsidRDefault="00BB3FE0">
      <w:pPr>
        <w:pStyle w:val="FootnoteText"/>
        <w:rPr>
          <w:sz w:val="20"/>
        </w:rPr>
      </w:pPr>
      <w:r w:rsidRPr="001F343F">
        <w:rPr>
          <w:sz w:val="20"/>
        </w:rPr>
        <w:t xml:space="preserve">   </w:t>
      </w:r>
    </w:p>
  </w:footnote>
  <w:footnote w:id="166">
    <w:p w14:paraId="71450A13" w14:textId="77777777" w:rsidR="00BB3FE0" w:rsidRPr="001F343F" w:rsidRDefault="00BB3FE0" w:rsidP="00A94BD6">
      <w:pPr>
        <w:pStyle w:val="FootnoteText"/>
        <w:ind w:firstLine="720"/>
        <w:rPr>
          <w:sz w:val="20"/>
        </w:rPr>
      </w:pPr>
      <w:r w:rsidRPr="001F343F">
        <w:rPr>
          <w:rStyle w:val="FootnoteReference"/>
          <w:sz w:val="20"/>
        </w:rPr>
        <w:footnoteRef/>
      </w:r>
      <w:r w:rsidRPr="001F343F">
        <w:rPr>
          <w:sz w:val="20"/>
        </w:rPr>
        <w:t xml:space="preserve"> </w:t>
      </w:r>
      <w:r w:rsidRPr="00815B69">
        <w:rPr>
          <w:i/>
          <w:sz w:val="20"/>
        </w:rPr>
        <w:t>A.B. v. Canada</w:t>
      </w:r>
      <w:r w:rsidRPr="001F343F">
        <w:rPr>
          <w:sz w:val="20"/>
        </w:rPr>
        <w:t xml:space="preserve"> (Attorney General), 2017, ONSC 3759, page 12. Online: </w:t>
      </w:r>
      <w:hyperlink r:id="rId14" w:history="1">
        <w:r w:rsidRPr="001F343F">
          <w:rPr>
            <w:rStyle w:val="Hyperlink"/>
            <w:sz w:val="20"/>
          </w:rPr>
          <w:t>http://eol.law.dal.ca/wp-content/uploads/2017/06/20170619152447518.pdf</w:t>
        </w:r>
      </w:hyperlink>
      <w:r w:rsidRPr="001F343F">
        <w:rPr>
          <w:sz w:val="20"/>
        </w:rPr>
        <w:t xml:space="preserve">. Accessed: February 8, 2019. </w:t>
      </w:r>
    </w:p>
  </w:footnote>
  <w:footnote w:id="167">
    <w:p w14:paraId="00A07796" w14:textId="77777777" w:rsidR="00BB3FE0" w:rsidRPr="00A94BD6" w:rsidRDefault="00BB3FE0" w:rsidP="00A94BD6">
      <w:pPr>
        <w:pStyle w:val="FootnoteText"/>
        <w:ind w:firstLine="720"/>
        <w:rPr>
          <w:sz w:val="20"/>
        </w:rPr>
      </w:pPr>
      <w:r w:rsidRPr="002D654F">
        <w:rPr>
          <w:rStyle w:val="FootnoteReference"/>
          <w:sz w:val="20"/>
        </w:rPr>
        <w:footnoteRef/>
      </w:r>
      <w:r w:rsidRPr="002D654F">
        <w:rPr>
          <w:sz w:val="20"/>
        </w:rPr>
        <w:t xml:space="preserve"> </w:t>
      </w:r>
      <w:r>
        <w:rPr>
          <w:sz w:val="20"/>
        </w:rPr>
        <w:t xml:space="preserve">Jody Wilson-Raybould quoted in </w:t>
      </w:r>
      <w:r w:rsidRPr="002A5DE3">
        <w:rPr>
          <w:i/>
          <w:sz w:val="20"/>
        </w:rPr>
        <w:t>A.B. v Canada</w:t>
      </w:r>
      <w:r>
        <w:rPr>
          <w:sz w:val="20"/>
        </w:rPr>
        <w:t>, i</w:t>
      </w:r>
      <w:r w:rsidRPr="002D654F">
        <w:rPr>
          <w:sz w:val="20"/>
        </w:rPr>
        <w:t xml:space="preserve">bid., p.6. </w:t>
      </w:r>
    </w:p>
  </w:footnote>
  <w:footnote w:id="168">
    <w:p w14:paraId="27187290" w14:textId="77777777" w:rsidR="00BB3FE0" w:rsidRDefault="00BB3FE0" w:rsidP="003E138A">
      <w:pPr>
        <w:pStyle w:val="FootnoteText"/>
        <w:ind w:firstLine="720"/>
        <w:rPr>
          <w:sz w:val="20"/>
          <w:szCs w:val="20"/>
        </w:rPr>
      </w:pPr>
      <w:r w:rsidRPr="003E138A">
        <w:rPr>
          <w:rStyle w:val="FootnoteReference"/>
          <w:sz w:val="20"/>
          <w:szCs w:val="20"/>
        </w:rPr>
        <w:footnoteRef/>
      </w:r>
      <w:r w:rsidRPr="003E138A">
        <w:rPr>
          <w:sz w:val="20"/>
          <w:szCs w:val="20"/>
        </w:rPr>
        <w:t xml:space="preserve"> The </w:t>
      </w:r>
      <w:r>
        <w:rPr>
          <w:sz w:val="20"/>
          <w:szCs w:val="20"/>
        </w:rPr>
        <w:t>“</w:t>
      </w:r>
      <w:r w:rsidRPr="003E138A">
        <w:rPr>
          <w:sz w:val="20"/>
          <w:szCs w:val="20"/>
        </w:rPr>
        <w:t xml:space="preserve">grievous </w:t>
      </w:r>
      <w:r>
        <w:rPr>
          <w:sz w:val="20"/>
          <w:szCs w:val="20"/>
        </w:rPr>
        <w:t xml:space="preserve">and irremediable” criterion which must be met for a patient to be deemed eligible for MAID does not oblige him to accept any or all treatments that may ameliorate his suffering or even cure his medical condition. The patient’s suffering must only be irremediable in the sense that any treatments that may be proposed are unacceptable to him. A patient’s refusal of a therapy, or even a trial of therapy, that the physician believes to be reasonable can sometimes be very difficult for a healthcare provider to accept.      </w:t>
      </w:r>
    </w:p>
    <w:p w14:paraId="6FEFB336" w14:textId="77777777" w:rsidR="00BB3FE0" w:rsidRPr="003E138A" w:rsidRDefault="00BB3FE0" w:rsidP="003E138A">
      <w:pPr>
        <w:pStyle w:val="FootnoteText"/>
        <w:ind w:firstLine="720"/>
        <w:rPr>
          <w:sz w:val="20"/>
          <w:szCs w:val="20"/>
        </w:rPr>
      </w:pPr>
      <w:r>
        <w:rPr>
          <w:sz w:val="20"/>
          <w:szCs w:val="20"/>
        </w:rPr>
        <w:t xml:space="preserve"> </w:t>
      </w:r>
    </w:p>
  </w:footnote>
  <w:footnote w:id="169">
    <w:p w14:paraId="59BB0D19" w14:textId="303C5F75" w:rsidR="00BB3FE0" w:rsidRDefault="00BB3FE0" w:rsidP="00B34C0E">
      <w:pPr>
        <w:pStyle w:val="FootnoteText"/>
        <w:ind w:firstLine="720"/>
        <w:rPr>
          <w:sz w:val="20"/>
        </w:rPr>
      </w:pPr>
      <w:r w:rsidRPr="00B34C0E">
        <w:rPr>
          <w:rStyle w:val="FootnoteReference"/>
          <w:sz w:val="20"/>
        </w:rPr>
        <w:footnoteRef/>
      </w:r>
      <w:r w:rsidRPr="00B34C0E">
        <w:rPr>
          <w:sz w:val="20"/>
        </w:rPr>
        <w:t xml:space="preserve"> Commenting on the fact that a 2015 poll showed that 75% of palliative care physicians expressed the view that members of their specialty should not be engaged in aid in dying, even if were to become a legal option, Dr Susan MacDonald, a past president of the Canadian Society of Palliative Care Physicians stated that, “There’s a huge misconception out there that that’s what palliative care is — it’s all about death… No. The great majority of it is about life and living life as best as you possibly can, not just from a physical perspective, but from an emotional and spiritual and psychological perspective...” </w:t>
      </w:r>
      <w:r>
        <w:rPr>
          <w:sz w:val="20"/>
        </w:rPr>
        <w:t>Source: “</w:t>
      </w:r>
      <w:r w:rsidRPr="00B34C0E">
        <w:rPr>
          <w:sz w:val="20"/>
        </w:rPr>
        <w:t>Most palliative physicians want no role in assisted death</w:t>
      </w:r>
      <w:r>
        <w:rPr>
          <w:sz w:val="20"/>
        </w:rPr>
        <w:t xml:space="preserve">.” </w:t>
      </w:r>
      <w:r w:rsidRPr="00B34C0E">
        <w:rPr>
          <w:sz w:val="20"/>
        </w:rPr>
        <w:t>Laura Eggertson</w:t>
      </w:r>
      <w:r>
        <w:rPr>
          <w:sz w:val="20"/>
        </w:rPr>
        <w:t xml:space="preserve">. </w:t>
      </w:r>
      <w:r w:rsidRPr="00B34C0E">
        <w:rPr>
          <w:i/>
          <w:sz w:val="20"/>
        </w:rPr>
        <w:t>C</w:t>
      </w:r>
      <w:r>
        <w:rPr>
          <w:i/>
          <w:sz w:val="20"/>
        </w:rPr>
        <w:t xml:space="preserve">anadian </w:t>
      </w:r>
      <w:r w:rsidRPr="00B34C0E">
        <w:rPr>
          <w:i/>
          <w:sz w:val="20"/>
        </w:rPr>
        <w:t>M</w:t>
      </w:r>
      <w:r>
        <w:rPr>
          <w:i/>
          <w:sz w:val="20"/>
        </w:rPr>
        <w:t xml:space="preserve">edical </w:t>
      </w:r>
      <w:r w:rsidRPr="00B34C0E">
        <w:rPr>
          <w:i/>
          <w:sz w:val="20"/>
        </w:rPr>
        <w:t>A</w:t>
      </w:r>
      <w:r>
        <w:rPr>
          <w:i/>
          <w:sz w:val="20"/>
        </w:rPr>
        <w:t xml:space="preserve">ssociation </w:t>
      </w:r>
      <w:r w:rsidRPr="00B34C0E">
        <w:rPr>
          <w:i/>
          <w:sz w:val="20"/>
        </w:rPr>
        <w:t>J</w:t>
      </w:r>
      <w:r>
        <w:rPr>
          <w:i/>
          <w:sz w:val="20"/>
        </w:rPr>
        <w:t>ournal</w:t>
      </w:r>
      <w:r>
        <w:rPr>
          <w:sz w:val="20"/>
        </w:rPr>
        <w:t xml:space="preserve"> 187.6 (2015): 187.6,</w:t>
      </w:r>
      <w:r w:rsidRPr="00B34C0E">
        <w:rPr>
          <w:sz w:val="20"/>
        </w:rPr>
        <w:t xml:space="preserve"> E177</w:t>
      </w:r>
      <w:r>
        <w:rPr>
          <w:sz w:val="20"/>
        </w:rPr>
        <w:t xml:space="preserve">. </w:t>
      </w:r>
      <w:r w:rsidRPr="00BA63BB">
        <w:rPr>
          <w:sz w:val="20"/>
        </w:rPr>
        <w:t>http://www.cmaj.ca/</w:t>
      </w:r>
      <w:r>
        <w:rPr>
          <w:sz w:val="20"/>
        </w:rPr>
        <w:t>content/cmaj/187/6/E177.full.pdf. Accessed: February 10, 2019.</w:t>
      </w:r>
    </w:p>
    <w:p w14:paraId="77F25EA8" w14:textId="77777777" w:rsidR="00BB3FE0" w:rsidRPr="00B34C0E" w:rsidRDefault="00BB3FE0" w:rsidP="00B34C0E">
      <w:pPr>
        <w:pStyle w:val="FootnoteText"/>
        <w:ind w:firstLine="720"/>
        <w:rPr>
          <w:sz w:val="20"/>
        </w:rPr>
      </w:pPr>
    </w:p>
  </w:footnote>
  <w:footnote w:id="170">
    <w:p w14:paraId="2826466C" w14:textId="77777777" w:rsidR="00BB3FE0" w:rsidRPr="009D5BE3" w:rsidRDefault="00BB3FE0" w:rsidP="009D5BE3">
      <w:pPr>
        <w:pStyle w:val="FootnoteText"/>
        <w:ind w:firstLine="720"/>
        <w:rPr>
          <w:sz w:val="20"/>
        </w:rPr>
      </w:pPr>
      <w:r w:rsidRPr="009D5BE3">
        <w:rPr>
          <w:rStyle w:val="FootnoteReference"/>
          <w:sz w:val="20"/>
        </w:rPr>
        <w:footnoteRef/>
      </w:r>
      <w:r w:rsidRPr="009D5BE3">
        <w:rPr>
          <w:sz w:val="20"/>
        </w:rPr>
        <w:t xml:space="preserve"> Admittedly, the physician who initially judged A.B. eligible for MAID expressed a fear that he would be charged with murder but, perhap</w:t>
      </w:r>
      <w:r>
        <w:rPr>
          <w:sz w:val="20"/>
        </w:rPr>
        <w:t>s surprisingly, this is rarely the</w:t>
      </w:r>
      <w:r w:rsidRPr="009D5BE3">
        <w:rPr>
          <w:sz w:val="20"/>
        </w:rPr>
        <w:t xml:space="preserve"> reason that practitioners offer </w:t>
      </w:r>
      <w:r>
        <w:rPr>
          <w:sz w:val="20"/>
        </w:rPr>
        <w:t xml:space="preserve">(to their colleagues or to ethicists) </w:t>
      </w:r>
      <w:r w:rsidRPr="009D5BE3">
        <w:rPr>
          <w:sz w:val="20"/>
        </w:rPr>
        <w:t xml:space="preserve">for </w:t>
      </w:r>
      <w:r w:rsidRPr="00832177">
        <w:rPr>
          <w:sz w:val="20"/>
          <w:lang w:val="en-GB"/>
        </w:rPr>
        <w:t>harbouring</w:t>
      </w:r>
      <w:r>
        <w:rPr>
          <w:sz w:val="20"/>
        </w:rPr>
        <w:t xml:space="preserve"> doubts about whether they should participate in MAID assessments or interventions</w:t>
      </w:r>
      <w:r w:rsidRPr="009D5BE3">
        <w:rPr>
          <w:sz w:val="20"/>
        </w:rPr>
        <w:t xml:space="preserve">. </w:t>
      </w:r>
    </w:p>
  </w:footnote>
  <w:footnote w:id="171">
    <w:p w14:paraId="5F686C95" w14:textId="77777777" w:rsidR="00BB3FE0" w:rsidRDefault="00BB3FE0" w:rsidP="00E2104A">
      <w:pPr>
        <w:pStyle w:val="FootnoteText"/>
        <w:ind w:firstLine="720"/>
        <w:rPr>
          <w:sz w:val="20"/>
          <w:szCs w:val="20"/>
        </w:rPr>
      </w:pPr>
      <w:r w:rsidRPr="00F94EEA">
        <w:rPr>
          <w:rStyle w:val="FootnoteReference"/>
          <w:sz w:val="20"/>
          <w:szCs w:val="20"/>
        </w:rPr>
        <w:footnoteRef/>
      </w:r>
      <w:r w:rsidRPr="00F94EEA">
        <w:rPr>
          <w:sz w:val="20"/>
          <w:szCs w:val="20"/>
        </w:rPr>
        <w:t xml:space="preserve"> Sandy Buchman. “Why I decided to provide assisted dying: it is truly patient centred care.”</w:t>
      </w:r>
      <w:r w:rsidRPr="00F94EEA">
        <w:rPr>
          <w:rStyle w:val="FootnoteReference"/>
          <w:sz w:val="20"/>
          <w:szCs w:val="20"/>
        </w:rPr>
        <w:t xml:space="preserve"> </w:t>
      </w:r>
      <w:r w:rsidRPr="00F94EEA">
        <w:rPr>
          <w:sz w:val="20"/>
          <w:szCs w:val="20"/>
        </w:rPr>
        <w:t xml:space="preserve"> </w:t>
      </w:r>
      <w:r w:rsidRPr="00F94EEA">
        <w:rPr>
          <w:i/>
          <w:sz w:val="20"/>
          <w:szCs w:val="20"/>
        </w:rPr>
        <w:t>British Medical Journal</w:t>
      </w:r>
      <w:r w:rsidRPr="00F94EEA">
        <w:rPr>
          <w:sz w:val="20"/>
          <w:szCs w:val="20"/>
        </w:rPr>
        <w:t xml:space="preserve"> 364 (2019): 1412</w:t>
      </w:r>
      <w:r>
        <w:rPr>
          <w:sz w:val="20"/>
          <w:szCs w:val="20"/>
        </w:rPr>
        <w:t>. H</w:t>
      </w:r>
      <w:r w:rsidRPr="00F94EEA">
        <w:rPr>
          <w:sz w:val="20"/>
          <w:szCs w:val="20"/>
        </w:rPr>
        <w:t xml:space="preserve">ttps://www.bmj.com/content/364/bmj.l412 </w:t>
      </w:r>
      <w:r>
        <w:rPr>
          <w:sz w:val="20"/>
          <w:szCs w:val="20"/>
        </w:rPr>
        <w:t>Accessed: 31 January 2019.</w:t>
      </w:r>
    </w:p>
    <w:p w14:paraId="441A77AE" w14:textId="77777777" w:rsidR="00BB3FE0" w:rsidRPr="00E2104A" w:rsidRDefault="00BB3FE0" w:rsidP="00E2104A">
      <w:pPr>
        <w:pStyle w:val="FootnoteText"/>
        <w:ind w:firstLine="720"/>
        <w:rPr>
          <w:sz w:val="20"/>
          <w:szCs w:val="20"/>
        </w:rPr>
      </w:pPr>
    </w:p>
  </w:footnote>
  <w:footnote w:id="172">
    <w:p w14:paraId="466E2919" w14:textId="77777777" w:rsidR="00BB3FE0" w:rsidRPr="00E2104A" w:rsidRDefault="00BB3FE0" w:rsidP="00E2104A">
      <w:pPr>
        <w:ind w:firstLine="720"/>
        <w:rPr>
          <w:color w:val="auto"/>
          <w:sz w:val="20"/>
          <w:bdr w:val="none" w:sz="0" w:space="0" w:color="auto"/>
          <w:lang w:val="en" w:eastAsia="en-GB"/>
        </w:rPr>
      </w:pPr>
      <w:r w:rsidRPr="00FB34CD">
        <w:rPr>
          <w:rStyle w:val="FootnoteReference"/>
          <w:sz w:val="20"/>
        </w:rPr>
        <w:footnoteRef/>
      </w:r>
      <w:r w:rsidRPr="00FB34CD">
        <w:rPr>
          <w:sz w:val="20"/>
        </w:rPr>
        <w:t xml:space="preserve"> </w:t>
      </w:r>
      <w:r w:rsidRPr="00FB34CD">
        <w:rPr>
          <w:color w:val="auto"/>
          <w:sz w:val="20"/>
          <w:bdr w:val="none" w:sz="0" w:space="0" w:color="auto"/>
          <w:lang w:val="en" w:eastAsia="en-GB"/>
        </w:rPr>
        <w:t>Leonie Herx, Srini Chary, Ed Dubland, David Henderson, Bernard Lapointe, Robin Fainsinger, and Valerie Schulz.</w:t>
      </w:r>
      <w:r w:rsidRPr="00FB34CD">
        <w:rPr>
          <w:sz w:val="20"/>
        </w:rPr>
        <w:t xml:space="preserve"> “Take off the rose-coloured glasses. A response to Drs Buchman and Blackmer,” </w:t>
      </w:r>
      <w:r w:rsidRPr="00FB34CD">
        <w:rPr>
          <w:i/>
          <w:sz w:val="20"/>
        </w:rPr>
        <w:t>British Medical Journal</w:t>
      </w:r>
      <w:r>
        <w:rPr>
          <w:i/>
          <w:sz w:val="20"/>
        </w:rPr>
        <w:t xml:space="preserve"> </w:t>
      </w:r>
      <w:r w:rsidRPr="00F94EEA">
        <w:rPr>
          <w:sz w:val="20"/>
          <w:szCs w:val="20"/>
        </w:rPr>
        <w:t>364 (2019)</w:t>
      </w:r>
      <w:r w:rsidRPr="00FB34CD">
        <w:rPr>
          <w:sz w:val="20"/>
        </w:rPr>
        <w:t xml:space="preserve">. </w:t>
      </w:r>
      <w:r w:rsidRPr="00FB34CD">
        <w:rPr>
          <w:color w:val="auto"/>
          <w:sz w:val="20"/>
          <w:bdr w:val="none" w:sz="0" w:space="0" w:color="auto"/>
          <w:lang w:val="en" w:eastAsia="en-GB"/>
        </w:rPr>
        <w:t xml:space="preserve">8 February 2019. </w:t>
      </w:r>
      <w:hyperlink r:id="rId15" w:history="1">
        <w:r w:rsidRPr="00FB34CD">
          <w:rPr>
            <w:rStyle w:val="Hyperlink"/>
            <w:sz w:val="20"/>
            <w:bdr w:val="none" w:sz="0" w:space="0" w:color="auto"/>
            <w:lang w:val="en" w:eastAsia="en-GB"/>
          </w:rPr>
          <w:t>https://www.bmj.com/content/364/bmj.l412/rr-18</w:t>
        </w:r>
      </w:hyperlink>
      <w:r w:rsidRPr="00FB34CD">
        <w:rPr>
          <w:color w:val="auto"/>
          <w:sz w:val="20"/>
          <w:bdr w:val="none" w:sz="0" w:space="0" w:color="auto"/>
          <w:lang w:val="en" w:eastAsia="en-GB"/>
        </w:rPr>
        <w:t>. Accessed</w:t>
      </w:r>
      <w:r>
        <w:rPr>
          <w:color w:val="auto"/>
          <w:sz w:val="20"/>
          <w:bdr w:val="none" w:sz="0" w:space="0" w:color="auto"/>
          <w:lang w:val="en" w:eastAsia="en-GB"/>
        </w:rPr>
        <w:t xml:space="preserve">: 10 February 2019. </w:t>
      </w:r>
    </w:p>
  </w:footnote>
  <w:footnote w:id="173">
    <w:p w14:paraId="0B2B8A96" w14:textId="77777777" w:rsidR="00BB3FE0" w:rsidRDefault="00BB3FE0" w:rsidP="00113710">
      <w:pPr>
        <w:widowControl w:val="0"/>
        <w:ind w:left="800" w:hanging="80"/>
        <w:rPr>
          <w:sz w:val="20"/>
        </w:rPr>
      </w:pPr>
      <w:r w:rsidRPr="00113710">
        <w:rPr>
          <w:rStyle w:val="FootnoteReference"/>
          <w:sz w:val="20"/>
        </w:rPr>
        <w:footnoteRef/>
      </w:r>
      <w:r w:rsidRPr="00113710">
        <w:rPr>
          <w:sz w:val="20"/>
        </w:rPr>
        <w:t xml:space="preserve"> For a description of one hospital’s approach to </w:t>
      </w:r>
      <w:r>
        <w:rPr>
          <w:sz w:val="20"/>
        </w:rPr>
        <w:t xml:space="preserve">some of </w:t>
      </w:r>
      <w:r w:rsidRPr="00113710">
        <w:rPr>
          <w:sz w:val="20"/>
        </w:rPr>
        <w:t>the challenges presented</w:t>
      </w:r>
      <w:r>
        <w:rPr>
          <w:sz w:val="20"/>
        </w:rPr>
        <w:t xml:space="preserve"> by the</w:t>
      </w:r>
    </w:p>
    <w:p w14:paraId="2070628D" w14:textId="294208CA" w:rsidR="00BB3FE0" w:rsidRDefault="00BB3FE0" w:rsidP="00113710">
      <w:pPr>
        <w:widowControl w:val="0"/>
        <w:rPr>
          <w:sz w:val="20"/>
          <w:lang w:val="en-US"/>
        </w:rPr>
      </w:pPr>
      <w:r>
        <w:rPr>
          <w:sz w:val="20"/>
        </w:rPr>
        <w:t>legaliz</w:t>
      </w:r>
      <w:r w:rsidRPr="00113710">
        <w:rPr>
          <w:sz w:val="20"/>
        </w:rPr>
        <w:t xml:space="preserve">ation of MAID see </w:t>
      </w:r>
      <w:r w:rsidRPr="00113710">
        <w:rPr>
          <w:sz w:val="20"/>
          <w:lang w:val="en-US"/>
        </w:rPr>
        <w:t xml:space="preserve">Madeline Li, Sarah Watt, Marnie Escaf, Michael Gardam, Ann Heesters, Gerald O’Leary, and Gary Rodin. "Medical Assistance in Dying — Implementing a Hospital-Based Program in Canada.” </w:t>
      </w:r>
      <w:r w:rsidRPr="00113710">
        <w:rPr>
          <w:i/>
          <w:sz w:val="20"/>
          <w:lang w:val="en-US"/>
        </w:rPr>
        <w:t>New England Journal of Medicine</w:t>
      </w:r>
      <w:r w:rsidRPr="00113710">
        <w:rPr>
          <w:sz w:val="20"/>
          <w:lang w:val="en-US"/>
        </w:rPr>
        <w:t>. 376.21, Ma</w:t>
      </w:r>
      <w:r>
        <w:rPr>
          <w:sz w:val="20"/>
          <w:lang w:val="en-US"/>
        </w:rPr>
        <w:t xml:space="preserve">y 25, </w:t>
      </w:r>
      <w:r w:rsidRPr="00113710">
        <w:rPr>
          <w:sz w:val="20"/>
          <w:lang w:val="en-US"/>
        </w:rPr>
        <w:t>2017</w:t>
      </w:r>
      <w:r>
        <w:rPr>
          <w:sz w:val="20"/>
          <w:lang w:val="en-US"/>
        </w:rPr>
        <w:t xml:space="preserve">. </w:t>
      </w:r>
    </w:p>
    <w:p w14:paraId="12818EB2" w14:textId="77777777" w:rsidR="00BB3FE0" w:rsidRPr="00F87EF2" w:rsidRDefault="00BB3FE0">
      <w:pPr>
        <w:pStyle w:val="FootnoteText"/>
        <w:rPr>
          <w:sz w:val="20"/>
        </w:rPr>
      </w:pPr>
    </w:p>
  </w:footnote>
  <w:footnote w:id="174">
    <w:p w14:paraId="0F4C037B" w14:textId="77777777" w:rsidR="00BB3FE0" w:rsidRDefault="00BB3FE0" w:rsidP="007B51EA">
      <w:pPr>
        <w:ind w:firstLine="720"/>
        <w:rPr>
          <w:sz w:val="20"/>
        </w:rPr>
      </w:pPr>
      <w:r w:rsidRPr="00D32F5B">
        <w:rPr>
          <w:rStyle w:val="FootnoteReference"/>
          <w:sz w:val="20"/>
        </w:rPr>
        <w:footnoteRef/>
      </w:r>
      <w:r w:rsidRPr="00D32F5B">
        <w:rPr>
          <w:sz w:val="20"/>
        </w:rPr>
        <w:t xml:space="preserve"> This latter justificatio</w:t>
      </w:r>
      <w:r>
        <w:rPr>
          <w:sz w:val="20"/>
        </w:rPr>
        <w:t>n, however, is one that likely would not survive</w:t>
      </w:r>
      <w:r w:rsidRPr="00D32F5B">
        <w:rPr>
          <w:sz w:val="20"/>
        </w:rPr>
        <w:t xml:space="preserve"> careful scrutiny. </w:t>
      </w:r>
      <w:r>
        <w:rPr>
          <w:sz w:val="20"/>
        </w:rPr>
        <w:t>Although MAID cases present ethical challenges that may be top of consciousness at present, it is not obvious that they are greater than the difficulties faced, for example, in the context of organ donation (where resources are absolutely scarce and patient eligibility requires judgement about a complex inter-relationship between social and medical variables). Despite this fact, I know of no PHEs who are leading, or being considered as operational leads, of multi-organ transplant programs.</w:t>
      </w:r>
    </w:p>
    <w:p w14:paraId="722E3DBA" w14:textId="77777777" w:rsidR="00BB3FE0" w:rsidRPr="007B51EA" w:rsidRDefault="00BB3FE0" w:rsidP="007B51EA">
      <w:pPr>
        <w:ind w:firstLine="720"/>
        <w:rPr>
          <w:sz w:val="20"/>
        </w:rPr>
      </w:pPr>
    </w:p>
  </w:footnote>
  <w:footnote w:id="175">
    <w:p w14:paraId="730303AD" w14:textId="77777777" w:rsidR="00BB3FE0" w:rsidRDefault="00BB3FE0" w:rsidP="00930F52">
      <w:pPr>
        <w:pStyle w:val="FootnoteText"/>
        <w:ind w:firstLine="720"/>
      </w:pPr>
      <w:r w:rsidRPr="00F87EF2">
        <w:rPr>
          <w:rStyle w:val="FootnoteReference"/>
          <w:sz w:val="20"/>
        </w:rPr>
        <w:footnoteRef/>
      </w:r>
      <w:r>
        <w:rPr>
          <w:sz w:val="20"/>
        </w:rPr>
        <w:t xml:space="preserve"> </w:t>
      </w:r>
      <w:r w:rsidRPr="00F87EF2">
        <w:rPr>
          <w:sz w:val="20"/>
        </w:rPr>
        <w:t xml:space="preserve">The </w:t>
      </w:r>
      <w:r w:rsidRPr="00F87EF2">
        <w:rPr>
          <w:i/>
          <w:sz w:val="20"/>
        </w:rPr>
        <w:t>Carter</w:t>
      </w:r>
      <w:r w:rsidRPr="00F87EF2">
        <w:rPr>
          <w:sz w:val="20"/>
        </w:rPr>
        <w:t xml:space="preserve"> decision and </w:t>
      </w:r>
      <w:r>
        <w:rPr>
          <w:sz w:val="20"/>
        </w:rPr>
        <w:t xml:space="preserve">the </w:t>
      </w:r>
      <w:r w:rsidRPr="00F87EF2">
        <w:rPr>
          <w:sz w:val="20"/>
        </w:rPr>
        <w:t xml:space="preserve">policies of </w:t>
      </w:r>
      <w:r>
        <w:rPr>
          <w:sz w:val="20"/>
        </w:rPr>
        <w:t>various</w:t>
      </w:r>
      <w:r w:rsidRPr="00F87EF2">
        <w:rPr>
          <w:sz w:val="20"/>
        </w:rPr>
        <w:t xml:space="preserve"> regulatory colleges have affirmed that conscientious objections to MAID </w:t>
      </w:r>
      <w:r>
        <w:rPr>
          <w:sz w:val="20"/>
        </w:rPr>
        <w:t>participation must be respected,</w:t>
      </w:r>
      <w:r w:rsidRPr="00F87EF2">
        <w:rPr>
          <w:sz w:val="20"/>
        </w:rPr>
        <w:t xml:space="preserve"> therefore direct participation in MAID is limited to willing volunteers. Some controversies </w:t>
      </w:r>
      <w:r>
        <w:rPr>
          <w:sz w:val="20"/>
        </w:rPr>
        <w:t>persist</w:t>
      </w:r>
      <w:r w:rsidRPr="00F87EF2">
        <w:rPr>
          <w:sz w:val="20"/>
        </w:rPr>
        <w:t xml:space="preserve"> with respect to the meaning of the term “participation,” but this example is not designed to delve into that debate. Rather it is to explore the nature of some of the concerns</w:t>
      </w:r>
      <w:r>
        <w:rPr>
          <w:sz w:val="20"/>
        </w:rPr>
        <w:t xml:space="preserve"> </w:t>
      </w:r>
      <w:r w:rsidRPr="00F87EF2">
        <w:rPr>
          <w:sz w:val="20"/>
        </w:rPr>
        <w:t>that have been raised by MAID assessors and providers</w:t>
      </w:r>
      <w:r>
        <w:rPr>
          <w:sz w:val="20"/>
        </w:rPr>
        <w:t xml:space="preserve"> in the hard cases they have faced</w:t>
      </w:r>
      <w:r w:rsidRPr="00F87EF2">
        <w:rPr>
          <w:sz w:val="20"/>
        </w:rPr>
        <w:t>.</w:t>
      </w:r>
      <w:r>
        <w:rPr>
          <w:sz w:val="20"/>
        </w:rPr>
        <w:t xml:space="preserve"> </w:t>
      </w:r>
    </w:p>
  </w:footnote>
  <w:footnote w:id="176">
    <w:p w14:paraId="55B0EE78" w14:textId="3C2A4A17" w:rsidR="00BB3FE0" w:rsidRDefault="00BB3FE0" w:rsidP="00851014">
      <w:pPr>
        <w:pStyle w:val="FootnoteText"/>
        <w:ind w:firstLine="720"/>
        <w:rPr>
          <w:sz w:val="20"/>
        </w:rPr>
      </w:pPr>
      <w:r w:rsidRPr="00851014">
        <w:rPr>
          <w:rStyle w:val="FootnoteReference"/>
          <w:sz w:val="20"/>
        </w:rPr>
        <w:footnoteRef/>
      </w:r>
      <w:r w:rsidRPr="00851014">
        <w:rPr>
          <w:sz w:val="20"/>
        </w:rPr>
        <w:t xml:space="preserve"> For a r</w:t>
      </w:r>
      <w:r>
        <w:rPr>
          <w:sz w:val="20"/>
        </w:rPr>
        <w:t xml:space="preserve">eal-life example </w:t>
      </w:r>
      <w:r w:rsidRPr="00851014">
        <w:rPr>
          <w:sz w:val="20"/>
        </w:rPr>
        <w:t xml:space="preserve">see: Kelly Grant. “Medically assisted death allows couple married almost 73 years to die together.” The </w:t>
      </w:r>
      <w:r w:rsidRPr="00D46117">
        <w:rPr>
          <w:i/>
          <w:sz w:val="20"/>
        </w:rPr>
        <w:t>Globe and Mail</w:t>
      </w:r>
      <w:r w:rsidRPr="00851014">
        <w:rPr>
          <w:sz w:val="20"/>
        </w:rPr>
        <w:t xml:space="preserve">, 1 April 2018. </w:t>
      </w:r>
      <w:hyperlink r:id="rId16" w:history="1">
        <w:r w:rsidRPr="00851014">
          <w:rPr>
            <w:rStyle w:val="Hyperlink"/>
            <w:sz w:val="20"/>
          </w:rPr>
          <w:t>https://www.theglobeandmail.com/canada/article-medically-assisted-death-allows-couple-married-almost-73-years-to-die/</w:t>
        </w:r>
      </w:hyperlink>
      <w:r w:rsidRPr="00851014">
        <w:rPr>
          <w:sz w:val="20"/>
        </w:rPr>
        <w:t xml:space="preserve">. Accessed: February </w:t>
      </w:r>
      <w:r>
        <w:rPr>
          <w:sz w:val="20"/>
        </w:rPr>
        <w:t xml:space="preserve">11, </w:t>
      </w:r>
      <w:r w:rsidRPr="00851014">
        <w:rPr>
          <w:sz w:val="20"/>
        </w:rPr>
        <w:t xml:space="preserve">2019. </w:t>
      </w:r>
      <w:r>
        <w:rPr>
          <w:sz w:val="20"/>
        </w:rPr>
        <w:t>In this specific case, one partner was initially assessed as meeting the criteria for MAID but she elected to hang on, despite her suffering, until her husband’s physical decline was sufficient to render him more clearly eligible for the intervention.</w:t>
      </w:r>
    </w:p>
    <w:p w14:paraId="7FB95DB6" w14:textId="77777777" w:rsidR="00BB3FE0" w:rsidRPr="00671C7D" w:rsidRDefault="00BB3FE0" w:rsidP="00851014">
      <w:pPr>
        <w:pStyle w:val="FootnoteText"/>
        <w:ind w:firstLine="720"/>
        <w:rPr>
          <w:sz w:val="20"/>
        </w:rPr>
      </w:pPr>
    </w:p>
  </w:footnote>
  <w:footnote w:id="177">
    <w:p w14:paraId="054D1372" w14:textId="77777777" w:rsidR="00BB3FE0" w:rsidRDefault="00BB3FE0" w:rsidP="00472AEB">
      <w:pPr>
        <w:pStyle w:val="FootnoteText"/>
        <w:ind w:firstLine="720"/>
        <w:rPr>
          <w:sz w:val="20"/>
        </w:rPr>
      </w:pPr>
      <w:r w:rsidRPr="001C218D">
        <w:rPr>
          <w:rStyle w:val="FootnoteReference"/>
          <w:sz w:val="20"/>
        </w:rPr>
        <w:footnoteRef/>
      </w:r>
      <w:r w:rsidRPr="001C218D">
        <w:rPr>
          <w:sz w:val="20"/>
        </w:rPr>
        <w:t xml:space="preserve"> </w:t>
      </w:r>
      <w:r>
        <w:rPr>
          <w:sz w:val="20"/>
        </w:rPr>
        <w:t>The “Vulnerable Persons Standard” was developed by a group of individuals with expertise in ethics, law, medicine, public policy, and disability advocacy who regard age and frailty, among other conditions, as especially concerning grounds for MAID eligibility. Their view is that “</w:t>
      </w:r>
      <w:r w:rsidRPr="00024F00">
        <w:rPr>
          <w:sz w:val="20"/>
        </w:rPr>
        <w:t>stigma, abuse, coercion, isolation and depression</w:t>
      </w:r>
      <w:r>
        <w:rPr>
          <w:sz w:val="20"/>
        </w:rPr>
        <w:t xml:space="preserve">” may drive such requests and every effort should be made to overcome these potentially coercive factors. The standard may be accessed online at: </w:t>
      </w:r>
      <w:hyperlink r:id="rId17" w:history="1">
        <w:r w:rsidRPr="007A7658">
          <w:rPr>
            <w:rStyle w:val="Hyperlink"/>
            <w:sz w:val="20"/>
          </w:rPr>
          <w:t>http://www.vps-npv.ca/readthestandard</w:t>
        </w:r>
      </w:hyperlink>
      <w:r>
        <w:rPr>
          <w:sz w:val="20"/>
        </w:rPr>
        <w:t xml:space="preserve">. </w:t>
      </w:r>
    </w:p>
    <w:p w14:paraId="78EFA77F" w14:textId="77777777" w:rsidR="00BB3FE0" w:rsidRPr="001C218D" w:rsidRDefault="00BB3FE0" w:rsidP="001C218D">
      <w:pPr>
        <w:pStyle w:val="FootnoteText"/>
        <w:ind w:firstLine="720"/>
        <w:rPr>
          <w:sz w:val="20"/>
        </w:rPr>
      </w:pPr>
      <w:r>
        <w:rPr>
          <w:sz w:val="20"/>
        </w:rPr>
        <w:t xml:space="preserve">On the other hand, the anthropologist Naomi Richards has written about the ageist biases that may motivate refusals to acknowledge the ethical defensibility of rational suicides or requests for aid in dying in the context of what some have called a completed life.     </w:t>
      </w:r>
      <w:r w:rsidRPr="00803E8F">
        <w:rPr>
          <w:sz w:val="20"/>
        </w:rPr>
        <w:t xml:space="preserve"> </w:t>
      </w:r>
      <w:r>
        <w:rPr>
          <w:sz w:val="20"/>
        </w:rPr>
        <w:t xml:space="preserve">   </w:t>
      </w:r>
    </w:p>
  </w:footnote>
  <w:footnote w:id="178">
    <w:p w14:paraId="1CF99DFD" w14:textId="3E6C33DD" w:rsidR="00BB3FE0" w:rsidRDefault="00BB3FE0" w:rsidP="005C2DFF">
      <w:pPr>
        <w:pStyle w:val="FootnoteText"/>
        <w:ind w:firstLine="720"/>
      </w:pPr>
      <w:r w:rsidRPr="00526189">
        <w:rPr>
          <w:rStyle w:val="FootnoteReference"/>
          <w:sz w:val="20"/>
        </w:rPr>
        <w:footnoteRef/>
      </w:r>
      <w:r w:rsidRPr="00526189">
        <w:rPr>
          <w:sz w:val="20"/>
        </w:rPr>
        <w:t xml:space="preserve"> Francis Kamm, “The Philosopher as Insid</w:t>
      </w:r>
      <w:r>
        <w:rPr>
          <w:sz w:val="20"/>
        </w:rPr>
        <w:t xml:space="preserve">er and Outsider: How to Advise, </w:t>
      </w:r>
      <w:r w:rsidRPr="00526189">
        <w:rPr>
          <w:sz w:val="20"/>
        </w:rPr>
        <w:t xml:space="preserve">Compromise, and Criticize,” </w:t>
      </w:r>
      <w:r w:rsidRPr="00526189">
        <w:rPr>
          <w:i/>
          <w:sz w:val="20"/>
        </w:rPr>
        <w:t>Business &amp; Professional Ethics Journal</w:t>
      </w:r>
      <w:r w:rsidRPr="00526189">
        <w:rPr>
          <w:sz w:val="20"/>
        </w:rPr>
        <w:t xml:space="preserve"> 9.1</w:t>
      </w:r>
      <w:r>
        <w:rPr>
          <w:sz w:val="20"/>
        </w:rPr>
        <w:t>/</w:t>
      </w:r>
      <w:r w:rsidRPr="00526189">
        <w:rPr>
          <w:sz w:val="20"/>
        </w:rPr>
        <w:t xml:space="preserve">2 (1990): 7. </w:t>
      </w:r>
      <w:r>
        <w:rPr>
          <w:sz w:val="20"/>
        </w:rPr>
        <w:t xml:space="preserve">Online: </w:t>
      </w:r>
      <w:r w:rsidRPr="008D798B">
        <w:rPr>
          <w:sz w:val="20"/>
        </w:rPr>
        <w:t>http://www.jstor.org.myaccess.library.utoronto.ca/stable/27800028</w:t>
      </w:r>
      <w:r w:rsidRPr="00526189">
        <w:rPr>
          <w:sz w:val="20"/>
        </w:rPr>
        <w:t>. Accessed:</w:t>
      </w:r>
      <w:r>
        <w:rPr>
          <w:sz w:val="20"/>
        </w:rPr>
        <w:t xml:space="preserve"> </w:t>
      </w:r>
      <w:r w:rsidRPr="00526189">
        <w:rPr>
          <w:sz w:val="20"/>
        </w:rPr>
        <w:t>February</w:t>
      </w:r>
      <w:r>
        <w:rPr>
          <w:sz w:val="20"/>
        </w:rPr>
        <w:t xml:space="preserve"> 10, </w:t>
      </w:r>
      <w:r w:rsidRPr="00526189">
        <w:rPr>
          <w:sz w:val="20"/>
        </w:rPr>
        <w:t>2019.</w:t>
      </w:r>
    </w:p>
  </w:footnote>
  <w:footnote w:id="179">
    <w:p w14:paraId="2F2EA749" w14:textId="77777777" w:rsidR="00BB3FE0" w:rsidRDefault="00BB3FE0" w:rsidP="00E2104A">
      <w:pPr>
        <w:pStyle w:val="FootnoteText"/>
        <w:ind w:firstLine="720"/>
        <w:rPr>
          <w:sz w:val="20"/>
        </w:rPr>
      </w:pPr>
      <w:r w:rsidRPr="00E5295C">
        <w:rPr>
          <w:rStyle w:val="FootnoteReference"/>
          <w:sz w:val="20"/>
        </w:rPr>
        <w:footnoteRef/>
      </w:r>
      <w:r w:rsidRPr="00E5295C">
        <w:rPr>
          <w:sz w:val="20"/>
        </w:rPr>
        <w:t xml:space="preserve"> Ibid.</w:t>
      </w:r>
      <w:r>
        <w:rPr>
          <w:sz w:val="20"/>
        </w:rPr>
        <w:t>, 8-9.</w:t>
      </w:r>
      <w:r w:rsidRPr="00E5295C">
        <w:rPr>
          <w:sz w:val="20"/>
        </w:rPr>
        <w:t xml:space="preserve"> </w:t>
      </w:r>
    </w:p>
    <w:p w14:paraId="2BD47416" w14:textId="77777777" w:rsidR="00BB3FE0" w:rsidRPr="00974D13" w:rsidRDefault="00BB3FE0" w:rsidP="00E5295C">
      <w:pPr>
        <w:pStyle w:val="FootnoteText"/>
        <w:ind w:firstLine="720"/>
        <w:rPr>
          <w:sz w:val="20"/>
        </w:rPr>
      </w:pPr>
    </w:p>
  </w:footnote>
  <w:footnote w:id="180">
    <w:p w14:paraId="10763E4C" w14:textId="77777777" w:rsidR="00BB3FE0" w:rsidRDefault="00BB3FE0" w:rsidP="003155B4">
      <w:pPr>
        <w:pStyle w:val="FootnoteText"/>
        <w:ind w:firstLine="720"/>
      </w:pPr>
      <w:r w:rsidRPr="00FB4F39">
        <w:rPr>
          <w:rStyle w:val="FootnoteReference"/>
          <w:sz w:val="20"/>
        </w:rPr>
        <w:footnoteRef/>
      </w:r>
      <w:r w:rsidRPr="00FB4F39">
        <w:rPr>
          <w:sz w:val="20"/>
        </w:rPr>
        <w:t xml:space="preserve"> </w:t>
      </w:r>
      <w:r w:rsidRPr="003155B4">
        <w:rPr>
          <w:i/>
          <w:sz w:val="20"/>
        </w:rPr>
        <w:t>Core Competencies</w:t>
      </w:r>
      <w:r w:rsidRPr="00FB4F39">
        <w:rPr>
          <w:sz w:val="20"/>
        </w:rPr>
        <w:t>, p.7.</w:t>
      </w:r>
    </w:p>
  </w:footnote>
  <w:footnote w:id="181">
    <w:p w14:paraId="234095F8" w14:textId="3C9D6C20" w:rsidR="00BB3FE0" w:rsidRPr="004A7C61" w:rsidRDefault="00BB3FE0" w:rsidP="00107F9E">
      <w:pPr>
        <w:pStyle w:val="FootnoteText"/>
        <w:ind w:firstLine="720"/>
        <w:rPr>
          <w:sz w:val="20"/>
          <w:szCs w:val="20"/>
        </w:rPr>
      </w:pPr>
      <w:r w:rsidRPr="00107F9E">
        <w:rPr>
          <w:rStyle w:val="FootnoteReference"/>
          <w:sz w:val="20"/>
          <w:szCs w:val="20"/>
        </w:rPr>
        <w:footnoteRef/>
      </w:r>
      <w:r w:rsidRPr="00107F9E">
        <w:rPr>
          <w:sz w:val="20"/>
          <w:szCs w:val="20"/>
        </w:rPr>
        <w:t xml:space="preserve"> “The Epistemic Costs of Compromise” by Katrien Devolder and Thomas Douglas </w:t>
      </w:r>
      <w:r w:rsidRPr="00107F9E">
        <w:rPr>
          <w:i/>
          <w:sz w:val="20"/>
          <w:szCs w:val="20"/>
        </w:rPr>
        <w:t>Bioethics</w:t>
      </w:r>
      <w:r w:rsidRPr="00107F9E">
        <w:rPr>
          <w:sz w:val="20"/>
          <w:szCs w:val="20"/>
        </w:rPr>
        <w:t xml:space="preserve"> 32.2 (2018)</w:t>
      </w:r>
      <w:r>
        <w:rPr>
          <w:sz w:val="20"/>
          <w:szCs w:val="20"/>
        </w:rPr>
        <w:t xml:space="preserve"> </w:t>
      </w:r>
      <w:r w:rsidRPr="00107F9E">
        <w:rPr>
          <w:sz w:val="20"/>
          <w:szCs w:val="20"/>
        </w:rPr>
        <w:t>is a recent article which probes some additional problems with Brock’s defense. The authors note that a failure to articulate the genuine reason, or reasons, for a compromise position may have</w:t>
      </w:r>
      <w:r w:rsidRPr="0036040F">
        <w:rPr>
          <w:sz w:val="20"/>
        </w:rPr>
        <w:t xml:space="preserve"> two serious unintended consequences. The first is that subsequent arguments which draw on the deceptive one may start from premises which are insufficiently justified because of the authority that has been granted to those with acknowledged expertise with the result that each iteration will result in worse compromises or policy positions. The second is that the overall quality of debates in bioethics may become (or be) poorer owing to an unwillingness to engage in the sort of uncensored philosophical debate that gives academic philosophy its rigor. Their proposed solution, to encourage distinct venues for each type of debate however, seems to miss the mark for all of the reasons described in my discussion of Kamm’s </w:t>
      </w:r>
      <w:r w:rsidRPr="004A7C61">
        <w:rPr>
          <w:sz w:val="20"/>
          <w:szCs w:val="20"/>
        </w:rPr>
        <w:t>duties. A better solution, on my view, would be to promote increased interaction between academic and clinically-based ethicists, and to carefully consider the role-related obligations of each.</w:t>
      </w:r>
    </w:p>
    <w:p w14:paraId="7E49EA3A" w14:textId="77777777" w:rsidR="00BB3FE0" w:rsidRPr="004A7C61" w:rsidRDefault="00BB3FE0" w:rsidP="00107F9E">
      <w:pPr>
        <w:pStyle w:val="FootnoteText"/>
        <w:ind w:firstLine="720"/>
        <w:rPr>
          <w:sz w:val="20"/>
          <w:szCs w:val="20"/>
        </w:rPr>
      </w:pPr>
    </w:p>
  </w:footnote>
  <w:footnote w:id="182">
    <w:p w14:paraId="1F6FCB3A" w14:textId="4F8E6A94" w:rsidR="00BB3FE0" w:rsidRPr="004A7C61" w:rsidRDefault="00BB3FE0">
      <w:pPr>
        <w:pStyle w:val="FootnoteText"/>
        <w:rPr>
          <w:sz w:val="20"/>
          <w:szCs w:val="20"/>
        </w:rPr>
      </w:pPr>
      <w:r w:rsidRPr="004A7C61">
        <w:rPr>
          <w:sz w:val="20"/>
          <w:szCs w:val="20"/>
        </w:rPr>
        <w:tab/>
      </w:r>
      <w:r w:rsidRPr="004A7C61">
        <w:rPr>
          <w:rStyle w:val="FootnoteReference"/>
          <w:sz w:val="20"/>
          <w:szCs w:val="20"/>
        </w:rPr>
        <w:footnoteRef/>
      </w:r>
      <w:r>
        <w:rPr>
          <w:sz w:val="20"/>
          <w:szCs w:val="20"/>
        </w:rPr>
        <w:t xml:space="preserve"> </w:t>
      </w:r>
      <w:r w:rsidRPr="004A7C61">
        <w:rPr>
          <w:sz w:val="20"/>
          <w:szCs w:val="20"/>
        </w:rPr>
        <w:t xml:space="preserve">Kamm, 9. </w:t>
      </w:r>
    </w:p>
  </w:footnote>
  <w:footnote w:id="183">
    <w:p w14:paraId="7FC612F2" w14:textId="4EFBA11C" w:rsidR="00BB3FE0" w:rsidRDefault="00BB3FE0" w:rsidP="00C54DD4">
      <w:pPr>
        <w:pStyle w:val="FootnoteText"/>
        <w:ind w:firstLine="720"/>
        <w:rPr>
          <w:sz w:val="20"/>
          <w:szCs w:val="20"/>
        </w:rPr>
      </w:pPr>
      <w:r w:rsidRPr="00C54DD4">
        <w:rPr>
          <w:rStyle w:val="FootnoteReference"/>
          <w:sz w:val="20"/>
          <w:szCs w:val="20"/>
        </w:rPr>
        <w:footnoteRef/>
      </w:r>
      <w:r>
        <w:rPr>
          <w:sz w:val="20"/>
          <w:szCs w:val="20"/>
        </w:rPr>
        <w:t xml:space="preserve"> The reference to </w:t>
      </w:r>
      <w:r w:rsidRPr="00C54DD4">
        <w:rPr>
          <w:sz w:val="20"/>
          <w:szCs w:val="20"/>
        </w:rPr>
        <w:t>benchside</w:t>
      </w:r>
      <w:r>
        <w:rPr>
          <w:sz w:val="20"/>
          <w:szCs w:val="20"/>
        </w:rPr>
        <w:t xml:space="preserve"> consultation is a reminder of the fact that PHEs advise researchers on ethical issues related to their various knowledge-generation activities. It is not meant to invoke the activities of the courts despite the fact that I am drawing some insights from the literature that speaks to that domain. I borrow this usage from Cho et al.’s description of their research ethics consultation service.</w:t>
      </w:r>
    </w:p>
    <w:p w14:paraId="6CD1D588" w14:textId="77777777" w:rsidR="00BB3FE0" w:rsidRPr="00C54DD4" w:rsidRDefault="00BB3FE0" w:rsidP="00C54DD4">
      <w:pPr>
        <w:pStyle w:val="FootnoteText"/>
        <w:rPr>
          <w:sz w:val="20"/>
          <w:szCs w:val="20"/>
        </w:rPr>
      </w:pPr>
      <w:r>
        <w:rPr>
          <w:sz w:val="20"/>
          <w:szCs w:val="20"/>
        </w:rPr>
        <w:t xml:space="preserve">   </w:t>
      </w:r>
      <w:r w:rsidRPr="00C54DD4">
        <w:rPr>
          <w:sz w:val="20"/>
          <w:szCs w:val="20"/>
        </w:rPr>
        <w:t xml:space="preserve"> </w:t>
      </w:r>
    </w:p>
  </w:footnote>
  <w:footnote w:id="184">
    <w:p w14:paraId="48F9B9EB" w14:textId="14FED061" w:rsidR="00BB3FE0" w:rsidRPr="00D828B5" w:rsidRDefault="00BB3FE0" w:rsidP="00D828B5">
      <w:pPr>
        <w:pStyle w:val="FootnoteText"/>
        <w:ind w:firstLine="720"/>
        <w:rPr>
          <w:sz w:val="20"/>
        </w:rPr>
      </w:pPr>
      <w:r w:rsidRPr="00D828B5">
        <w:rPr>
          <w:rStyle w:val="FootnoteReference"/>
          <w:sz w:val="20"/>
        </w:rPr>
        <w:footnoteRef/>
      </w:r>
      <w:r w:rsidRPr="00D828B5">
        <w:rPr>
          <w:sz w:val="20"/>
        </w:rPr>
        <w:t xml:space="preserve"> It is not at all obvious that it would be respectful to stakeholders in clinical, organizational, or research ethics consultations for the PHE to withhold (or worse yet, mislead them about) the grounds for her judgements. This would seem to leave her vulnerable to the charge of ethical imperialism that Koch and others levy. Offering reasons which can be openly discussed and accepted</w:t>
      </w:r>
      <w:r>
        <w:rPr>
          <w:sz w:val="20"/>
        </w:rPr>
        <w:t>,</w:t>
      </w:r>
      <w:r w:rsidRPr="00D828B5">
        <w:rPr>
          <w:sz w:val="20"/>
        </w:rPr>
        <w:t xml:space="preserve"> or rejected</w:t>
      </w:r>
      <w:r>
        <w:rPr>
          <w:sz w:val="20"/>
        </w:rPr>
        <w:t>,</w:t>
      </w:r>
      <w:r w:rsidRPr="00D828B5">
        <w:rPr>
          <w:sz w:val="20"/>
        </w:rPr>
        <w:t xml:space="preserve"> on their merits seems appropriately inclusive </w:t>
      </w:r>
      <w:r>
        <w:rPr>
          <w:sz w:val="20"/>
        </w:rPr>
        <w:t xml:space="preserve">and it should </w:t>
      </w:r>
      <w:r w:rsidRPr="00D828B5">
        <w:rPr>
          <w:sz w:val="20"/>
        </w:rPr>
        <w:t xml:space="preserve">be acknowledged that the PHE is almost never entrusted with the full weight of decision-making. This generally falls to the </w:t>
      </w:r>
      <w:r>
        <w:rPr>
          <w:sz w:val="20"/>
        </w:rPr>
        <w:t xml:space="preserve">parties </w:t>
      </w:r>
      <w:r w:rsidRPr="00D828B5">
        <w:rPr>
          <w:sz w:val="20"/>
        </w:rPr>
        <w:t xml:space="preserve">(be </w:t>
      </w:r>
      <w:r>
        <w:rPr>
          <w:sz w:val="20"/>
        </w:rPr>
        <w:t>t</w:t>
      </w:r>
      <w:r w:rsidRPr="00D828B5">
        <w:rPr>
          <w:sz w:val="20"/>
        </w:rPr>
        <w:t>h</w:t>
      </w:r>
      <w:r>
        <w:rPr>
          <w:sz w:val="20"/>
        </w:rPr>
        <w:t xml:space="preserve">ey </w:t>
      </w:r>
      <w:r w:rsidRPr="00D828B5">
        <w:rPr>
          <w:sz w:val="20"/>
        </w:rPr>
        <w:t>patient</w:t>
      </w:r>
      <w:r>
        <w:rPr>
          <w:sz w:val="20"/>
        </w:rPr>
        <w:t>s</w:t>
      </w:r>
      <w:r w:rsidRPr="00D828B5">
        <w:rPr>
          <w:sz w:val="20"/>
        </w:rPr>
        <w:t>, clinician</w:t>
      </w:r>
      <w:r>
        <w:rPr>
          <w:sz w:val="20"/>
        </w:rPr>
        <w:t>s</w:t>
      </w:r>
      <w:r w:rsidRPr="00D828B5">
        <w:rPr>
          <w:sz w:val="20"/>
        </w:rPr>
        <w:t>, institutional authorit</w:t>
      </w:r>
      <w:r>
        <w:rPr>
          <w:sz w:val="20"/>
        </w:rPr>
        <w:t>ies</w:t>
      </w:r>
      <w:r w:rsidRPr="00D828B5">
        <w:rPr>
          <w:sz w:val="20"/>
        </w:rPr>
        <w:t>, or scientific investigator</w:t>
      </w:r>
      <w:r>
        <w:rPr>
          <w:sz w:val="20"/>
        </w:rPr>
        <w:t>s</w:t>
      </w:r>
      <w:r w:rsidRPr="00D828B5">
        <w:rPr>
          <w:sz w:val="20"/>
        </w:rPr>
        <w:t xml:space="preserve">) </w:t>
      </w:r>
      <w:r>
        <w:rPr>
          <w:sz w:val="20"/>
        </w:rPr>
        <w:t>who are the primary stakeholders in</w:t>
      </w:r>
      <w:r w:rsidRPr="00D828B5">
        <w:rPr>
          <w:sz w:val="20"/>
        </w:rPr>
        <w:t xml:space="preserve"> the consultation.</w:t>
      </w:r>
    </w:p>
  </w:footnote>
  <w:footnote w:id="185">
    <w:p w14:paraId="2F5E3B6C" w14:textId="77777777" w:rsidR="00BB3FE0" w:rsidRPr="00CF6855" w:rsidRDefault="00BB3FE0" w:rsidP="00CF6855">
      <w:pPr>
        <w:pStyle w:val="FootnoteText"/>
        <w:ind w:firstLine="720"/>
        <w:rPr>
          <w:sz w:val="20"/>
        </w:rPr>
      </w:pPr>
      <w:r w:rsidRPr="00CF6855">
        <w:rPr>
          <w:rStyle w:val="FootnoteReference"/>
          <w:sz w:val="20"/>
        </w:rPr>
        <w:footnoteRef/>
      </w:r>
      <w:r w:rsidRPr="00CF6855">
        <w:rPr>
          <w:sz w:val="20"/>
        </w:rPr>
        <w:t xml:space="preserve"> Ronald Dworkin, </w:t>
      </w:r>
      <w:r>
        <w:rPr>
          <w:sz w:val="20"/>
        </w:rPr>
        <w:t>“</w:t>
      </w:r>
      <w:r w:rsidRPr="00CF6855">
        <w:rPr>
          <w:sz w:val="20"/>
        </w:rPr>
        <w:t>Judicial Discretion</w:t>
      </w:r>
      <w:r>
        <w:rPr>
          <w:sz w:val="20"/>
        </w:rPr>
        <w:t>.</w:t>
      </w:r>
      <w:r w:rsidRPr="00CF6855">
        <w:rPr>
          <w:sz w:val="20"/>
        </w:rPr>
        <w:t>”</w:t>
      </w:r>
      <w:r>
        <w:rPr>
          <w:sz w:val="20"/>
        </w:rPr>
        <w:t xml:space="preserve"> </w:t>
      </w:r>
      <w:r w:rsidRPr="00CF6855">
        <w:rPr>
          <w:i/>
          <w:sz w:val="20"/>
        </w:rPr>
        <w:t>The Journal of Philosophy</w:t>
      </w:r>
      <w:r>
        <w:rPr>
          <w:sz w:val="20"/>
        </w:rPr>
        <w:t xml:space="preserve"> 60.21 (1963): 6</w:t>
      </w:r>
      <w:r w:rsidRPr="00CF6855">
        <w:rPr>
          <w:sz w:val="20"/>
        </w:rPr>
        <w:t>3</w:t>
      </w:r>
      <w:r>
        <w:rPr>
          <w:sz w:val="20"/>
        </w:rPr>
        <w:t>7</w:t>
      </w:r>
      <w:r w:rsidRPr="00CF6855">
        <w:rPr>
          <w:sz w:val="20"/>
        </w:rPr>
        <w:t>.</w:t>
      </w:r>
    </w:p>
    <w:p w14:paraId="4D1A69E9" w14:textId="77777777" w:rsidR="00BB3FE0" w:rsidRPr="00CF6855" w:rsidRDefault="00BB3FE0">
      <w:pPr>
        <w:pStyle w:val="FootnoteText"/>
        <w:rPr>
          <w:sz w:val="20"/>
        </w:rPr>
      </w:pPr>
    </w:p>
  </w:footnote>
  <w:footnote w:id="186">
    <w:p w14:paraId="095DFB05" w14:textId="5E2A2D91" w:rsidR="00BB3FE0" w:rsidRDefault="00BB3FE0" w:rsidP="00E2104A">
      <w:pPr>
        <w:pStyle w:val="FootnoteText"/>
        <w:ind w:firstLine="720"/>
        <w:rPr>
          <w:sz w:val="20"/>
          <w:szCs w:val="20"/>
        </w:rPr>
      </w:pPr>
      <w:r w:rsidRPr="003F6238">
        <w:rPr>
          <w:rStyle w:val="FootnoteReference"/>
          <w:sz w:val="20"/>
          <w:szCs w:val="20"/>
        </w:rPr>
        <w:footnoteRef/>
      </w:r>
      <w:r>
        <w:rPr>
          <w:sz w:val="20"/>
          <w:szCs w:val="20"/>
        </w:rPr>
        <w:t xml:space="preserve"> Ibid., 638.</w:t>
      </w:r>
    </w:p>
    <w:p w14:paraId="1322F396" w14:textId="77777777" w:rsidR="00BB3FE0" w:rsidRPr="003F6238" w:rsidRDefault="00BB3FE0" w:rsidP="00E2104A">
      <w:pPr>
        <w:pStyle w:val="FootnoteText"/>
        <w:ind w:firstLine="720"/>
        <w:rPr>
          <w:sz w:val="20"/>
          <w:szCs w:val="20"/>
        </w:rPr>
      </w:pPr>
    </w:p>
  </w:footnote>
  <w:footnote w:id="187">
    <w:p w14:paraId="7573AD74" w14:textId="77777777" w:rsidR="00BB3FE0" w:rsidRPr="00056538" w:rsidRDefault="00BB3FE0" w:rsidP="00056538">
      <w:pPr>
        <w:pStyle w:val="FootnoteText"/>
        <w:ind w:firstLine="720"/>
        <w:rPr>
          <w:sz w:val="20"/>
          <w:szCs w:val="20"/>
        </w:rPr>
      </w:pPr>
      <w:r w:rsidRPr="003F6238">
        <w:rPr>
          <w:rStyle w:val="FootnoteReference"/>
          <w:sz w:val="20"/>
          <w:szCs w:val="20"/>
        </w:rPr>
        <w:footnoteRef/>
      </w:r>
      <w:r w:rsidRPr="003F6238">
        <w:rPr>
          <w:sz w:val="20"/>
          <w:szCs w:val="20"/>
        </w:rPr>
        <w:t xml:space="preserve"> Ronald Dworkin, </w:t>
      </w:r>
      <w:r w:rsidRPr="003F6238">
        <w:rPr>
          <w:i/>
          <w:sz w:val="20"/>
          <w:szCs w:val="20"/>
        </w:rPr>
        <w:t>Taking Rights Seriously</w:t>
      </w:r>
      <w:r w:rsidRPr="003F6238">
        <w:rPr>
          <w:sz w:val="20"/>
          <w:szCs w:val="20"/>
        </w:rPr>
        <w:t>, 105.</w:t>
      </w:r>
    </w:p>
  </w:footnote>
  <w:footnote w:id="188">
    <w:p w14:paraId="71D235A5" w14:textId="4AFB21FF" w:rsidR="00BB3FE0" w:rsidRDefault="00BB3FE0" w:rsidP="00CE6CDD">
      <w:pPr>
        <w:pStyle w:val="FootnoteText"/>
        <w:ind w:firstLine="720"/>
        <w:rPr>
          <w:sz w:val="20"/>
        </w:rPr>
      </w:pPr>
      <w:r w:rsidRPr="00CE6CDD">
        <w:rPr>
          <w:rStyle w:val="FootnoteReference"/>
          <w:sz w:val="20"/>
        </w:rPr>
        <w:footnoteRef/>
      </w:r>
      <w:r w:rsidRPr="00CE6CDD">
        <w:rPr>
          <w:sz w:val="20"/>
        </w:rPr>
        <w:t xml:space="preserve"> </w:t>
      </w:r>
      <w:r>
        <w:rPr>
          <w:sz w:val="20"/>
        </w:rPr>
        <w:t xml:space="preserve">In contrast a Brockian approach, or one which secures consensus by suppressing or denying the PHE’s own position, would appear to substitute strategy for principled argument. If ethicists are to act as honest brokers, or as sounding boards for those who seek their advice, a strategic approach would seem to be more misleading </w:t>
      </w:r>
      <w:r w:rsidR="00E10C9F">
        <w:rPr>
          <w:sz w:val="20"/>
        </w:rPr>
        <w:t xml:space="preserve">(or manipulative) </w:t>
      </w:r>
      <w:r>
        <w:rPr>
          <w:sz w:val="20"/>
        </w:rPr>
        <w:t>than morally neutral.</w:t>
      </w:r>
    </w:p>
    <w:p w14:paraId="2860FA8C" w14:textId="77777777" w:rsidR="00BB3FE0" w:rsidRPr="00980909" w:rsidRDefault="00BB3FE0" w:rsidP="00CE6CDD">
      <w:pPr>
        <w:pStyle w:val="FootnoteText"/>
        <w:ind w:firstLine="720"/>
        <w:rPr>
          <w:sz w:val="20"/>
        </w:rPr>
      </w:pPr>
    </w:p>
  </w:footnote>
  <w:footnote w:id="189">
    <w:p w14:paraId="2B788D39" w14:textId="77777777" w:rsidR="00BB3FE0" w:rsidRDefault="00BB3FE0" w:rsidP="00FA2BB1">
      <w:pPr>
        <w:pStyle w:val="FootnoteText"/>
        <w:ind w:firstLine="720"/>
      </w:pPr>
      <w:r w:rsidRPr="005837F2">
        <w:rPr>
          <w:rStyle w:val="FootnoteReference"/>
          <w:sz w:val="20"/>
        </w:rPr>
        <w:footnoteRef/>
      </w:r>
      <w:r w:rsidRPr="005837F2">
        <w:rPr>
          <w:sz w:val="20"/>
        </w:rPr>
        <w:t xml:space="preserve"> It is important to recognize that one need not be a Dworkinian to accept the claim that the inclusion of principles in ju</w:t>
      </w:r>
      <w:r>
        <w:rPr>
          <w:sz w:val="20"/>
        </w:rPr>
        <w:t>dicial reasoning need not imply that</w:t>
      </w:r>
      <w:r w:rsidRPr="005837F2">
        <w:rPr>
          <w:sz w:val="20"/>
        </w:rPr>
        <w:t xml:space="preserve"> </w:t>
      </w:r>
      <w:r>
        <w:rPr>
          <w:sz w:val="20"/>
        </w:rPr>
        <w:t xml:space="preserve">those </w:t>
      </w:r>
      <w:r w:rsidRPr="005837F2">
        <w:rPr>
          <w:sz w:val="20"/>
        </w:rPr>
        <w:t xml:space="preserve">legal arguments </w:t>
      </w:r>
      <w:r>
        <w:rPr>
          <w:sz w:val="20"/>
        </w:rPr>
        <w:t xml:space="preserve">are </w:t>
      </w:r>
      <w:r w:rsidRPr="005837F2">
        <w:rPr>
          <w:sz w:val="20"/>
        </w:rPr>
        <w:t>arbitrary</w:t>
      </w:r>
      <w:r>
        <w:rPr>
          <w:sz w:val="20"/>
        </w:rPr>
        <w:t xml:space="preserve"> or incoherent</w:t>
      </w:r>
      <w:r w:rsidRPr="005837F2">
        <w:rPr>
          <w:sz w:val="20"/>
        </w:rPr>
        <w:t xml:space="preserve">. For a nuanced argument that comes from the inclusive legal positivist tradition see Wilfrid Waluchow’s book </w:t>
      </w:r>
      <w:r w:rsidRPr="005837F2">
        <w:rPr>
          <w:i/>
          <w:sz w:val="20"/>
        </w:rPr>
        <w:t>A Common Law Theory of Judicial Review</w:t>
      </w:r>
      <w:r w:rsidRPr="005837F2">
        <w:rPr>
          <w:sz w:val="20"/>
        </w:rPr>
        <w:t>. There Waluchow argues that judges may be constrained by moral principles provided those principles become part of the law via a</w:t>
      </w:r>
      <w:r>
        <w:rPr>
          <w:sz w:val="20"/>
        </w:rPr>
        <w:t xml:space="preserve">ppropriate </w:t>
      </w:r>
      <w:r w:rsidRPr="005837F2">
        <w:rPr>
          <w:sz w:val="20"/>
        </w:rPr>
        <w:t xml:space="preserve">mechanisms. An appropriately constituted charter of freedoms </w:t>
      </w:r>
      <w:r>
        <w:rPr>
          <w:sz w:val="20"/>
        </w:rPr>
        <w:t xml:space="preserve">or </w:t>
      </w:r>
      <w:r w:rsidRPr="005837F2">
        <w:rPr>
          <w:sz w:val="20"/>
        </w:rPr>
        <w:t>bill of rights may, for example, render certain principles legally binding, and the fact that they need to be interpreted</w:t>
      </w:r>
      <w:r>
        <w:rPr>
          <w:sz w:val="20"/>
        </w:rPr>
        <w:t>,</w:t>
      </w:r>
      <w:r w:rsidRPr="005837F2">
        <w:rPr>
          <w:sz w:val="20"/>
        </w:rPr>
        <w:t xml:space="preserve"> or weighed</w:t>
      </w:r>
      <w:r>
        <w:rPr>
          <w:sz w:val="20"/>
        </w:rPr>
        <w:t>,</w:t>
      </w:r>
      <w:r w:rsidRPr="005837F2">
        <w:rPr>
          <w:sz w:val="20"/>
        </w:rPr>
        <w:t xml:space="preserve"> in particular cases in no way undermines their status as legal standards.</w:t>
      </w:r>
    </w:p>
  </w:footnote>
  <w:footnote w:id="190">
    <w:p w14:paraId="2D34A002" w14:textId="039C5B93" w:rsidR="00BB3FE0" w:rsidRPr="00E344ED" w:rsidRDefault="00BB3FE0" w:rsidP="00724261">
      <w:pPr>
        <w:pStyle w:val="FootnoteText"/>
        <w:rPr>
          <w:sz w:val="20"/>
          <w:szCs w:val="20"/>
        </w:rPr>
      </w:pPr>
      <w:r>
        <w:rPr>
          <w:sz w:val="20"/>
          <w:szCs w:val="20"/>
        </w:rPr>
        <w:tab/>
      </w:r>
      <w:r w:rsidRPr="00E344ED">
        <w:rPr>
          <w:rStyle w:val="FootnoteReference"/>
          <w:sz w:val="20"/>
          <w:szCs w:val="20"/>
        </w:rPr>
        <w:footnoteRef/>
      </w:r>
      <w:r>
        <w:rPr>
          <w:sz w:val="20"/>
          <w:szCs w:val="20"/>
        </w:rPr>
        <w:t xml:space="preserve"> In all jurisdictions, o</w:t>
      </w:r>
      <w:r w:rsidRPr="00E344ED">
        <w:rPr>
          <w:sz w:val="20"/>
          <w:szCs w:val="20"/>
        </w:rPr>
        <w:t xml:space="preserve">ncology patients </w:t>
      </w:r>
      <w:r>
        <w:rPr>
          <w:sz w:val="20"/>
          <w:szCs w:val="20"/>
        </w:rPr>
        <w:t>constitute the largest percentage</w:t>
      </w:r>
      <w:r w:rsidRPr="00E344ED">
        <w:rPr>
          <w:sz w:val="20"/>
          <w:szCs w:val="20"/>
        </w:rPr>
        <w:t xml:space="preserve"> of MAID requestors and, although prediction is always an inexact science owing to individual variables, this </w:t>
      </w:r>
      <w:r>
        <w:rPr>
          <w:sz w:val="20"/>
          <w:szCs w:val="20"/>
        </w:rPr>
        <w:t>population</w:t>
      </w:r>
      <w:r w:rsidRPr="00E344ED">
        <w:rPr>
          <w:sz w:val="20"/>
          <w:szCs w:val="20"/>
        </w:rPr>
        <w:t xml:space="preserve"> </w:t>
      </w:r>
      <w:r>
        <w:rPr>
          <w:sz w:val="20"/>
          <w:szCs w:val="20"/>
        </w:rPr>
        <w:t>generally allows providers</w:t>
      </w:r>
      <w:r w:rsidRPr="00E344ED">
        <w:rPr>
          <w:sz w:val="20"/>
          <w:szCs w:val="20"/>
        </w:rPr>
        <w:t xml:space="preserve"> </w:t>
      </w:r>
      <w:r>
        <w:rPr>
          <w:sz w:val="20"/>
          <w:szCs w:val="20"/>
        </w:rPr>
        <w:t xml:space="preserve">to have </w:t>
      </w:r>
      <w:r w:rsidRPr="00E344ED">
        <w:rPr>
          <w:sz w:val="20"/>
          <w:szCs w:val="20"/>
        </w:rPr>
        <w:t xml:space="preserve">greater confidence in prognostication than </w:t>
      </w:r>
      <w:r>
        <w:rPr>
          <w:sz w:val="20"/>
          <w:szCs w:val="20"/>
        </w:rPr>
        <w:t>most others do</w:t>
      </w:r>
      <w:r w:rsidRPr="00E344ED">
        <w:rPr>
          <w:sz w:val="20"/>
          <w:szCs w:val="20"/>
        </w:rPr>
        <w:t>.</w:t>
      </w:r>
    </w:p>
  </w:footnote>
  <w:footnote w:id="191">
    <w:p w14:paraId="3251972F" w14:textId="0EDE59CE" w:rsidR="00BB3FE0" w:rsidRDefault="00BB3FE0" w:rsidP="00A02945">
      <w:pPr>
        <w:ind w:firstLine="720"/>
      </w:pPr>
      <w:r w:rsidRPr="00270B73">
        <w:rPr>
          <w:rStyle w:val="FootnoteReference"/>
          <w:sz w:val="20"/>
        </w:rPr>
        <w:footnoteRef/>
      </w:r>
      <w:r w:rsidRPr="00270B73">
        <w:rPr>
          <w:sz w:val="20"/>
        </w:rPr>
        <w:t xml:space="preserve"> </w:t>
      </w:r>
      <w:r>
        <w:rPr>
          <w:sz w:val="20"/>
        </w:rPr>
        <w:t xml:space="preserve">Prior to the Supreme Court of Canada’s </w:t>
      </w:r>
      <w:r w:rsidRPr="00270B73">
        <w:rPr>
          <w:i/>
          <w:sz w:val="20"/>
        </w:rPr>
        <w:t>Morgentaler</w:t>
      </w:r>
      <w:r>
        <w:rPr>
          <w:sz w:val="20"/>
        </w:rPr>
        <w:t xml:space="preserve"> decision, abortion services legally could be provided only in accredited institutions which had therapeutic abortion committees or TACs (which had a minimum of three members and could not include the physician providing the service) that would </w:t>
      </w:r>
      <w:r w:rsidRPr="00B85E3E">
        <w:rPr>
          <w:sz w:val="20"/>
          <w:szCs w:val="20"/>
        </w:rPr>
        <w:t>decide whether the continuation of the pregnancy might constitute a harm to the requesting woman</w:t>
      </w:r>
      <w:r>
        <w:rPr>
          <w:sz w:val="20"/>
          <w:szCs w:val="20"/>
        </w:rPr>
        <w:t xml:space="preserve">. </w:t>
      </w:r>
      <w:r w:rsidRPr="00270B73">
        <w:rPr>
          <w:sz w:val="20"/>
          <w:szCs w:val="20"/>
        </w:rPr>
        <w:t>The r</w:t>
      </w:r>
      <w:r w:rsidRPr="00B85E3E">
        <w:rPr>
          <w:sz w:val="20"/>
          <w:szCs w:val="20"/>
        </w:rPr>
        <w:t xml:space="preserve">equirement </w:t>
      </w:r>
      <w:r>
        <w:rPr>
          <w:sz w:val="20"/>
          <w:szCs w:val="20"/>
        </w:rPr>
        <w:t xml:space="preserve">for a </w:t>
      </w:r>
      <w:r w:rsidRPr="00B85E3E">
        <w:rPr>
          <w:sz w:val="20"/>
          <w:szCs w:val="20"/>
        </w:rPr>
        <w:t>TAC</w:t>
      </w:r>
      <w:r>
        <w:rPr>
          <w:sz w:val="20"/>
          <w:szCs w:val="20"/>
        </w:rPr>
        <w:t xml:space="preserve"> to decide on eligibility</w:t>
      </w:r>
      <w:r w:rsidRPr="00B85E3E">
        <w:rPr>
          <w:sz w:val="20"/>
          <w:szCs w:val="20"/>
        </w:rPr>
        <w:t xml:space="preserve"> </w:t>
      </w:r>
      <w:r w:rsidRPr="009275CC">
        <w:rPr>
          <w:sz w:val="20"/>
        </w:rPr>
        <w:t xml:space="preserve">subordinated </w:t>
      </w:r>
      <w:r w:rsidRPr="00270B73">
        <w:rPr>
          <w:sz w:val="20"/>
        </w:rPr>
        <w:t>women</w:t>
      </w:r>
      <w:r>
        <w:rPr>
          <w:sz w:val="20"/>
        </w:rPr>
        <w:t xml:space="preserve">’s preferences for their own care </w:t>
      </w:r>
      <w:r w:rsidRPr="00270B73">
        <w:rPr>
          <w:sz w:val="20"/>
        </w:rPr>
        <w:t>to the o</w:t>
      </w:r>
      <w:r w:rsidRPr="009275CC">
        <w:rPr>
          <w:sz w:val="20"/>
        </w:rPr>
        <w:t>paque and idiosyncratic values of committee members who were not me</w:t>
      </w:r>
      <w:r>
        <w:rPr>
          <w:sz w:val="20"/>
        </w:rPr>
        <w:t xml:space="preserve">mbers of their circles of care. This led some members of the Court to determine </w:t>
      </w:r>
      <w:r w:rsidRPr="009275CC">
        <w:rPr>
          <w:sz w:val="20"/>
        </w:rPr>
        <w:t>that the status quo violated women’s rights to liberty, equality</w:t>
      </w:r>
      <w:r>
        <w:rPr>
          <w:sz w:val="20"/>
        </w:rPr>
        <w:t>,</w:t>
      </w:r>
      <w:r w:rsidRPr="009275CC">
        <w:rPr>
          <w:sz w:val="20"/>
        </w:rPr>
        <w:t xml:space="preserve"> and security of the person</w:t>
      </w:r>
      <w:r>
        <w:rPr>
          <w:sz w:val="20"/>
        </w:rPr>
        <w:t>.</w:t>
      </w:r>
    </w:p>
  </w:footnote>
  <w:footnote w:id="192">
    <w:p w14:paraId="72E39FD0" w14:textId="77777777" w:rsidR="00BB3FE0" w:rsidRDefault="00BB3FE0" w:rsidP="006A5C6D">
      <w:pPr>
        <w:pStyle w:val="FootnoteText"/>
        <w:ind w:firstLine="720"/>
        <w:rPr>
          <w:sz w:val="20"/>
          <w:szCs w:val="20"/>
        </w:rPr>
      </w:pPr>
      <w:r w:rsidRPr="006A5C6D">
        <w:rPr>
          <w:rStyle w:val="FootnoteReference"/>
          <w:sz w:val="20"/>
          <w:szCs w:val="20"/>
        </w:rPr>
        <w:footnoteRef/>
      </w:r>
      <w:r w:rsidRPr="006A5C6D">
        <w:rPr>
          <w:sz w:val="20"/>
          <w:szCs w:val="20"/>
        </w:rPr>
        <w:t xml:space="preserve"> The Vulnerable Persons’ Standard might be seen as an effort to raise awareness of just such concerns, but our PHE would be remiss if she did not note that The Standard was controversial even among those it sought to protect.</w:t>
      </w:r>
    </w:p>
    <w:p w14:paraId="49EF879F" w14:textId="431E0CF3" w:rsidR="00BB3FE0" w:rsidRPr="006A5C6D" w:rsidRDefault="00BB3FE0" w:rsidP="006A5C6D">
      <w:pPr>
        <w:pStyle w:val="FootnoteText"/>
        <w:ind w:firstLine="720"/>
        <w:rPr>
          <w:sz w:val="20"/>
          <w:szCs w:val="20"/>
        </w:rPr>
      </w:pPr>
      <w:r w:rsidRPr="006A5C6D">
        <w:rPr>
          <w:sz w:val="20"/>
          <w:szCs w:val="20"/>
        </w:rPr>
        <w:t xml:space="preserve">                </w:t>
      </w:r>
    </w:p>
  </w:footnote>
  <w:footnote w:id="193">
    <w:p w14:paraId="5B637A72" w14:textId="77777777" w:rsidR="00BB3FE0" w:rsidRDefault="00BB3FE0" w:rsidP="00CF3360">
      <w:pPr>
        <w:pStyle w:val="FootnoteText"/>
        <w:ind w:firstLine="720"/>
        <w:rPr>
          <w:sz w:val="20"/>
          <w:szCs w:val="20"/>
        </w:rPr>
      </w:pPr>
      <w:r w:rsidRPr="00CF3360">
        <w:rPr>
          <w:rStyle w:val="FootnoteReference"/>
          <w:sz w:val="20"/>
          <w:szCs w:val="20"/>
        </w:rPr>
        <w:footnoteRef/>
      </w:r>
      <w:r w:rsidRPr="00CF3360">
        <w:rPr>
          <w:sz w:val="20"/>
          <w:szCs w:val="20"/>
        </w:rPr>
        <w:t xml:space="preserve"> Even if one were to accept the proposition that it is appropriate to generalize from the characteristics of entire groups in order to make assessments of individuals, the SPP proposal would need to confront the charge that denying access to longer prognosis patients fails the test of non-maleficence because these patients have the potential to suffer much longer than those with short and more predictable prognoses.</w:t>
      </w:r>
    </w:p>
    <w:p w14:paraId="57E919FD" w14:textId="78C291E2" w:rsidR="00BB3FE0" w:rsidRPr="00CF3360" w:rsidRDefault="00BB3FE0" w:rsidP="00CF3360">
      <w:pPr>
        <w:pStyle w:val="FootnoteText"/>
        <w:ind w:firstLine="720"/>
        <w:rPr>
          <w:sz w:val="20"/>
          <w:szCs w:val="20"/>
        </w:rPr>
      </w:pPr>
      <w:r w:rsidRPr="00CF3360">
        <w:rPr>
          <w:sz w:val="20"/>
          <w:szCs w:val="20"/>
        </w:rPr>
        <w:t xml:space="preserve">    </w:t>
      </w:r>
    </w:p>
  </w:footnote>
  <w:footnote w:id="194">
    <w:p w14:paraId="6F23AAFD" w14:textId="67C1EA8D" w:rsidR="00BB3FE0" w:rsidRDefault="00BB3FE0" w:rsidP="008C7117">
      <w:pPr>
        <w:pStyle w:val="FootnoteText"/>
        <w:ind w:firstLine="720"/>
        <w:rPr>
          <w:sz w:val="20"/>
          <w:szCs w:val="20"/>
        </w:rPr>
      </w:pPr>
      <w:r w:rsidRPr="008C7117">
        <w:rPr>
          <w:rStyle w:val="FootnoteReference"/>
          <w:sz w:val="20"/>
          <w:szCs w:val="20"/>
        </w:rPr>
        <w:footnoteRef/>
      </w:r>
      <w:r w:rsidRPr="008C7117">
        <w:rPr>
          <w:sz w:val="20"/>
          <w:szCs w:val="20"/>
        </w:rPr>
        <w:t xml:space="preserve"> For a discussion of the influence of the four principles, and especially the principle of autonomy on healthcare ethics see, for example, Soren Holm, “Not just autonomy - the principles of American biomedical ethics.” </w:t>
      </w:r>
      <w:r w:rsidRPr="008C7117">
        <w:rPr>
          <w:i/>
          <w:sz w:val="20"/>
          <w:szCs w:val="20"/>
        </w:rPr>
        <w:t>Journal of Medical Ethics</w:t>
      </w:r>
      <w:r w:rsidRPr="008C7117">
        <w:rPr>
          <w:sz w:val="20"/>
          <w:szCs w:val="20"/>
        </w:rPr>
        <w:t xml:space="preserve"> </w:t>
      </w:r>
      <w:r>
        <w:rPr>
          <w:sz w:val="20"/>
          <w:szCs w:val="20"/>
        </w:rPr>
        <w:t xml:space="preserve">(1995) </w:t>
      </w:r>
      <w:r w:rsidRPr="008C7117">
        <w:rPr>
          <w:sz w:val="20"/>
          <w:szCs w:val="20"/>
        </w:rPr>
        <w:t>21: 332-338.</w:t>
      </w:r>
    </w:p>
    <w:p w14:paraId="15500DD9" w14:textId="77777777" w:rsidR="00BB3FE0" w:rsidRPr="00443CE3" w:rsidRDefault="00BB3FE0" w:rsidP="008C7117">
      <w:pPr>
        <w:pStyle w:val="FootnoteText"/>
        <w:ind w:firstLine="720"/>
        <w:rPr>
          <w:sz w:val="20"/>
          <w:szCs w:val="20"/>
        </w:rPr>
      </w:pPr>
    </w:p>
  </w:footnote>
  <w:footnote w:id="195">
    <w:p w14:paraId="21D037C0" w14:textId="723FFCF6" w:rsidR="00BB3FE0" w:rsidRPr="00443CE3" w:rsidRDefault="00BB3FE0" w:rsidP="00443CE3">
      <w:pPr>
        <w:pStyle w:val="FootnoteText"/>
        <w:ind w:firstLine="720"/>
        <w:rPr>
          <w:sz w:val="20"/>
          <w:szCs w:val="20"/>
        </w:rPr>
      </w:pPr>
      <w:r w:rsidRPr="00443CE3">
        <w:rPr>
          <w:rStyle w:val="FootnoteReference"/>
          <w:sz w:val="20"/>
          <w:szCs w:val="20"/>
        </w:rPr>
        <w:footnoteRef/>
      </w:r>
      <w:r w:rsidRPr="00443CE3">
        <w:rPr>
          <w:sz w:val="20"/>
          <w:szCs w:val="20"/>
        </w:rPr>
        <w:t xml:space="preserve"> Legal theorists have had much to say about the relationship between liberty and equality that may be relevant to debates in healthcare ethics. Especially interesting is Ronald Dworkin’s claim that if liberty and equality were to come into conflict equality would have to prevail. See especially “The Place of Liberty,” in </w:t>
      </w:r>
      <w:r w:rsidRPr="00443CE3">
        <w:rPr>
          <w:i/>
          <w:sz w:val="20"/>
          <w:szCs w:val="20"/>
        </w:rPr>
        <w:t>Sovereign Virtue</w:t>
      </w:r>
      <w:r w:rsidRPr="00443CE3">
        <w:rPr>
          <w:sz w:val="20"/>
          <w:szCs w:val="20"/>
        </w:rPr>
        <w:t xml:space="preserve"> (Cambridge: Harvard University Press, 2000), pp. 120–183.      </w:t>
      </w:r>
    </w:p>
  </w:footnote>
  <w:footnote w:id="196">
    <w:p w14:paraId="76077083" w14:textId="77777777" w:rsidR="00BB3FE0" w:rsidRDefault="00BB3FE0" w:rsidP="0079078E">
      <w:pPr>
        <w:pStyle w:val="FootnoteText"/>
        <w:ind w:firstLine="720"/>
        <w:rPr>
          <w:sz w:val="20"/>
          <w:szCs w:val="20"/>
        </w:rPr>
      </w:pPr>
      <w:r w:rsidRPr="0079078E">
        <w:rPr>
          <w:rStyle w:val="FootnoteReference"/>
          <w:sz w:val="20"/>
          <w:szCs w:val="20"/>
        </w:rPr>
        <w:footnoteRef/>
      </w:r>
      <w:r w:rsidRPr="0079078E">
        <w:rPr>
          <w:sz w:val="20"/>
          <w:szCs w:val="20"/>
        </w:rPr>
        <w:t xml:space="preserve"> Wilfrid Waluchow, </w:t>
      </w:r>
      <w:r w:rsidRPr="0079078E">
        <w:rPr>
          <w:i/>
          <w:sz w:val="20"/>
          <w:szCs w:val="20"/>
        </w:rPr>
        <w:t>A Common Law Theory of Judicial Review</w:t>
      </w:r>
      <w:r w:rsidRPr="0079078E">
        <w:rPr>
          <w:sz w:val="20"/>
          <w:szCs w:val="20"/>
        </w:rPr>
        <w:t>, page 162.</w:t>
      </w:r>
    </w:p>
    <w:p w14:paraId="16743D0A" w14:textId="77777777" w:rsidR="00BB3FE0" w:rsidRPr="0079078E" w:rsidRDefault="00BB3FE0" w:rsidP="0079078E">
      <w:pPr>
        <w:pStyle w:val="FootnoteText"/>
        <w:ind w:firstLine="720"/>
        <w:rPr>
          <w:sz w:val="20"/>
          <w:szCs w:val="20"/>
        </w:rPr>
      </w:pPr>
    </w:p>
  </w:footnote>
  <w:footnote w:id="197">
    <w:p w14:paraId="04566E65" w14:textId="77777777" w:rsidR="00BB3FE0" w:rsidRDefault="00BB3FE0" w:rsidP="0033498F">
      <w:pPr>
        <w:pStyle w:val="FootnoteText"/>
        <w:ind w:firstLine="720"/>
      </w:pPr>
      <w:r w:rsidRPr="0079078E">
        <w:rPr>
          <w:rStyle w:val="FootnoteReference"/>
          <w:sz w:val="20"/>
          <w:szCs w:val="20"/>
        </w:rPr>
        <w:footnoteRef/>
      </w:r>
      <w:r w:rsidRPr="0079078E">
        <w:rPr>
          <w:sz w:val="20"/>
          <w:szCs w:val="20"/>
        </w:rPr>
        <w:t xml:space="preserve"> </w:t>
      </w:r>
      <w:r w:rsidRPr="0069179E">
        <w:rPr>
          <w:sz w:val="20"/>
          <w:szCs w:val="20"/>
        </w:rPr>
        <w:t>Ibid., note</w:t>
      </w:r>
      <w:r>
        <w:rPr>
          <w:sz w:val="20"/>
          <w:szCs w:val="20"/>
        </w:rPr>
        <w:t xml:space="preserve"> 55, p 162</w:t>
      </w:r>
      <w:r w:rsidRPr="0079078E">
        <w:rPr>
          <w:i/>
          <w:sz w:val="20"/>
          <w:szCs w:val="20"/>
        </w:rPr>
        <w:t>.</w:t>
      </w:r>
    </w:p>
  </w:footnote>
  <w:footnote w:id="198">
    <w:p w14:paraId="02D5D04B" w14:textId="77777777" w:rsidR="00BB3FE0" w:rsidRDefault="00BB3FE0" w:rsidP="00326265">
      <w:pPr>
        <w:pStyle w:val="FootnoteText"/>
        <w:ind w:firstLine="720"/>
        <w:rPr>
          <w:sz w:val="20"/>
        </w:rPr>
      </w:pPr>
      <w:r w:rsidRPr="00326265">
        <w:rPr>
          <w:rStyle w:val="FootnoteReference"/>
          <w:sz w:val="20"/>
        </w:rPr>
        <w:footnoteRef/>
      </w:r>
      <w:r>
        <w:rPr>
          <w:sz w:val="20"/>
        </w:rPr>
        <w:t xml:space="preserve"> </w:t>
      </w:r>
      <w:r w:rsidRPr="00326265">
        <w:rPr>
          <w:sz w:val="20"/>
        </w:rPr>
        <w:t>For example, a valid statute – valid because it was enacted in the way that a particular legal system requires – may have content that strikes much of the citizenry as clearly discriminatory (such as a law which explicitly denies same-sex couples the rights and protections enjoyed by those in heterosexual unions), yet it may be impossible for legal officials to deny its existence.</w:t>
      </w:r>
    </w:p>
    <w:p w14:paraId="5FA4782E" w14:textId="77777777" w:rsidR="00BB3FE0" w:rsidRDefault="00BB3FE0" w:rsidP="00326265">
      <w:pPr>
        <w:pStyle w:val="FootnoteText"/>
        <w:ind w:firstLine="720"/>
      </w:pPr>
    </w:p>
  </w:footnote>
  <w:footnote w:id="199">
    <w:p w14:paraId="43A359A0" w14:textId="77777777" w:rsidR="00BB3FE0" w:rsidRPr="00456E09" w:rsidRDefault="00BB3FE0" w:rsidP="00456E09">
      <w:pPr>
        <w:pStyle w:val="FootnoteText"/>
        <w:ind w:firstLine="720"/>
        <w:rPr>
          <w:sz w:val="20"/>
          <w:szCs w:val="20"/>
        </w:rPr>
      </w:pPr>
      <w:r w:rsidRPr="00456E09">
        <w:rPr>
          <w:rStyle w:val="FootnoteReference"/>
          <w:sz w:val="20"/>
          <w:szCs w:val="20"/>
        </w:rPr>
        <w:footnoteRef/>
      </w:r>
      <w:r w:rsidRPr="00456E09">
        <w:rPr>
          <w:sz w:val="20"/>
          <w:szCs w:val="20"/>
        </w:rPr>
        <w:t xml:space="preserve"> Waluchow, ibid., p1.</w:t>
      </w:r>
    </w:p>
  </w:footnote>
  <w:footnote w:id="200">
    <w:p w14:paraId="6CB22298" w14:textId="68997C67" w:rsidR="00BB3FE0" w:rsidRDefault="00BB3FE0" w:rsidP="00FC27B6">
      <w:pPr>
        <w:pStyle w:val="FootnoteText"/>
        <w:ind w:firstLine="720"/>
        <w:rPr>
          <w:sz w:val="20"/>
          <w:szCs w:val="20"/>
        </w:rPr>
      </w:pPr>
      <w:r w:rsidRPr="002561C0">
        <w:rPr>
          <w:rStyle w:val="FootnoteReference"/>
          <w:sz w:val="20"/>
          <w:szCs w:val="20"/>
        </w:rPr>
        <w:footnoteRef/>
      </w:r>
      <w:r w:rsidRPr="002561C0">
        <w:rPr>
          <w:sz w:val="20"/>
          <w:szCs w:val="20"/>
        </w:rPr>
        <w:t xml:space="preserve"> Ibid., 269</w:t>
      </w:r>
      <w:r>
        <w:rPr>
          <w:sz w:val="20"/>
          <w:szCs w:val="20"/>
        </w:rPr>
        <w:t>-270</w:t>
      </w:r>
      <w:r w:rsidRPr="002561C0">
        <w:rPr>
          <w:sz w:val="20"/>
          <w:szCs w:val="20"/>
        </w:rPr>
        <w:t>.</w:t>
      </w:r>
    </w:p>
    <w:p w14:paraId="6346703B" w14:textId="77777777" w:rsidR="00BB3FE0" w:rsidRPr="002561C0" w:rsidRDefault="00BB3FE0" w:rsidP="00FC27B6">
      <w:pPr>
        <w:pStyle w:val="FootnoteText"/>
        <w:ind w:firstLine="720"/>
        <w:rPr>
          <w:sz w:val="20"/>
          <w:szCs w:val="20"/>
        </w:rPr>
      </w:pPr>
    </w:p>
  </w:footnote>
  <w:footnote w:id="201">
    <w:p w14:paraId="08E60866" w14:textId="139D5B8F" w:rsidR="00BB3FE0" w:rsidRDefault="00BB3FE0" w:rsidP="00C70170">
      <w:pPr>
        <w:pStyle w:val="FootnoteText"/>
        <w:ind w:firstLine="720"/>
        <w:rPr>
          <w:sz w:val="20"/>
        </w:rPr>
      </w:pPr>
      <w:r w:rsidRPr="00C70170">
        <w:rPr>
          <w:rStyle w:val="FootnoteReference"/>
          <w:sz w:val="20"/>
          <w:szCs w:val="20"/>
        </w:rPr>
        <w:footnoteRef/>
      </w:r>
      <w:r>
        <w:rPr>
          <w:sz w:val="20"/>
          <w:szCs w:val="20"/>
        </w:rPr>
        <w:t xml:space="preserve"> Although he does not endorse Dworkin’s right answer thesis, Waluchow makes the important observation that the very fact of disagreement and uncertainly about right answers (in law, morality, or in other controversial domains) does not warrant the conclusion that there are no right answers to hard questions. </w:t>
      </w:r>
      <w:r w:rsidRPr="00C70170">
        <w:rPr>
          <w:sz w:val="20"/>
          <w:szCs w:val="20"/>
        </w:rPr>
        <w:t xml:space="preserve">He notes that while there may be no </w:t>
      </w:r>
      <w:r>
        <w:rPr>
          <w:sz w:val="20"/>
          <w:szCs w:val="20"/>
        </w:rPr>
        <w:t xml:space="preserve">extant </w:t>
      </w:r>
      <w:r w:rsidRPr="00C70170">
        <w:rPr>
          <w:sz w:val="20"/>
          <w:szCs w:val="20"/>
        </w:rPr>
        <w:t xml:space="preserve">evidence that can eliminate all doubt about a specific </w:t>
      </w:r>
      <w:r w:rsidRPr="00C70170">
        <w:rPr>
          <w:sz w:val="20"/>
        </w:rPr>
        <w:t>historical claim, this a</w:t>
      </w:r>
      <w:r>
        <w:rPr>
          <w:sz w:val="20"/>
        </w:rPr>
        <w:t xml:space="preserve">bsence of evidence does not entail the absurd conclusion </w:t>
      </w:r>
      <w:r w:rsidRPr="00C70170">
        <w:rPr>
          <w:sz w:val="20"/>
        </w:rPr>
        <w:t xml:space="preserve">that </w:t>
      </w:r>
      <w:r>
        <w:rPr>
          <w:sz w:val="20"/>
        </w:rPr>
        <w:t>there is no truth of the matter at all.</w:t>
      </w:r>
      <w:r w:rsidRPr="00C70170">
        <w:rPr>
          <w:sz w:val="20"/>
        </w:rPr>
        <w:t xml:space="preserve"> </w:t>
      </w:r>
      <w:r w:rsidR="00224D9E">
        <w:rPr>
          <w:sz w:val="20"/>
        </w:rPr>
        <w:t xml:space="preserve">(Consider, for example, the speculation as to whether Queen Victoria had an intimate relationship with her groomsman John Brown).   </w:t>
      </w:r>
    </w:p>
    <w:p w14:paraId="7BDCE92C" w14:textId="77777777" w:rsidR="00BB3FE0" w:rsidRPr="00C5106B" w:rsidRDefault="00BB3FE0" w:rsidP="00C5106B">
      <w:pPr>
        <w:pStyle w:val="FootnoteText"/>
        <w:ind w:firstLine="720"/>
        <w:rPr>
          <w:sz w:val="20"/>
        </w:rPr>
      </w:pPr>
      <w:r>
        <w:rPr>
          <w:sz w:val="20"/>
        </w:rPr>
        <w:t>The analogy for practicing healthcare ethicists may not be immediately obvious, but it does not seem unreasonable to suggest that they should endeavor to seek the right answers to the hard cases that come before them. The fact that those right answers may be controversial, or that PHEs may engage in theoretical disagreements about how relevant values and precedents are to weighed in light of the facts of a particular case, does not mean that skepticism is the default position one ought to take in response to these challenges.</w:t>
      </w:r>
    </w:p>
  </w:footnote>
  <w:footnote w:id="202">
    <w:p w14:paraId="64EA3F0F" w14:textId="77777777" w:rsidR="00BB3FE0" w:rsidRDefault="00BB3FE0" w:rsidP="00C50DA6">
      <w:pPr>
        <w:pStyle w:val="FootnoteText"/>
        <w:ind w:firstLine="720"/>
        <w:rPr>
          <w:sz w:val="20"/>
        </w:rPr>
      </w:pPr>
      <w:r w:rsidRPr="006770B9">
        <w:rPr>
          <w:rStyle w:val="FootnoteReference"/>
          <w:sz w:val="20"/>
        </w:rPr>
        <w:footnoteRef/>
      </w:r>
      <w:r w:rsidRPr="006770B9">
        <w:rPr>
          <w:sz w:val="20"/>
        </w:rPr>
        <w:t xml:space="preserve"> I qualify this claim because some clinical consultations will not be suitable for </w:t>
      </w:r>
      <w:r>
        <w:rPr>
          <w:sz w:val="20"/>
        </w:rPr>
        <w:t>inclusion</w:t>
      </w:r>
      <w:r w:rsidRPr="006770B9">
        <w:rPr>
          <w:sz w:val="20"/>
        </w:rPr>
        <w:t xml:space="preserve"> in a patient chart. A consultation </w:t>
      </w:r>
      <w:r>
        <w:rPr>
          <w:sz w:val="20"/>
        </w:rPr>
        <w:t xml:space="preserve">which consists of a </w:t>
      </w:r>
      <w:r w:rsidRPr="006770B9">
        <w:rPr>
          <w:sz w:val="20"/>
        </w:rPr>
        <w:t xml:space="preserve">request for help in understanding a professional’s ethical obligations with respect to a </w:t>
      </w:r>
      <w:r>
        <w:rPr>
          <w:sz w:val="20"/>
        </w:rPr>
        <w:t xml:space="preserve">particular </w:t>
      </w:r>
      <w:r w:rsidRPr="006770B9">
        <w:rPr>
          <w:sz w:val="20"/>
        </w:rPr>
        <w:t>patient’s requests</w:t>
      </w:r>
      <w:r>
        <w:rPr>
          <w:sz w:val="20"/>
        </w:rPr>
        <w:t xml:space="preserve"> or demands (such as an </w:t>
      </w:r>
      <w:r w:rsidRPr="006770B9">
        <w:rPr>
          <w:sz w:val="20"/>
        </w:rPr>
        <w:t xml:space="preserve">insistence on </w:t>
      </w:r>
      <w:r>
        <w:rPr>
          <w:sz w:val="20"/>
        </w:rPr>
        <w:t xml:space="preserve">having </w:t>
      </w:r>
      <w:r w:rsidRPr="006770B9">
        <w:rPr>
          <w:sz w:val="20"/>
        </w:rPr>
        <w:t xml:space="preserve">a provider of a particular race or sexual orientation) may not find its way into the chart especially if there is no need for </w:t>
      </w:r>
      <w:r>
        <w:rPr>
          <w:sz w:val="20"/>
        </w:rPr>
        <w:t xml:space="preserve">what is often called </w:t>
      </w:r>
      <w:r w:rsidRPr="006770B9">
        <w:rPr>
          <w:sz w:val="20"/>
        </w:rPr>
        <w:t>a behavioural safety alert.</w:t>
      </w:r>
      <w:r>
        <w:rPr>
          <w:sz w:val="20"/>
        </w:rPr>
        <w:t xml:space="preserve"> (The stigmatizing effect of such an entry may be outweighed by any marginal safety gain.)</w:t>
      </w:r>
      <w:r w:rsidRPr="006770B9">
        <w:rPr>
          <w:sz w:val="20"/>
        </w:rPr>
        <w:t xml:space="preserve"> </w:t>
      </w:r>
    </w:p>
    <w:p w14:paraId="098208E1" w14:textId="19BE4380" w:rsidR="00BB3FE0" w:rsidRDefault="00BB3FE0" w:rsidP="005B2647">
      <w:pPr>
        <w:pStyle w:val="FootnoteText"/>
        <w:ind w:firstLine="720"/>
        <w:rPr>
          <w:sz w:val="20"/>
        </w:rPr>
      </w:pPr>
      <w:r w:rsidRPr="006770B9">
        <w:rPr>
          <w:sz w:val="20"/>
        </w:rPr>
        <w:t xml:space="preserve">As another example, a patient may refuse </w:t>
      </w:r>
      <w:r>
        <w:rPr>
          <w:sz w:val="20"/>
        </w:rPr>
        <w:t xml:space="preserve">entirely </w:t>
      </w:r>
      <w:r w:rsidRPr="006770B9">
        <w:rPr>
          <w:sz w:val="20"/>
        </w:rPr>
        <w:t>to have an ethicist involved in her case</w:t>
      </w:r>
      <w:r>
        <w:rPr>
          <w:sz w:val="20"/>
        </w:rPr>
        <w:t xml:space="preserve">. If this </w:t>
      </w:r>
      <w:r w:rsidRPr="006770B9">
        <w:rPr>
          <w:sz w:val="20"/>
        </w:rPr>
        <w:t>occurs, the PHE may</w:t>
      </w:r>
      <w:r>
        <w:rPr>
          <w:sz w:val="20"/>
        </w:rPr>
        <w:t xml:space="preserve"> still assist </w:t>
      </w:r>
      <w:r w:rsidRPr="006770B9">
        <w:rPr>
          <w:sz w:val="20"/>
        </w:rPr>
        <w:t>the clinical te</w:t>
      </w:r>
      <w:r>
        <w:rPr>
          <w:sz w:val="20"/>
        </w:rPr>
        <w:t xml:space="preserve">am but her involvement will have to </w:t>
      </w:r>
      <w:r w:rsidRPr="006770B9">
        <w:rPr>
          <w:sz w:val="20"/>
        </w:rPr>
        <w:t>be more carefully circumscribed. She can offer non-nominal support by way of a discussion of general principles but she should not view the patient’s chart</w:t>
      </w:r>
      <w:r>
        <w:rPr>
          <w:sz w:val="20"/>
        </w:rPr>
        <w:t xml:space="preserve"> or become privy</w:t>
      </w:r>
      <w:r w:rsidRPr="006770B9">
        <w:rPr>
          <w:sz w:val="20"/>
        </w:rPr>
        <w:t xml:space="preserve"> to specifics </w:t>
      </w:r>
      <w:r>
        <w:rPr>
          <w:sz w:val="20"/>
        </w:rPr>
        <w:t xml:space="preserve">(such as the patient’s name, age, or other identifiers) </w:t>
      </w:r>
      <w:r w:rsidRPr="006770B9">
        <w:rPr>
          <w:sz w:val="20"/>
        </w:rPr>
        <w:t xml:space="preserve">that violate the patient’s expectation of privacy. </w:t>
      </w:r>
      <w:r>
        <w:rPr>
          <w:sz w:val="20"/>
        </w:rPr>
        <w:t>Should</w:t>
      </w:r>
      <w:r w:rsidRPr="006770B9">
        <w:rPr>
          <w:sz w:val="20"/>
        </w:rPr>
        <w:t xml:space="preserve"> professionalization of the </w:t>
      </w:r>
      <w:r>
        <w:rPr>
          <w:sz w:val="20"/>
        </w:rPr>
        <w:t xml:space="preserve">work of PHEs occur, it will be important </w:t>
      </w:r>
      <w:r w:rsidRPr="006770B9">
        <w:rPr>
          <w:sz w:val="20"/>
        </w:rPr>
        <w:t xml:space="preserve">to establish practice standards </w:t>
      </w:r>
      <w:r>
        <w:rPr>
          <w:sz w:val="20"/>
        </w:rPr>
        <w:t xml:space="preserve">that can </w:t>
      </w:r>
      <w:r w:rsidRPr="006770B9">
        <w:rPr>
          <w:sz w:val="20"/>
        </w:rPr>
        <w:t>render the ap</w:t>
      </w:r>
      <w:r>
        <w:rPr>
          <w:sz w:val="20"/>
        </w:rPr>
        <w:t>proach to such cases more consistent and transpare</w:t>
      </w:r>
      <w:r w:rsidRPr="006770B9">
        <w:rPr>
          <w:sz w:val="20"/>
        </w:rPr>
        <w:t>nt</w:t>
      </w:r>
      <w:r>
        <w:rPr>
          <w:sz w:val="20"/>
        </w:rPr>
        <w:t xml:space="preserve"> than is currently the norm.</w:t>
      </w:r>
    </w:p>
    <w:p w14:paraId="33304F3B" w14:textId="77777777" w:rsidR="00BB3FE0" w:rsidRPr="006770B9" w:rsidRDefault="00BB3FE0" w:rsidP="005B2647">
      <w:pPr>
        <w:pStyle w:val="FootnoteText"/>
        <w:ind w:firstLine="720"/>
        <w:rPr>
          <w:sz w:val="20"/>
        </w:rPr>
      </w:pPr>
    </w:p>
  </w:footnote>
  <w:footnote w:id="203">
    <w:p w14:paraId="5C9B5ED4" w14:textId="2BB0F023" w:rsidR="00BB3FE0" w:rsidRPr="00E64F2C" w:rsidRDefault="00BB3FE0" w:rsidP="00E64F2C">
      <w:pPr>
        <w:pStyle w:val="FootnoteText"/>
        <w:ind w:firstLine="720"/>
        <w:rPr>
          <w:sz w:val="20"/>
          <w:szCs w:val="20"/>
        </w:rPr>
      </w:pPr>
      <w:r w:rsidRPr="00E64F2C">
        <w:rPr>
          <w:rStyle w:val="FootnoteReference"/>
          <w:sz w:val="20"/>
          <w:szCs w:val="20"/>
        </w:rPr>
        <w:footnoteRef/>
      </w:r>
      <w:r>
        <w:rPr>
          <w:sz w:val="20"/>
          <w:szCs w:val="20"/>
        </w:rPr>
        <w:t xml:space="preserve">Although there is a scant literature that speaks to the elements that should be contained in a ‘chart note’ which serves as a record of a clinical ethics consultation, the documentation practices of practicing ethicists are highly variable. PHEs may record the highlights of team and/or family meetings and summarize the concerns that prompted </w:t>
      </w:r>
      <w:r w:rsidR="004D23A6">
        <w:rPr>
          <w:sz w:val="20"/>
          <w:szCs w:val="20"/>
        </w:rPr>
        <w:t>t</w:t>
      </w:r>
      <w:r>
        <w:rPr>
          <w:sz w:val="20"/>
          <w:szCs w:val="20"/>
        </w:rPr>
        <w:t>he</w:t>
      </w:r>
      <w:r w:rsidR="004D23A6">
        <w:rPr>
          <w:sz w:val="20"/>
          <w:szCs w:val="20"/>
        </w:rPr>
        <w:t>i</w:t>
      </w:r>
      <w:r>
        <w:rPr>
          <w:sz w:val="20"/>
          <w:szCs w:val="20"/>
        </w:rPr>
        <w:t xml:space="preserve">r involvement, as well as the nature of any consensus that may have been achieved, but health records are only appropriate sites for documentation when the consultants’ recommendations are germane to the care of particular patients. Many common issues, such as conflicts within teams, confidential requests for values clarification, or requests for aid in responding to the problematic behaviours of individuals (or the shortcomings of institutional directives) may never find their way into any record that is subject to scrutiny or to quality assurance activity. These limitations are especially salient now that most PHEs no longer keep detailed ethics consultation records. Owing to the legal cautions which advise against retaining so-called shadow charts, ethics services tend to maintain, at most, only non-nominal records, such as databases containing elements such as consultation themes, volumes of requests, and the programs in which they originate. Data of this kind may help a PHE to justify the allocation of her time, or to argue for greater resources, or to target her education efforts, but they are poor surrogates for substantive measures of the quality of the consultations themselves.    </w:t>
      </w:r>
    </w:p>
  </w:footnote>
  <w:footnote w:id="204">
    <w:p w14:paraId="4F91C29B" w14:textId="77777777" w:rsidR="00BB3FE0" w:rsidRDefault="00BB3FE0" w:rsidP="009A7BCA">
      <w:pPr>
        <w:pStyle w:val="FootnoteText"/>
        <w:ind w:firstLine="720"/>
        <w:rPr>
          <w:sz w:val="20"/>
        </w:rPr>
      </w:pPr>
      <w:r w:rsidRPr="0069179E">
        <w:rPr>
          <w:rStyle w:val="FootnoteReference"/>
          <w:sz w:val="20"/>
        </w:rPr>
        <w:footnoteRef/>
      </w:r>
      <w:r w:rsidRPr="0069179E">
        <w:rPr>
          <w:sz w:val="20"/>
        </w:rPr>
        <w:t xml:space="preserve"> Giles Scofield</w:t>
      </w:r>
      <w:r>
        <w:rPr>
          <w:sz w:val="20"/>
        </w:rPr>
        <w:t>. “What—If Anything—Sets Limits to the Clinical Ethics Consultant’s ‘Expertise’</w:t>
      </w:r>
      <w:r w:rsidRPr="0069179E">
        <w:rPr>
          <w:sz w:val="20"/>
        </w:rPr>
        <w:t>?</w:t>
      </w:r>
      <w:r>
        <w:rPr>
          <w:sz w:val="20"/>
        </w:rPr>
        <w:t>”</w:t>
      </w:r>
      <w:r w:rsidRPr="0069179E">
        <w:rPr>
          <w:sz w:val="20"/>
        </w:rPr>
        <w:t xml:space="preserve"> </w:t>
      </w:r>
      <w:r w:rsidRPr="0069179E">
        <w:rPr>
          <w:i/>
          <w:sz w:val="20"/>
        </w:rPr>
        <w:t>Perspectives in Biology and Medicine</w:t>
      </w:r>
      <w:r>
        <w:rPr>
          <w:sz w:val="20"/>
        </w:rPr>
        <w:t>, Volume 61. 4 (2018): 595</w:t>
      </w:r>
      <w:r w:rsidRPr="0069179E">
        <w:rPr>
          <w:sz w:val="20"/>
        </w:rPr>
        <w:t>.</w:t>
      </w:r>
    </w:p>
    <w:p w14:paraId="25E39B1D" w14:textId="77777777" w:rsidR="00BB3FE0" w:rsidRPr="0069179E" w:rsidRDefault="00BB3FE0" w:rsidP="00B522A6">
      <w:pPr>
        <w:pStyle w:val="FootnoteText"/>
        <w:rPr>
          <w:sz w:val="20"/>
        </w:rPr>
      </w:pPr>
    </w:p>
  </w:footnote>
  <w:footnote w:id="205">
    <w:p w14:paraId="27C2631B" w14:textId="2759FFF3" w:rsidR="00BB3FE0" w:rsidRDefault="00BB3FE0" w:rsidP="009A7BCA">
      <w:pPr>
        <w:pStyle w:val="FootnoteText"/>
        <w:ind w:firstLine="720"/>
        <w:rPr>
          <w:sz w:val="20"/>
          <w:szCs w:val="20"/>
        </w:rPr>
      </w:pPr>
      <w:r w:rsidRPr="002F5CE6">
        <w:rPr>
          <w:rStyle w:val="FootnoteReference"/>
          <w:sz w:val="20"/>
          <w:szCs w:val="20"/>
        </w:rPr>
        <w:footnoteRef/>
      </w:r>
      <w:r w:rsidRPr="002F5CE6">
        <w:rPr>
          <w:sz w:val="20"/>
          <w:szCs w:val="20"/>
        </w:rPr>
        <w:t xml:space="preserve"> Ibid., 596.</w:t>
      </w:r>
    </w:p>
    <w:p w14:paraId="42BCD728" w14:textId="77777777" w:rsidR="00BB3FE0" w:rsidRPr="001038ED" w:rsidRDefault="00BB3FE0" w:rsidP="009A7BCA">
      <w:pPr>
        <w:pStyle w:val="FootnoteText"/>
        <w:ind w:firstLine="720"/>
        <w:rPr>
          <w:sz w:val="20"/>
          <w:szCs w:val="20"/>
        </w:rPr>
      </w:pPr>
    </w:p>
  </w:footnote>
  <w:footnote w:id="206">
    <w:p w14:paraId="7873C8C1" w14:textId="50026155" w:rsidR="00BB3FE0" w:rsidRPr="001038ED" w:rsidRDefault="00BB3FE0" w:rsidP="001038ED">
      <w:pPr>
        <w:pStyle w:val="FootnoteText"/>
        <w:ind w:firstLine="720"/>
        <w:rPr>
          <w:sz w:val="20"/>
          <w:szCs w:val="20"/>
        </w:rPr>
      </w:pPr>
      <w:r w:rsidRPr="001038ED">
        <w:rPr>
          <w:rStyle w:val="FootnoteReference"/>
          <w:sz w:val="20"/>
          <w:szCs w:val="20"/>
        </w:rPr>
        <w:footnoteRef/>
      </w:r>
      <w:r w:rsidRPr="001038ED">
        <w:rPr>
          <w:sz w:val="20"/>
          <w:szCs w:val="20"/>
        </w:rPr>
        <w:t xml:space="preserve"> Ibid.</w:t>
      </w:r>
    </w:p>
  </w:footnote>
  <w:footnote w:id="207">
    <w:p w14:paraId="37BC12DB" w14:textId="77777777" w:rsidR="00BB3FE0" w:rsidRPr="002F5CE6" w:rsidRDefault="00BB3FE0" w:rsidP="001038ED">
      <w:pPr>
        <w:pStyle w:val="FootnoteText"/>
        <w:rPr>
          <w:sz w:val="20"/>
          <w:szCs w:val="20"/>
        </w:rPr>
      </w:pPr>
    </w:p>
    <w:p w14:paraId="0690E56D" w14:textId="7C006F55" w:rsidR="00BB3FE0" w:rsidRPr="002F5CE6" w:rsidRDefault="00BB3FE0" w:rsidP="009A020D">
      <w:pPr>
        <w:pStyle w:val="FootnoteText"/>
        <w:ind w:firstLine="720"/>
        <w:rPr>
          <w:sz w:val="20"/>
          <w:szCs w:val="20"/>
        </w:rPr>
      </w:pPr>
      <w:r w:rsidRPr="002F5CE6">
        <w:rPr>
          <w:rStyle w:val="FootnoteReference"/>
          <w:sz w:val="20"/>
          <w:szCs w:val="20"/>
        </w:rPr>
        <w:footnoteRef/>
      </w:r>
      <w:r w:rsidRPr="002F5CE6">
        <w:rPr>
          <w:sz w:val="20"/>
          <w:szCs w:val="20"/>
        </w:rPr>
        <w:t xml:space="preserve"> Ibid.</w:t>
      </w:r>
    </w:p>
  </w:footnote>
  <w:footnote w:id="208">
    <w:p w14:paraId="7FBE308E" w14:textId="77777777" w:rsidR="00BB3FE0" w:rsidRDefault="00BB3FE0" w:rsidP="0066389A">
      <w:pPr>
        <w:pStyle w:val="FootnoteText"/>
        <w:ind w:firstLine="720"/>
        <w:rPr>
          <w:sz w:val="20"/>
        </w:rPr>
      </w:pPr>
      <w:r w:rsidRPr="0066389A">
        <w:rPr>
          <w:rStyle w:val="FootnoteReference"/>
          <w:sz w:val="20"/>
        </w:rPr>
        <w:footnoteRef/>
      </w:r>
      <w:r w:rsidRPr="0066389A">
        <w:rPr>
          <w:sz w:val="20"/>
        </w:rPr>
        <w:t xml:space="preserve"> </w:t>
      </w:r>
      <w:r>
        <w:rPr>
          <w:sz w:val="20"/>
        </w:rPr>
        <w:t>Although Margaret Urban Walker might</w:t>
      </w:r>
      <w:r w:rsidRPr="0066389A">
        <w:rPr>
          <w:sz w:val="20"/>
        </w:rPr>
        <w:t xml:space="preserve"> be disinclined to accept my emphasis on adjudication (which I stress only because it </w:t>
      </w:r>
      <w:r>
        <w:rPr>
          <w:sz w:val="20"/>
        </w:rPr>
        <w:t>is often regarded as</w:t>
      </w:r>
      <w:r w:rsidRPr="0066389A">
        <w:rPr>
          <w:sz w:val="20"/>
        </w:rPr>
        <w:t xml:space="preserve"> the most contentious part of the work)</w:t>
      </w:r>
      <w:r>
        <w:rPr>
          <w:sz w:val="20"/>
        </w:rPr>
        <w:t>,</w:t>
      </w:r>
      <w:r w:rsidRPr="0066389A">
        <w:rPr>
          <w:sz w:val="20"/>
        </w:rPr>
        <w:t xml:space="preserve"> I believe that we have a shared understanding of how best to prepare PHEs for their roles. In response to the professionalization movement she has noted that the academic preparation typically provided to those who study ethics at the graduate level is inadequate to the task of performing ethics consultation in the hierarchical</w:t>
      </w:r>
      <w:r>
        <w:rPr>
          <w:sz w:val="20"/>
        </w:rPr>
        <w:t>,</w:t>
      </w:r>
      <w:r w:rsidRPr="0066389A">
        <w:rPr>
          <w:sz w:val="20"/>
        </w:rPr>
        <w:t xml:space="preserve"> and very complex</w:t>
      </w:r>
      <w:r>
        <w:rPr>
          <w:sz w:val="20"/>
        </w:rPr>
        <w:t>,</w:t>
      </w:r>
      <w:r w:rsidRPr="0066389A">
        <w:rPr>
          <w:sz w:val="20"/>
        </w:rPr>
        <w:t xml:space="preserve"> clinical </w:t>
      </w:r>
      <w:r>
        <w:rPr>
          <w:sz w:val="20"/>
        </w:rPr>
        <w:t>environment</w:t>
      </w:r>
      <w:r w:rsidRPr="0066389A">
        <w:rPr>
          <w:sz w:val="20"/>
        </w:rPr>
        <w:t xml:space="preserve">. </w:t>
      </w:r>
    </w:p>
    <w:p w14:paraId="3E59AD00" w14:textId="1F4E075E" w:rsidR="00BB3FE0" w:rsidRDefault="00BB3FE0" w:rsidP="005B0DB3">
      <w:pPr>
        <w:pStyle w:val="FootnoteText"/>
        <w:ind w:firstLine="720"/>
        <w:rPr>
          <w:sz w:val="20"/>
        </w:rPr>
      </w:pPr>
      <w:r w:rsidRPr="0066389A">
        <w:rPr>
          <w:sz w:val="20"/>
        </w:rPr>
        <w:t>In her words “The old staples of conceptual and analytical skills, honed specifically for medical and clinical contexts, remain important tools. They are necessary to keep track of where the discussion has (and has not) been going. But knowing where the discussion might or could go, and how the process is shaped not only by ideas but concretely by actors and environments, requires other sorts of preparation as well.”</w:t>
      </w:r>
      <w:r>
        <w:rPr>
          <w:sz w:val="20"/>
        </w:rPr>
        <w:t xml:space="preserve"> </w:t>
      </w:r>
      <w:r w:rsidRPr="0066389A">
        <w:rPr>
          <w:sz w:val="20"/>
        </w:rPr>
        <w:t xml:space="preserve">Among the other kinds of preparation she recommends, are “wide (and critical) conversance with the actual terms …of moral assessment in </w:t>
      </w:r>
      <w:r w:rsidRPr="009E10E6">
        <w:rPr>
          <w:sz w:val="20"/>
        </w:rPr>
        <w:t>the society the institution takes as its community.” In</w:t>
      </w:r>
      <w:r w:rsidRPr="0066389A">
        <w:rPr>
          <w:sz w:val="20"/>
        </w:rPr>
        <w:t xml:space="preserve"> addition, she notes that the PHE must have a “sensitivity to configurations of authority and dynamics of relationship that can either help structure that space or deform it” Walker, </w:t>
      </w:r>
      <w:r>
        <w:rPr>
          <w:sz w:val="20"/>
        </w:rPr>
        <w:t>1993</w:t>
      </w:r>
      <w:r w:rsidRPr="0066389A">
        <w:rPr>
          <w:sz w:val="20"/>
        </w:rPr>
        <w:t>, 39.</w:t>
      </w:r>
    </w:p>
    <w:p w14:paraId="114EA4C1" w14:textId="709DAE62" w:rsidR="00BB3FE0" w:rsidRDefault="00BB3FE0" w:rsidP="0066389A">
      <w:pPr>
        <w:pStyle w:val="FootnoteText"/>
        <w:ind w:firstLine="720"/>
        <w:rPr>
          <w:sz w:val="20"/>
        </w:rPr>
      </w:pPr>
      <w:r>
        <w:rPr>
          <w:sz w:val="20"/>
        </w:rPr>
        <w:t xml:space="preserve">We would do well to construct PHE apprenticeship programs that draw on these insights, and I agree heartily with her recommendations that the field provide apprenticeship opportunities that are interdisciplinary, clinically-situated, and that they explore what she calls “[f]lexible networks of inside and outside ethicists, linking the moral space of particular institutions to other sites of ‘the reflexive social dialogue.’” Ibid. </w:t>
      </w:r>
    </w:p>
    <w:p w14:paraId="6C37D624" w14:textId="77777777" w:rsidR="00BB3FE0" w:rsidRPr="001038ED" w:rsidRDefault="00BB3FE0" w:rsidP="0066389A">
      <w:pPr>
        <w:pStyle w:val="FootnoteText"/>
        <w:ind w:firstLine="720"/>
        <w:rPr>
          <w:sz w:val="20"/>
          <w:szCs w:val="20"/>
        </w:rPr>
      </w:pPr>
    </w:p>
  </w:footnote>
  <w:footnote w:id="209">
    <w:p w14:paraId="11134C18" w14:textId="77777777" w:rsidR="00BB3FE0" w:rsidRPr="00D075FB" w:rsidRDefault="00BB3FE0" w:rsidP="00D075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pPr>
      <w:r w:rsidRPr="00024E31">
        <w:rPr>
          <w:rStyle w:val="FootnoteReference"/>
          <w:sz w:val="20"/>
        </w:rPr>
        <w:footnoteRef/>
      </w:r>
      <w:r w:rsidRPr="00024E31">
        <w:rPr>
          <w:sz w:val="20"/>
        </w:rPr>
        <w:t xml:space="preserve"> Ibid., 595.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1116E"/>
    <w:multiLevelType w:val="hybridMultilevel"/>
    <w:tmpl w:val="9B52202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35095E5F"/>
    <w:multiLevelType w:val="hybridMultilevel"/>
    <w:tmpl w:val="5C76A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B2508D"/>
    <w:multiLevelType w:val="hybridMultilevel"/>
    <w:tmpl w:val="E7763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trackRevision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2A"/>
    <w:rsid w:val="00000B27"/>
    <w:rsid w:val="00001BC9"/>
    <w:rsid w:val="00001E9C"/>
    <w:rsid w:val="00001F12"/>
    <w:rsid w:val="00003671"/>
    <w:rsid w:val="00003B56"/>
    <w:rsid w:val="0000409D"/>
    <w:rsid w:val="00004112"/>
    <w:rsid w:val="000053F7"/>
    <w:rsid w:val="0000585C"/>
    <w:rsid w:val="0000595B"/>
    <w:rsid w:val="0000648D"/>
    <w:rsid w:val="00006607"/>
    <w:rsid w:val="000068B0"/>
    <w:rsid w:val="00006F1F"/>
    <w:rsid w:val="00007F4B"/>
    <w:rsid w:val="00010E87"/>
    <w:rsid w:val="0001150B"/>
    <w:rsid w:val="0001165A"/>
    <w:rsid w:val="00011E9E"/>
    <w:rsid w:val="00012009"/>
    <w:rsid w:val="000121FC"/>
    <w:rsid w:val="000127F6"/>
    <w:rsid w:val="00012D81"/>
    <w:rsid w:val="00014247"/>
    <w:rsid w:val="0001547E"/>
    <w:rsid w:val="000169EF"/>
    <w:rsid w:val="00016A68"/>
    <w:rsid w:val="00016B4A"/>
    <w:rsid w:val="000173BB"/>
    <w:rsid w:val="00021190"/>
    <w:rsid w:val="00021269"/>
    <w:rsid w:val="00021B84"/>
    <w:rsid w:val="0002207C"/>
    <w:rsid w:val="00023BDB"/>
    <w:rsid w:val="00024896"/>
    <w:rsid w:val="00024C1B"/>
    <w:rsid w:val="00024C1E"/>
    <w:rsid w:val="00024C5E"/>
    <w:rsid w:val="00024E31"/>
    <w:rsid w:val="00024F00"/>
    <w:rsid w:val="00025393"/>
    <w:rsid w:val="00025692"/>
    <w:rsid w:val="00026026"/>
    <w:rsid w:val="000270B9"/>
    <w:rsid w:val="00027826"/>
    <w:rsid w:val="0002783A"/>
    <w:rsid w:val="00027C5F"/>
    <w:rsid w:val="00027E00"/>
    <w:rsid w:val="000301B1"/>
    <w:rsid w:val="00030B6B"/>
    <w:rsid w:val="00030BEC"/>
    <w:rsid w:val="00030DA1"/>
    <w:rsid w:val="000321AE"/>
    <w:rsid w:val="000339EC"/>
    <w:rsid w:val="00033FB9"/>
    <w:rsid w:val="00036131"/>
    <w:rsid w:val="00036BA1"/>
    <w:rsid w:val="0003707A"/>
    <w:rsid w:val="0003773E"/>
    <w:rsid w:val="00041012"/>
    <w:rsid w:val="00041061"/>
    <w:rsid w:val="000415DB"/>
    <w:rsid w:val="00042A00"/>
    <w:rsid w:val="000431ED"/>
    <w:rsid w:val="000437FC"/>
    <w:rsid w:val="000441C2"/>
    <w:rsid w:val="00044324"/>
    <w:rsid w:val="00047507"/>
    <w:rsid w:val="000502B1"/>
    <w:rsid w:val="000507AF"/>
    <w:rsid w:val="00051874"/>
    <w:rsid w:val="00052220"/>
    <w:rsid w:val="000526FE"/>
    <w:rsid w:val="00052932"/>
    <w:rsid w:val="00052E09"/>
    <w:rsid w:val="000535AC"/>
    <w:rsid w:val="00054F6D"/>
    <w:rsid w:val="000552FF"/>
    <w:rsid w:val="00056538"/>
    <w:rsid w:val="00057FB3"/>
    <w:rsid w:val="000606E0"/>
    <w:rsid w:val="00060F0B"/>
    <w:rsid w:val="0006103B"/>
    <w:rsid w:val="00061DEA"/>
    <w:rsid w:val="00062F8A"/>
    <w:rsid w:val="00063C79"/>
    <w:rsid w:val="00064AC7"/>
    <w:rsid w:val="0006561D"/>
    <w:rsid w:val="00066092"/>
    <w:rsid w:val="0006726D"/>
    <w:rsid w:val="000678DB"/>
    <w:rsid w:val="00067D7D"/>
    <w:rsid w:val="00070C5E"/>
    <w:rsid w:val="000713B9"/>
    <w:rsid w:val="000715BF"/>
    <w:rsid w:val="00071C7A"/>
    <w:rsid w:val="000721F5"/>
    <w:rsid w:val="00073DE0"/>
    <w:rsid w:val="00074348"/>
    <w:rsid w:val="00074358"/>
    <w:rsid w:val="0007445F"/>
    <w:rsid w:val="00074691"/>
    <w:rsid w:val="00074A6D"/>
    <w:rsid w:val="00075268"/>
    <w:rsid w:val="00081351"/>
    <w:rsid w:val="00081B58"/>
    <w:rsid w:val="00082931"/>
    <w:rsid w:val="00082CD6"/>
    <w:rsid w:val="00083301"/>
    <w:rsid w:val="000834C5"/>
    <w:rsid w:val="00083A29"/>
    <w:rsid w:val="000840A7"/>
    <w:rsid w:val="00084A7C"/>
    <w:rsid w:val="00084BF1"/>
    <w:rsid w:val="00085DC0"/>
    <w:rsid w:val="00086787"/>
    <w:rsid w:val="00086D7F"/>
    <w:rsid w:val="00086E01"/>
    <w:rsid w:val="00086EB0"/>
    <w:rsid w:val="0008708E"/>
    <w:rsid w:val="00090108"/>
    <w:rsid w:val="00090A07"/>
    <w:rsid w:val="0009131C"/>
    <w:rsid w:val="0009141A"/>
    <w:rsid w:val="00091715"/>
    <w:rsid w:val="0009203E"/>
    <w:rsid w:val="000920C2"/>
    <w:rsid w:val="0009272F"/>
    <w:rsid w:val="000927FA"/>
    <w:rsid w:val="00094DDB"/>
    <w:rsid w:val="00095008"/>
    <w:rsid w:val="0009647F"/>
    <w:rsid w:val="0009649C"/>
    <w:rsid w:val="00096C26"/>
    <w:rsid w:val="00096EE3"/>
    <w:rsid w:val="00097498"/>
    <w:rsid w:val="000979C1"/>
    <w:rsid w:val="00097BD1"/>
    <w:rsid w:val="000A03C4"/>
    <w:rsid w:val="000A0D27"/>
    <w:rsid w:val="000A1752"/>
    <w:rsid w:val="000A3CD6"/>
    <w:rsid w:val="000A44BD"/>
    <w:rsid w:val="000A4729"/>
    <w:rsid w:val="000A4EBB"/>
    <w:rsid w:val="000A4F13"/>
    <w:rsid w:val="000A52C5"/>
    <w:rsid w:val="000A57D0"/>
    <w:rsid w:val="000A59B4"/>
    <w:rsid w:val="000A6086"/>
    <w:rsid w:val="000A63B4"/>
    <w:rsid w:val="000A66BB"/>
    <w:rsid w:val="000A676C"/>
    <w:rsid w:val="000A6F8C"/>
    <w:rsid w:val="000A70B8"/>
    <w:rsid w:val="000A70CF"/>
    <w:rsid w:val="000B0248"/>
    <w:rsid w:val="000B0769"/>
    <w:rsid w:val="000B08F2"/>
    <w:rsid w:val="000B1687"/>
    <w:rsid w:val="000B17B8"/>
    <w:rsid w:val="000B369D"/>
    <w:rsid w:val="000B534B"/>
    <w:rsid w:val="000B5561"/>
    <w:rsid w:val="000B603C"/>
    <w:rsid w:val="000B641B"/>
    <w:rsid w:val="000C063C"/>
    <w:rsid w:val="000C100B"/>
    <w:rsid w:val="000C1057"/>
    <w:rsid w:val="000C1A88"/>
    <w:rsid w:val="000C1F9E"/>
    <w:rsid w:val="000C2AA8"/>
    <w:rsid w:val="000C3E63"/>
    <w:rsid w:val="000C3EFB"/>
    <w:rsid w:val="000C4DFF"/>
    <w:rsid w:val="000C663B"/>
    <w:rsid w:val="000C6D57"/>
    <w:rsid w:val="000C702F"/>
    <w:rsid w:val="000C785F"/>
    <w:rsid w:val="000D0ECA"/>
    <w:rsid w:val="000D13FB"/>
    <w:rsid w:val="000D16C7"/>
    <w:rsid w:val="000D1D80"/>
    <w:rsid w:val="000D1E3D"/>
    <w:rsid w:val="000D20CC"/>
    <w:rsid w:val="000D23F7"/>
    <w:rsid w:val="000D367B"/>
    <w:rsid w:val="000D3797"/>
    <w:rsid w:val="000D3AFD"/>
    <w:rsid w:val="000D5627"/>
    <w:rsid w:val="000D60AC"/>
    <w:rsid w:val="000D6343"/>
    <w:rsid w:val="000D68A0"/>
    <w:rsid w:val="000D7661"/>
    <w:rsid w:val="000E0D21"/>
    <w:rsid w:val="000E16F0"/>
    <w:rsid w:val="000E1C58"/>
    <w:rsid w:val="000E2FFC"/>
    <w:rsid w:val="000E32B1"/>
    <w:rsid w:val="000E3857"/>
    <w:rsid w:val="000E47B0"/>
    <w:rsid w:val="000E4985"/>
    <w:rsid w:val="000E4E02"/>
    <w:rsid w:val="000E4E3B"/>
    <w:rsid w:val="000E505E"/>
    <w:rsid w:val="000E5641"/>
    <w:rsid w:val="000E5AEA"/>
    <w:rsid w:val="000E5F31"/>
    <w:rsid w:val="000E7A4F"/>
    <w:rsid w:val="000E7C46"/>
    <w:rsid w:val="000F00CB"/>
    <w:rsid w:val="000F0D95"/>
    <w:rsid w:val="000F17B6"/>
    <w:rsid w:val="000F1C06"/>
    <w:rsid w:val="000F1D9E"/>
    <w:rsid w:val="000F1E44"/>
    <w:rsid w:val="000F2181"/>
    <w:rsid w:val="000F42E6"/>
    <w:rsid w:val="000F49E6"/>
    <w:rsid w:val="000F52FA"/>
    <w:rsid w:val="000F59FF"/>
    <w:rsid w:val="000F6241"/>
    <w:rsid w:val="000F6953"/>
    <w:rsid w:val="000F6CD3"/>
    <w:rsid w:val="000F77AA"/>
    <w:rsid w:val="000F7CEE"/>
    <w:rsid w:val="00100491"/>
    <w:rsid w:val="0010094B"/>
    <w:rsid w:val="00101011"/>
    <w:rsid w:val="00101D77"/>
    <w:rsid w:val="0010229F"/>
    <w:rsid w:val="001025AA"/>
    <w:rsid w:val="0010321B"/>
    <w:rsid w:val="001032E8"/>
    <w:rsid w:val="001032EA"/>
    <w:rsid w:val="0010348E"/>
    <w:rsid w:val="00103878"/>
    <w:rsid w:val="001038ED"/>
    <w:rsid w:val="00103BB4"/>
    <w:rsid w:val="00105192"/>
    <w:rsid w:val="001058BF"/>
    <w:rsid w:val="00105A8B"/>
    <w:rsid w:val="001066FB"/>
    <w:rsid w:val="00107332"/>
    <w:rsid w:val="00107F9E"/>
    <w:rsid w:val="00110D00"/>
    <w:rsid w:val="00111E22"/>
    <w:rsid w:val="00113710"/>
    <w:rsid w:val="001148A6"/>
    <w:rsid w:val="001154BB"/>
    <w:rsid w:val="0011559C"/>
    <w:rsid w:val="001179EA"/>
    <w:rsid w:val="00117C4B"/>
    <w:rsid w:val="001200B6"/>
    <w:rsid w:val="001201C4"/>
    <w:rsid w:val="001208A4"/>
    <w:rsid w:val="00120A4B"/>
    <w:rsid w:val="0012207C"/>
    <w:rsid w:val="0012225E"/>
    <w:rsid w:val="00122501"/>
    <w:rsid w:val="00122D94"/>
    <w:rsid w:val="001240AE"/>
    <w:rsid w:val="00124B5F"/>
    <w:rsid w:val="00124F43"/>
    <w:rsid w:val="00126073"/>
    <w:rsid w:val="00126390"/>
    <w:rsid w:val="00126D09"/>
    <w:rsid w:val="001301F4"/>
    <w:rsid w:val="0013028C"/>
    <w:rsid w:val="00130880"/>
    <w:rsid w:val="00130D48"/>
    <w:rsid w:val="00130EC1"/>
    <w:rsid w:val="00131227"/>
    <w:rsid w:val="00131E1A"/>
    <w:rsid w:val="00133859"/>
    <w:rsid w:val="001350BC"/>
    <w:rsid w:val="00135AE2"/>
    <w:rsid w:val="00135CF6"/>
    <w:rsid w:val="001367A5"/>
    <w:rsid w:val="00137CB4"/>
    <w:rsid w:val="00141517"/>
    <w:rsid w:val="00141911"/>
    <w:rsid w:val="00141A5E"/>
    <w:rsid w:val="00141E04"/>
    <w:rsid w:val="00143459"/>
    <w:rsid w:val="00144108"/>
    <w:rsid w:val="00144CF5"/>
    <w:rsid w:val="00145E4F"/>
    <w:rsid w:val="00146711"/>
    <w:rsid w:val="001468B3"/>
    <w:rsid w:val="00146FBF"/>
    <w:rsid w:val="00147686"/>
    <w:rsid w:val="00147A87"/>
    <w:rsid w:val="00147D4F"/>
    <w:rsid w:val="00147D77"/>
    <w:rsid w:val="001500B4"/>
    <w:rsid w:val="001506C5"/>
    <w:rsid w:val="00151413"/>
    <w:rsid w:val="0015142B"/>
    <w:rsid w:val="00153300"/>
    <w:rsid w:val="0015369C"/>
    <w:rsid w:val="0015380E"/>
    <w:rsid w:val="00153858"/>
    <w:rsid w:val="00153F33"/>
    <w:rsid w:val="00154F36"/>
    <w:rsid w:val="001550F3"/>
    <w:rsid w:val="001553FD"/>
    <w:rsid w:val="00155926"/>
    <w:rsid w:val="00155B1A"/>
    <w:rsid w:val="00156268"/>
    <w:rsid w:val="00156C4C"/>
    <w:rsid w:val="001576F1"/>
    <w:rsid w:val="00157EC6"/>
    <w:rsid w:val="00160303"/>
    <w:rsid w:val="001606FB"/>
    <w:rsid w:val="0016133F"/>
    <w:rsid w:val="00163173"/>
    <w:rsid w:val="00163C75"/>
    <w:rsid w:val="00163F5F"/>
    <w:rsid w:val="00164996"/>
    <w:rsid w:val="00165BD7"/>
    <w:rsid w:val="00170872"/>
    <w:rsid w:val="00170CDA"/>
    <w:rsid w:val="00171117"/>
    <w:rsid w:val="00171360"/>
    <w:rsid w:val="00171B37"/>
    <w:rsid w:val="00171BA4"/>
    <w:rsid w:val="00172557"/>
    <w:rsid w:val="00172E9E"/>
    <w:rsid w:val="001737C4"/>
    <w:rsid w:val="00174639"/>
    <w:rsid w:val="001749C0"/>
    <w:rsid w:val="00174C72"/>
    <w:rsid w:val="00174F73"/>
    <w:rsid w:val="00175E61"/>
    <w:rsid w:val="00177016"/>
    <w:rsid w:val="0017794E"/>
    <w:rsid w:val="00177ED4"/>
    <w:rsid w:val="00177F66"/>
    <w:rsid w:val="00180084"/>
    <w:rsid w:val="001816B8"/>
    <w:rsid w:val="00181EAB"/>
    <w:rsid w:val="0018213F"/>
    <w:rsid w:val="00183282"/>
    <w:rsid w:val="00183410"/>
    <w:rsid w:val="00183484"/>
    <w:rsid w:val="00183758"/>
    <w:rsid w:val="00184605"/>
    <w:rsid w:val="00186008"/>
    <w:rsid w:val="0018621F"/>
    <w:rsid w:val="00186527"/>
    <w:rsid w:val="0019025A"/>
    <w:rsid w:val="00190962"/>
    <w:rsid w:val="0019352A"/>
    <w:rsid w:val="00193734"/>
    <w:rsid w:val="00193ED6"/>
    <w:rsid w:val="00194282"/>
    <w:rsid w:val="0019486C"/>
    <w:rsid w:val="00195437"/>
    <w:rsid w:val="00196001"/>
    <w:rsid w:val="001966D0"/>
    <w:rsid w:val="00196789"/>
    <w:rsid w:val="00196BF2"/>
    <w:rsid w:val="00196DA9"/>
    <w:rsid w:val="00197609"/>
    <w:rsid w:val="00197720"/>
    <w:rsid w:val="00197BBD"/>
    <w:rsid w:val="001A0025"/>
    <w:rsid w:val="001A04A1"/>
    <w:rsid w:val="001A085E"/>
    <w:rsid w:val="001A0A11"/>
    <w:rsid w:val="001A160A"/>
    <w:rsid w:val="001A2538"/>
    <w:rsid w:val="001A2BBC"/>
    <w:rsid w:val="001A32A6"/>
    <w:rsid w:val="001A4A9A"/>
    <w:rsid w:val="001A6C98"/>
    <w:rsid w:val="001A718B"/>
    <w:rsid w:val="001A7482"/>
    <w:rsid w:val="001B0027"/>
    <w:rsid w:val="001B12B1"/>
    <w:rsid w:val="001B1E68"/>
    <w:rsid w:val="001B27F8"/>
    <w:rsid w:val="001B436F"/>
    <w:rsid w:val="001B511D"/>
    <w:rsid w:val="001B57CE"/>
    <w:rsid w:val="001B6A1D"/>
    <w:rsid w:val="001B6EC2"/>
    <w:rsid w:val="001B6F09"/>
    <w:rsid w:val="001B7343"/>
    <w:rsid w:val="001B7B1F"/>
    <w:rsid w:val="001B7C75"/>
    <w:rsid w:val="001C0041"/>
    <w:rsid w:val="001C01A3"/>
    <w:rsid w:val="001C0C07"/>
    <w:rsid w:val="001C0FE4"/>
    <w:rsid w:val="001C127B"/>
    <w:rsid w:val="001C15BF"/>
    <w:rsid w:val="001C1A18"/>
    <w:rsid w:val="001C1F45"/>
    <w:rsid w:val="001C218D"/>
    <w:rsid w:val="001C2C51"/>
    <w:rsid w:val="001C3034"/>
    <w:rsid w:val="001C5069"/>
    <w:rsid w:val="001C5BB7"/>
    <w:rsid w:val="001C5D6C"/>
    <w:rsid w:val="001C6346"/>
    <w:rsid w:val="001C6C61"/>
    <w:rsid w:val="001C6D32"/>
    <w:rsid w:val="001C7011"/>
    <w:rsid w:val="001C745B"/>
    <w:rsid w:val="001C7944"/>
    <w:rsid w:val="001C79C8"/>
    <w:rsid w:val="001C7A3C"/>
    <w:rsid w:val="001D02C7"/>
    <w:rsid w:val="001D0924"/>
    <w:rsid w:val="001D2037"/>
    <w:rsid w:val="001D33A9"/>
    <w:rsid w:val="001D3877"/>
    <w:rsid w:val="001D4176"/>
    <w:rsid w:val="001D4EEC"/>
    <w:rsid w:val="001D52A0"/>
    <w:rsid w:val="001D5F66"/>
    <w:rsid w:val="001D5FC0"/>
    <w:rsid w:val="001D701E"/>
    <w:rsid w:val="001D702E"/>
    <w:rsid w:val="001D79CA"/>
    <w:rsid w:val="001E15A4"/>
    <w:rsid w:val="001E15C9"/>
    <w:rsid w:val="001E1820"/>
    <w:rsid w:val="001E1F02"/>
    <w:rsid w:val="001E3A82"/>
    <w:rsid w:val="001E4E61"/>
    <w:rsid w:val="001E7250"/>
    <w:rsid w:val="001F02AC"/>
    <w:rsid w:val="001F0FE4"/>
    <w:rsid w:val="001F1CA2"/>
    <w:rsid w:val="001F343F"/>
    <w:rsid w:val="001F368F"/>
    <w:rsid w:val="001F3746"/>
    <w:rsid w:val="001F38EE"/>
    <w:rsid w:val="001F3F2E"/>
    <w:rsid w:val="001F4365"/>
    <w:rsid w:val="001F4DDF"/>
    <w:rsid w:val="001F59F0"/>
    <w:rsid w:val="001F7A84"/>
    <w:rsid w:val="001F7B7A"/>
    <w:rsid w:val="00200457"/>
    <w:rsid w:val="0020117A"/>
    <w:rsid w:val="002013EC"/>
    <w:rsid w:val="00201AA0"/>
    <w:rsid w:val="00202094"/>
    <w:rsid w:val="002028F5"/>
    <w:rsid w:val="00202B5D"/>
    <w:rsid w:val="00202DA7"/>
    <w:rsid w:val="00203245"/>
    <w:rsid w:val="00204301"/>
    <w:rsid w:val="0020452C"/>
    <w:rsid w:val="00204D2D"/>
    <w:rsid w:val="00204EB6"/>
    <w:rsid w:val="00204F30"/>
    <w:rsid w:val="00205ABE"/>
    <w:rsid w:val="00206981"/>
    <w:rsid w:val="00206C2C"/>
    <w:rsid w:val="0020784E"/>
    <w:rsid w:val="0020794E"/>
    <w:rsid w:val="00207EBD"/>
    <w:rsid w:val="0021033D"/>
    <w:rsid w:val="00210468"/>
    <w:rsid w:val="00211540"/>
    <w:rsid w:val="00211CFE"/>
    <w:rsid w:val="00213848"/>
    <w:rsid w:val="00213943"/>
    <w:rsid w:val="002147E2"/>
    <w:rsid w:val="00216F66"/>
    <w:rsid w:val="00217416"/>
    <w:rsid w:val="00220130"/>
    <w:rsid w:val="00220261"/>
    <w:rsid w:val="00220C61"/>
    <w:rsid w:val="00220F75"/>
    <w:rsid w:val="0022123B"/>
    <w:rsid w:val="0022206A"/>
    <w:rsid w:val="00223206"/>
    <w:rsid w:val="0022324B"/>
    <w:rsid w:val="00223EF8"/>
    <w:rsid w:val="00224D9E"/>
    <w:rsid w:val="00224ED1"/>
    <w:rsid w:val="00225252"/>
    <w:rsid w:val="0022568B"/>
    <w:rsid w:val="002257B0"/>
    <w:rsid w:val="00226BDD"/>
    <w:rsid w:val="00226DC1"/>
    <w:rsid w:val="00226E9D"/>
    <w:rsid w:val="00227847"/>
    <w:rsid w:val="00227D9A"/>
    <w:rsid w:val="002304AF"/>
    <w:rsid w:val="0023154F"/>
    <w:rsid w:val="002318E9"/>
    <w:rsid w:val="00234680"/>
    <w:rsid w:val="0023505D"/>
    <w:rsid w:val="00235721"/>
    <w:rsid w:val="0023635E"/>
    <w:rsid w:val="00236BAB"/>
    <w:rsid w:val="0024033B"/>
    <w:rsid w:val="00240738"/>
    <w:rsid w:val="00240914"/>
    <w:rsid w:val="00241540"/>
    <w:rsid w:val="00241709"/>
    <w:rsid w:val="00241884"/>
    <w:rsid w:val="00242250"/>
    <w:rsid w:val="002422CD"/>
    <w:rsid w:val="002422E2"/>
    <w:rsid w:val="002424BE"/>
    <w:rsid w:val="00242649"/>
    <w:rsid w:val="002439C7"/>
    <w:rsid w:val="00244461"/>
    <w:rsid w:val="00245EDB"/>
    <w:rsid w:val="002465E6"/>
    <w:rsid w:val="00246761"/>
    <w:rsid w:val="00250E24"/>
    <w:rsid w:val="00250ECE"/>
    <w:rsid w:val="00251545"/>
    <w:rsid w:val="00251AE8"/>
    <w:rsid w:val="00252772"/>
    <w:rsid w:val="00253418"/>
    <w:rsid w:val="00255616"/>
    <w:rsid w:val="002561C0"/>
    <w:rsid w:val="002570C4"/>
    <w:rsid w:val="0025799A"/>
    <w:rsid w:val="0026015A"/>
    <w:rsid w:val="002609A7"/>
    <w:rsid w:val="00261683"/>
    <w:rsid w:val="00262205"/>
    <w:rsid w:val="00262ACA"/>
    <w:rsid w:val="002635D8"/>
    <w:rsid w:val="00263A8D"/>
    <w:rsid w:val="002648B9"/>
    <w:rsid w:val="002651C9"/>
    <w:rsid w:val="00265432"/>
    <w:rsid w:val="00265F7D"/>
    <w:rsid w:val="002666D4"/>
    <w:rsid w:val="002669F9"/>
    <w:rsid w:val="0026715C"/>
    <w:rsid w:val="002679AD"/>
    <w:rsid w:val="00267AC6"/>
    <w:rsid w:val="00267BB3"/>
    <w:rsid w:val="00270B73"/>
    <w:rsid w:val="0027168F"/>
    <w:rsid w:val="00271BCD"/>
    <w:rsid w:val="00272242"/>
    <w:rsid w:val="002723EE"/>
    <w:rsid w:val="002724D0"/>
    <w:rsid w:val="00272E75"/>
    <w:rsid w:val="00273358"/>
    <w:rsid w:val="00273B12"/>
    <w:rsid w:val="00273C71"/>
    <w:rsid w:val="002743B2"/>
    <w:rsid w:val="0027444F"/>
    <w:rsid w:val="00274DD4"/>
    <w:rsid w:val="002750E9"/>
    <w:rsid w:val="0027613D"/>
    <w:rsid w:val="002768C7"/>
    <w:rsid w:val="00276F0B"/>
    <w:rsid w:val="00277856"/>
    <w:rsid w:val="0028273A"/>
    <w:rsid w:val="00283D21"/>
    <w:rsid w:val="00284898"/>
    <w:rsid w:val="00284F17"/>
    <w:rsid w:val="00285082"/>
    <w:rsid w:val="00286758"/>
    <w:rsid w:val="00290B2D"/>
    <w:rsid w:val="00292571"/>
    <w:rsid w:val="00293DEE"/>
    <w:rsid w:val="0029415C"/>
    <w:rsid w:val="002942A0"/>
    <w:rsid w:val="00294350"/>
    <w:rsid w:val="00294A6B"/>
    <w:rsid w:val="0029501F"/>
    <w:rsid w:val="00295864"/>
    <w:rsid w:val="00295AA5"/>
    <w:rsid w:val="00295BF0"/>
    <w:rsid w:val="002975D6"/>
    <w:rsid w:val="002A0870"/>
    <w:rsid w:val="002A10C2"/>
    <w:rsid w:val="002A3D80"/>
    <w:rsid w:val="002A3ED2"/>
    <w:rsid w:val="002A4967"/>
    <w:rsid w:val="002A5736"/>
    <w:rsid w:val="002A5DE3"/>
    <w:rsid w:val="002A6673"/>
    <w:rsid w:val="002A7262"/>
    <w:rsid w:val="002B09BE"/>
    <w:rsid w:val="002B13CB"/>
    <w:rsid w:val="002B2247"/>
    <w:rsid w:val="002B2409"/>
    <w:rsid w:val="002B26A6"/>
    <w:rsid w:val="002B37F7"/>
    <w:rsid w:val="002B3B7A"/>
    <w:rsid w:val="002B4489"/>
    <w:rsid w:val="002B48E9"/>
    <w:rsid w:val="002B4C8C"/>
    <w:rsid w:val="002B5BBC"/>
    <w:rsid w:val="002B5C9F"/>
    <w:rsid w:val="002B6684"/>
    <w:rsid w:val="002B70D9"/>
    <w:rsid w:val="002B7AC8"/>
    <w:rsid w:val="002C073B"/>
    <w:rsid w:val="002C0AB1"/>
    <w:rsid w:val="002C0DB3"/>
    <w:rsid w:val="002C0F7E"/>
    <w:rsid w:val="002C13B1"/>
    <w:rsid w:val="002C1500"/>
    <w:rsid w:val="002C18E7"/>
    <w:rsid w:val="002C1D18"/>
    <w:rsid w:val="002C1F3E"/>
    <w:rsid w:val="002C26A9"/>
    <w:rsid w:val="002C319E"/>
    <w:rsid w:val="002C3297"/>
    <w:rsid w:val="002C3AB9"/>
    <w:rsid w:val="002C5E12"/>
    <w:rsid w:val="002C5F00"/>
    <w:rsid w:val="002C7BE3"/>
    <w:rsid w:val="002D0625"/>
    <w:rsid w:val="002D1207"/>
    <w:rsid w:val="002D143B"/>
    <w:rsid w:val="002D1B73"/>
    <w:rsid w:val="002D1E13"/>
    <w:rsid w:val="002D2B94"/>
    <w:rsid w:val="002D3C5A"/>
    <w:rsid w:val="002D3CA5"/>
    <w:rsid w:val="002D4971"/>
    <w:rsid w:val="002D59C8"/>
    <w:rsid w:val="002D654F"/>
    <w:rsid w:val="002D71B7"/>
    <w:rsid w:val="002D782F"/>
    <w:rsid w:val="002E07A2"/>
    <w:rsid w:val="002E0987"/>
    <w:rsid w:val="002E15C4"/>
    <w:rsid w:val="002E3622"/>
    <w:rsid w:val="002E5F3A"/>
    <w:rsid w:val="002E6735"/>
    <w:rsid w:val="002E6AF4"/>
    <w:rsid w:val="002F11FA"/>
    <w:rsid w:val="002F1702"/>
    <w:rsid w:val="002F2382"/>
    <w:rsid w:val="002F294B"/>
    <w:rsid w:val="002F33A0"/>
    <w:rsid w:val="002F345A"/>
    <w:rsid w:val="002F3AE7"/>
    <w:rsid w:val="002F490A"/>
    <w:rsid w:val="002F5CE6"/>
    <w:rsid w:val="002F6EDE"/>
    <w:rsid w:val="002F74C1"/>
    <w:rsid w:val="002F7C33"/>
    <w:rsid w:val="00301EF2"/>
    <w:rsid w:val="00303A9C"/>
    <w:rsid w:val="003043D6"/>
    <w:rsid w:val="003047B8"/>
    <w:rsid w:val="00304A6C"/>
    <w:rsid w:val="00304E24"/>
    <w:rsid w:val="003052D9"/>
    <w:rsid w:val="0030549F"/>
    <w:rsid w:val="003057B5"/>
    <w:rsid w:val="003060AD"/>
    <w:rsid w:val="003066DE"/>
    <w:rsid w:val="00307C5B"/>
    <w:rsid w:val="003117BC"/>
    <w:rsid w:val="0031239E"/>
    <w:rsid w:val="00313029"/>
    <w:rsid w:val="003139A6"/>
    <w:rsid w:val="0031434C"/>
    <w:rsid w:val="003146E1"/>
    <w:rsid w:val="003155B4"/>
    <w:rsid w:val="00315F10"/>
    <w:rsid w:val="00315F36"/>
    <w:rsid w:val="0031619A"/>
    <w:rsid w:val="003163C0"/>
    <w:rsid w:val="00316512"/>
    <w:rsid w:val="0031664B"/>
    <w:rsid w:val="00316A09"/>
    <w:rsid w:val="00317378"/>
    <w:rsid w:val="0031760D"/>
    <w:rsid w:val="00317AE1"/>
    <w:rsid w:val="00317C9F"/>
    <w:rsid w:val="00320659"/>
    <w:rsid w:val="00320C43"/>
    <w:rsid w:val="0032147B"/>
    <w:rsid w:val="003219B0"/>
    <w:rsid w:val="00321DC6"/>
    <w:rsid w:val="00321ED1"/>
    <w:rsid w:val="00321FD1"/>
    <w:rsid w:val="003225C4"/>
    <w:rsid w:val="00322709"/>
    <w:rsid w:val="003233B9"/>
    <w:rsid w:val="00323B00"/>
    <w:rsid w:val="00324009"/>
    <w:rsid w:val="00324916"/>
    <w:rsid w:val="00324C20"/>
    <w:rsid w:val="00325E93"/>
    <w:rsid w:val="00325F5C"/>
    <w:rsid w:val="00326265"/>
    <w:rsid w:val="003263EA"/>
    <w:rsid w:val="0032703E"/>
    <w:rsid w:val="00327322"/>
    <w:rsid w:val="00327D18"/>
    <w:rsid w:val="00327D33"/>
    <w:rsid w:val="003306F9"/>
    <w:rsid w:val="00330995"/>
    <w:rsid w:val="00330DFE"/>
    <w:rsid w:val="00331A8E"/>
    <w:rsid w:val="00331E20"/>
    <w:rsid w:val="0033239F"/>
    <w:rsid w:val="00332712"/>
    <w:rsid w:val="00332734"/>
    <w:rsid w:val="00332F84"/>
    <w:rsid w:val="0033498F"/>
    <w:rsid w:val="003350DC"/>
    <w:rsid w:val="003353D8"/>
    <w:rsid w:val="00335EB6"/>
    <w:rsid w:val="00336AC4"/>
    <w:rsid w:val="00337061"/>
    <w:rsid w:val="00337607"/>
    <w:rsid w:val="00337FD5"/>
    <w:rsid w:val="00340222"/>
    <w:rsid w:val="0034036F"/>
    <w:rsid w:val="00340E43"/>
    <w:rsid w:val="0034157E"/>
    <w:rsid w:val="00341692"/>
    <w:rsid w:val="003417C6"/>
    <w:rsid w:val="00341D1E"/>
    <w:rsid w:val="0034255C"/>
    <w:rsid w:val="00342587"/>
    <w:rsid w:val="00343A92"/>
    <w:rsid w:val="0034456D"/>
    <w:rsid w:val="0034533D"/>
    <w:rsid w:val="00346639"/>
    <w:rsid w:val="003500C4"/>
    <w:rsid w:val="003510AE"/>
    <w:rsid w:val="00352877"/>
    <w:rsid w:val="00353890"/>
    <w:rsid w:val="00353D94"/>
    <w:rsid w:val="00353ECF"/>
    <w:rsid w:val="00354D0E"/>
    <w:rsid w:val="003550A0"/>
    <w:rsid w:val="0035526E"/>
    <w:rsid w:val="0035542B"/>
    <w:rsid w:val="00356B30"/>
    <w:rsid w:val="00360320"/>
    <w:rsid w:val="0036040F"/>
    <w:rsid w:val="003604A0"/>
    <w:rsid w:val="0036050C"/>
    <w:rsid w:val="00360652"/>
    <w:rsid w:val="00360D62"/>
    <w:rsid w:val="003615A3"/>
    <w:rsid w:val="00361C7F"/>
    <w:rsid w:val="0036299B"/>
    <w:rsid w:val="00362E51"/>
    <w:rsid w:val="0036399E"/>
    <w:rsid w:val="00363C48"/>
    <w:rsid w:val="00363E47"/>
    <w:rsid w:val="00364179"/>
    <w:rsid w:val="00364AA9"/>
    <w:rsid w:val="00365950"/>
    <w:rsid w:val="00365A4C"/>
    <w:rsid w:val="0036647C"/>
    <w:rsid w:val="00367AAA"/>
    <w:rsid w:val="00370C60"/>
    <w:rsid w:val="0037188A"/>
    <w:rsid w:val="00371E35"/>
    <w:rsid w:val="0037286F"/>
    <w:rsid w:val="00373110"/>
    <w:rsid w:val="00373D05"/>
    <w:rsid w:val="00373D11"/>
    <w:rsid w:val="0037412D"/>
    <w:rsid w:val="003745FF"/>
    <w:rsid w:val="00375738"/>
    <w:rsid w:val="00375BE8"/>
    <w:rsid w:val="00375D3E"/>
    <w:rsid w:val="00375DA5"/>
    <w:rsid w:val="00375F60"/>
    <w:rsid w:val="00376561"/>
    <w:rsid w:val="003778D2"/>
    <w:rsid w:val="00377AF2"/>
    <w:rsid w:val="00377D26"/>
    <w:rsid w:val="00377D7D"/>
    <w:rsid w:val="00380E1F"/>
    <w:rsid w:val="00381AC1"/>
    <w:rsid w:val="00382903"/>
    <w:rsid w:val="00383499"/>
    <w:rsid w:val="003851AD"/>
    <w:rsid w:val="00385714"/>
    <w:rsid w:val="0038617C"/>
    <w:rsid w:val="0038670D"/>
    <w:rsid w:val="00386B0A"/>
    <w:rsid w:val="00386E11"/>
    <w:rsid w:val="00386FD0"/>
    <w:rsid w:val="00387014"/>
    <w:rsid w:val="00390BC8"/>
    <w:rsid w:val="003920D7"/>
    <w:rsid w:val="00392E06"/>
    <w:rsid w:val="003934B7"/>
    <w:rsid w:val="00393812"/>
    <w:rsid w:val="003940D4"/>
    <w:rsid w:val="00394524"/>
    <w:rsid w:val="00395454"/>
    <w:rsid w:val="00395C13"/>
    <w:rsid w:val="00396400"/>
    <w:rsid w:val="003979EB"/>
    <w:rsid w:val="00397E51"/>
    <w:rsid w:val="003A0B0A"/>
    <w:rsid w:val="003A0B9F"/>
    <w:rsid w:val="003A0EFD"/>
    <w:rsid w:val="003A133D"/>
    <w:rsid w:val="003A2015"/>
    <w:rsid w:val="003A2718"/>
    <w:rsid w:val="003A2B5D"/>
    <w:rsid w:val="003A323C"/>
    <w:rsid w:val="003A380D"/>
    <w:rsid w:val="003A3CB6"/>
    <w:rsid w:val="003A3E6C"/>
    <w:rsid w:val="003A43AB"/>
    <w:rsid w:val="003A4607"/>
    <w:rsid w:val="003A579E"/>
    <w:rsid w:val="003A6728"/>
    <w:rsid w:val="003A7AB7"/>
    <w:rsid w:val="003B2537"/>
    <w:rsid w:val="003B34EF"/>
    <w:rsid w:val="003B477F"/>
    <w:rsid w:val="003B4F2F"/>
    <w:rsid w:val="003B5706"/>
    <w:rsid w:val="003B69C7"/>
    <w:rsid w:val="003B7CA0"/>
    <w:rsid w:val="003C1A04"/>
    <w:rsid w:val="003C215A"/>
    <w:rsid w:val="003C2751"/>
    <w:rsid w:val="003C2A7C"/>
    <w:rsid w:val="003C3F64"/>
    <w:rsid w:val="003C40A2"/>
    <w:rsid w:val="003C4158"/>
    <w:rsid w:val="003C4DD3"/>
    <w:rsid w:val="003C66EF"/>
    <w:rsid w:val="003C6CC8"/>
    <w:rsid w:val="003D0B7D"/>
    <w:rsid w:val="003D1792"/>
    <w:rsid w:val="003D5013"/>
    <w:rsid w:val="003D5A51"/>
    <w:rsid w:val="003D5EB5"/>
    <w:rsid w:val="003D649A"/>
    <w:rsid w:val="003D6731"/>
    <w:rsid w:val="003D6990"/>
    <w:rsid w:val="003E138A"/>
    <w:rsid w:val="003E29DF"/>
    <w:rsid w:val="003E2A60"/>
    <w:rsid w:val="003E3455"/>
    <w:rsid w:val="003E4535"/>
    <w:rsid w:val="003E4B0B"/>
    <w:rsid w:val="003E4FC1"/>
    <w:rsid w:val="003E53C9"/>
    <w:rsid w:val="003E6800"/>
    <w:rsid w:val="003E6F00"/>
    <w:rsid w:val="003F03CD"/>
    <w:rsid w:val="003F0BB2"/>
    <w:rsid w:val="003F0D66"/>
    <w:rsid w:val="003F297D"/>
    <w:rsid w:val="003F2EB3"/>
    <w:rsid w:val="003F3243"/>
    <w:rsid w:val="003F36C4"/>
    <w:rsid w:val="003F4D78"/>
    <w:rsid w:val="003F5DD5"/>
    <w:rsid w:val="003F6238"/>
    <w:rsid w:val="003F6B76"/>
    <w:rsid w:val="003F7012"/>
    <w:rsid w:val="00400104"/>
    <w:rsid w:val="00400D6C"/>
    <w:rsid w:val="0040101E"/>
    <w:rsid w:val="00401996"/>
    <w:rsid w:val="00401BB5"/>
    <w:rsid w:val="00401F9D"/>
    <w:rsid w:val="00402076"/>
    <w:rsid w:val="0040224A"/>
    <w:rsid w:val="00402552"/>
    <w:rsid w:val="004029C2"/>
    <w:rsid w:val="00403072"/>
    <w:rsid w:val="004035A6"/>
    <w:rsid w:val="00403679"/>
    <w:rsid w:val="004036E8"/>
    <w:rsid w:val="0040392C"/>
    <w:rsid w:val="0040392F"/>
    <w:rsid w:val="0040444A"/>
    <w:rsid w:val="00404600"/>
    <w:rsid w:val="004046C8"/>
    <w:rsid w:val="00404992"/>
    <w:rsid w:val="00404CA9"/>
    <w:rsid w:val="00405155"/>
    <w:rsid w:val="00405516"/>
    <w:rsid w:val="00406D6D"/>
    <w:rsid w:val="004070C4"/>
    <w:rsid w:val="004070D2"/>
    <w:rsid w:val="004074F4"/>
    <w:rsid w:val="00407A01"/>
    <w:rsid w:val="00407A0B"/>
    <w:rsid w:val="00407B25"/>
    <w:rsid w:val="00407DD2"/>
    <w:rsid w:val="00410CAF"/>
    <w:rsid w:val="00410E43"/>
    <w:rsid w:val="00410EC9"/>
    <w:rsid w:val="00411541"/>
    <w:rsid w:val="0041194D"/>
    <w:rsid w:val="00412267"/>
    <w:rsid w:val="00412E66"/>
    <w:rsid w:val="00413244"/>
    <w:rsid w:val="004135AE"/>
    <w:rsid w:val="00413D0C"/>
    <w:rsid w:val="00413D95"/>
    <w:rsid w:val="00414123"/>
    <w:rsid w:val="004150B9"/>
    <w:rsid w:val="00415565"/>
    <w:rsid w:val="00415ACC"/>
    <w:rsid w:val="004161D9"/>
    <w:rsid w:val="0041620A"/>
    <w:rsid w:val="00416922"/>
    <w:rsid w:val="0041696C"/>
    <w:rsid w:val="00417B97"/>
    <w:rsid w:val="004210AD"/>
    <w:rsid w:val="00421C95"/>
    <w:rsid w:val="00422C0C"/>
    <w:rsid w:val="00422E3C"/>
    <w:rsid w:val="00422F86"/>
    <w:rsid w:val="00423226"/>
    <w:rsid w:val="0042327A"/>
    <w:rsid w:val="00423C32"/>
    <w:rsid w:val="00423E51"/>
    <w:rsid w:val="004268A9"/>
    <w:rsid w:val="004302DE"/>
    <w:rsid w:val="004303E4"/>
    <w:rsid w:val="0043066A"/>
    <w:rsid w:val="00430923"/>
    <w:rsid w:val="00430DF0"/>
    <w:rsid w:val="0043171F"/>
    <w:rsid w:val="004319B4"/>
    <w:rsid w:val="00431AAE"/>
    <w:rsid w:val="00432F71"/>
    <w:rsid w:val="004331C9"/>
    <w:rsid w:val="00433538"/>
    <w:rsid w:val="004350DF"/>
    <w:rsid w:val="00435F8F"/>
    <w:rsid w:val="00437061"/>
    <w:rsid w:val="00437C68"/>
    <w:rsid w:val="00437F22"/>
    <w:rsid w:val="004402E6"/>
    <w:rsid w:val="004409E3"/>
    <w:rsid w:val="00441311"/>
    <w:rsid w:val="0044149C"/>
    <w:rsid w:val="00441950"/>
    <w:rsid w:val="00442428"/>
    <w:rsid w:val="0044250F"/>
    <w:rsid w:val="00442E54"/>
    <w:rsid w:val="004433C2"/>
    <w:rsid w:val="004437AD"/>
    <w:rsid w:val="00443CE3"/>
    <w:rsid w:val="0044509A"/>
    <w:rsid w:val="004458A4"/>
    <w:rsid w:val="00445D97"/>
    <w:rsid w:val="00446AD0"/>
    <w:rsid w:val="004478ED"/>
    <w:rsid w:val="004479AB"/>
    <w:rsid w:val="00450143"/>
    <w:rsid w:val="00450845"/>
    <w:rsid w:val="00450FA4"/>
    <w:rsid w:val="00451080"/>
    <w:rsid w:val="004514E7"/>
    <w:rsid w:val="00452652"/>
    <w:rsid w:val="004536CA"/>
    <w:rsid w:val="00453EBB"/>
    <w:rsid w:val="00456703"/>
    <w:rsid w:val="00456A07"/>
    <w:rsid w:val="00456B87"/>
    <w:rsid w:val="00456E09"/>
    <w:rsid w:val="00457127"/>
    <w:rsid w:val="00457478"/>
    <w:rsid w:val="00460871"/>
    <w:rsid w:val="00460AD2"/>
    <w:rsid w:val="00460D03"/>
    <w:rsid w:val="004619D0"/>
    <w:rsid w:val="00461D5E"/>
    <w:rsid w:val="004631F9"/>
    <w:rsid w:val="00463FFD"/>
    <w:rsid w:val="004647FC"/>
    <w:rsid w:val="00464C55"/>
    <w:rsid w:val="00467861"/>
    <w:rsid w:val="004679FE"/>
    <w:rsid w:val="0047207C"/>
    <w:rsid w:val="004722F8"/>
    <w:rsid w:val="00472617"/>
    <w:rsid w:val="00472AEB"/>
    <w:rsid w:val="004730BB"/>
    <w:rsid w:val="00473D63"/>
    <w:rsid w:val="00473E87"/>
    <w:rsid w:val="00473EB8"/>
    <w:rsid w:val="004741D5"/>
    <w:rsid w:val="0047420E"/>
    <w:rsid w:val="00474E46"/>
    <w:rsid w:val="00474EF5"/>
    <w:rsid w:val="004767AA"/>
    <w:rsid w:val="0047710E"/>
    <w:rsid w:val="0047783C"/>
    <w:rsid w:val="00480813"/>
    <w:rsid w:val="0048098E"/>
    <w:rsid w:val="00480C9C"/>
    <w:rsid w:val="0048305D"/>
    <w:rsid w:val="00483843"/>
    <w:rsid w:val="00484057"/>
    <w:rsid w:val="00484678"/>
    <w:rsid w:val="0048473C"/>
    <w:rsid w:val="00485277"/>
    <w:rsid w:val="004859D2"/>
    <w:rsid w:val="00487091"/>
    <w:rsid w:val="00491101"/>
    <w:rsid w:val="00491C01"/>
    <w:rsid w:val="00491C84"/>
    <w:rsid w:val="00491CE3"/>
    <w:rsid w:val="00492279"/>
    <w:rsid w:val="004923BD"/>
    <w:rsid w:val="0049286A"/>
    <w:rsid w:val="004928C2"/>
    <w:rsid w:val="00492F9E"/>
    <w:rsid w:val="004939A3"/>
    <w:rsid w:val="00494CA9"/>
    <w:rsid w:val="00494F0C"/>
    <w:rsid w:val="004952DE"/>
    <w:rsid w:val="00495D2F"/>
    <w:rsid w:val="00496413"/>
    <w:rsid w:val="0049723D"/>
    <w:rsid w:val="004A0442"/>
    <w:rsid w:val="004A04D4"/>
    <w:rsid w:val="004A05FB"/>
    <w:rsid w:val="004A1D30"/>
    <w:rsid w:val="004A2136"/>
    <w:rsid w:val="004A2F6A"/>
    <w:rsid w:val="004A33BC"/>
    <w:rsid w:val="004A4B10"/>
    <w:rsid w:val="004A50D9"/>
    <w:rsid w:val="004A51E8"/>
    <w:rsid w:val="004A5233"/>
    <w:rsid w:val="004A5470"/>
    <w:rsid w:val="004A57CC"/>
    <w:rsid w:val="004A629C"/>
    <w:rsid w:val="004A6E37"/>
    <w:rsid w:val="004A7C61"/>
    <w:rsid w:val="004A7E10"/>
    <w:rsid w:val="004B02AD"/>
    <w:rsid w:val="004B1301"/>
    <w:rsid w:val="004B20CB"/>
    <w:rsid w:val="004B2150"/>
    <w:rsid w:val="004B3716"/>
    <w:rsid w:val="004B4DDD"/>
    <w:rsid w:val="004B5232"/>
    <w:rsid w:val="004B5BF0"/>
    <w:rsid w:val="004B5C67"/>
    <w:rsid w:val="004B5F56"/>
    <w:rsid w:val="004B638E"/>
    <w:rsid w:val="004B74E4"/>
    <w:rsid w:val="004B776A"/>
    <w:rsid w:val="004C006C"/>
    <w:rsid w:val="004C1E39"/>
    <w:rsid w:val="004C241A"/>
    <w:rsid w:val="004C266C"/>
    <w:rsid w:val="004C280E"/>
    <w:rsid w:val="004C31CA"/>
    <w:rsid w:val="004C3ACC"/>
    <w:rsid w:val="004C3B5A"/>
    <w:rsid w:val="004C4F20"/>
    <w:rsid w:val="004C53E7"/>
    <w:rsid w:val="004C55F6"/>
    <w:rsid w:val="004C69A5"/>
    <w:rsid w:val="004C71D8"/>
    <w:rsid w:val="004C7595"/>
    <w:rsid w:val="004C7976"/>
    <w:rsid w:val="004C7F68"/>
    <w:rsid w:val="004D0401"/>
    <w:rsid w:val="004D098A"/>
    <w:rsid w:val="004D1562"/>
    <w:rsid w:val="004D23A6"/>
    <w:rsid w:val="004D37F6"/>
    <w:rsid w:val="004D3CD0"/>
    <w:rsid w:val="004D3D04"/>
    <w:rsid w:val="004D4006"/>
    <w:rsid w:val="004D5122"/>
    <w:rsid w:val="004D568E"/>
    <w:rsid w:val="004D5E36"/>
    <w:rsid w:val="004D653F"/>
    <w:rsid w:val="004D6CF0"/>
    <w:rsid w:val="004D7551"/>
    <w:rsid w:val="004D76E8"/>
    <w:rsid w:val="004D7E47"/>
    <w:rsid w:val="004E029C"/>
    <w:rsid w:val="004E0AED"/>
    <w:rsid w:val="004E1C26"/>
    <w:rsid w:val="004E22C4"/>
    <w:rsid w:val="004E2563"/>
    <w:rsid w:val="004E2900"/>
    <w:rsid w:val="004E2B36"/>
    <w:rsid w:val="004E30F3"/>
    <w:rsid w:val="004E30F7"/>
    <w:rsid w:val="004E5183"/>
    <w:rsid w:val="004E5204"/>
    <w:rsid w:val="004E5E88"/>
    <w:rsid w:val="004E658D"/>
    <w:rsid w:val="004E7A8A"/>
    <w:rsid w:val="004E7FF2"/>
    <w:rsid w:val="004F01EC"/>
    <w:rsid w:val="004F0A5C"/>
    <w:rsid w:val="004F0BB7"/>
    <w:rsid w:val="004F1824"/>
    <w:rsid w:val="004F21E8"/>
    <w:rsid w:val="004F3440"/>
    <w:rsid w:val="004F4722"/>
    <w:rsid w:val="004F5433"/>
    <w:rsid w:val="004F63CD"/>
    <w:rsid w:val="004F6AC5"/>
    <w:rsid w:val="004F6DF8"/>
    <w:rsid w:val="004F7316"/>
    <w:rsid w:val="004F749C"/>
    <w:rsid w:val="004F7AB2"/>
    <w:rsid w:val="005014D0"/>
    <w:rsid w:val="0050191D"/>
    <w:rsid w:val="005021C4"/>
    <w:rsid w:val="00502374"/>
    <w:rsid w:val="0050244F"/>
    <w:rsid w:val="00504020"/>
    <w:rsid w:val="005044E6"/>
    <w:rsid w:val="00504D3B"/>
    <w:rsid w:val="0050504A"/>
    <w:rsid w:val="00505932"/>
    <w:rsid w:val="00506079"/>
    <w:rsid w:val="00506658"/>
    <w:rsid w:val="005066DB"/>
    <w:rsid w:val="00506896"/>
    <w:rsid w:val="00507EDD"/>
    <w:rsid w:val="00510A7B"/>
    <w:rsid w:val="00511300"/>
    <w:rsid w:val="00511307"/>
    <w:rsid w:val="00511BB0"/>
    <w:rsid w:val="00513607"/>
    <w:rsid w:val="00513A07"/>
    <w:rsid w:val="00513B78"/>
    <w:rsid w:val="00513FD9"/>
    <w:rsid w:val="00514183"/>
    <w:rsid w:val="005145E6"/>
    <w:rsid w:val="00514741"/>
    <w:rsid w:val="00514800"/>
    <w:rsid w:val="00515CA8"/>
    <w:rsid w:val="00516306"/>
    <w:rsid w:val="00516661"/>
    <w:rsid w:val="005166AD"/>
    <w:rsid w:val="005168D7"/>
    <w:rsid w:val="00517F6D"/>
    <w:rsid w:val="00521740"/>
    <w:rsid w:val="005218F0"/>
    <w:rsid w:val="00523208"/>
    <w:rsid w:val="00524A2A"/>
    <w:rsid w:val="00524E9B"/>
    <w:rsid w:val="00526189"/>
    <w:rsid w:val="00526296"/>
    <w:rsid w:val="005263B1"/>
    <w:rsid w:val="00526A79"/>
    <w:rsid w:val="005277E6"/>
    <w:rsid w:val="00527FC2"/>
    <w:rsid w:val="00530293"/>
    <w:rsid w:val="00530A8C"/>
    <w:rsid w:val="00531223"/>
    <w:rsid w:val="005312D7"/>
    <w:rsid w:val="00531491"/>
    <w:rsid w:val="005314D6"/>
    <w:rsid w:val="00531CA9"/>
    <w:rsid w:val="00531F2F"/>
    <w:rsid w:val="00532446"/>
    <w:rsid w:val="005333EE"/>
    <w:rsid w:val="00533607"/>
    <w:rsid w:val="00541D99"/>
    <w:rsid w:val="00542436"/>
    <w:rsid w:val="00542A62"/>
    <w:rsid w:val="00542AF4"/>
    <w:rsid w:val="00542D95"/>
    <w:rsid w:val="0054357D"/>
    <w:rsid w:val="005440C6"/>
    <w:rsid w:val="005449DD"/>
    <w:rsid w:val="00545487"/>
    <w:rsid w:val="0054640E"/>
    <w:rsid w:val="00546C4C"/>
    <w:rsid w:val="00547A47"/>
    <w:rsid w:val="005507FB"/>
    <w:rsid w:val="00550F7C"/>
    <w:rsid w:val="0055168B"/>
    <w:rsid w:val="00551AFD"/>
    <w:rsid w:val="00551EB0"/>
    <w:rsid w:val="00551FF9"/>
    <w:rsid w:val="00552760"/>
    <w:rsid w:val="00552D6B"/>
    <w:rsid w:val="0055306D"/>
    <w:rsid w:val="005537CE"/>
    <w:rsid w:val="0055413D"/>
    <w:rsid w:val="005549D7"/>
    <w:rsid w:val="0055550F"/>
    <w:rsid w:val="005559BF"/>
    <w:rsid w:val="00556555"/>
    <w:rsid w:val="005573DA"/>
    <w:rsid w:val="00557740"/>
    <w:rsid w:val="00557F51"/>
    <w:rsid w:val="0056004F"/>
    <w:rsid w:val="0056025B"/>
    <w:rsid w:val="00560849"/>
    <w:rsid w:val="00560A69"/>
    <w:rsid w:val="00561509"/>
    <w:rsid w:val="00561F83"/>
    <w:rsid w:val="005622C8"/>
    <w:rsid w:val="005623D0"/>
    <w:rsid w:val="00562AB7"/>
    <w:rsid w:val="00562B93"/>
    <w:rsid w:val="00564B60"/>
    <w:rsid w:val="00564FC0"/>
    <w:rsid w:val="00565773"/>
    <w:rsid w:val="005663C0"/>
    <w:rsid w:val="00567351"/>
    <w:rsid w:val="005673E3"/>
    <w:rsid w:val="00567CBF"/>
    <w:rsid w:val="00567E6C"/>
    <w:rsid w:val="00571B1A"/>
    <w:rsid w:val="005739C9"/>
    <w:rsid w:val="005740CB"/>
    <w:rsid w:val="005744D7"/>
    <w:rsid w:val="00575199"/>
    <w:rsid w:val="00575498"/>
    <w:rsid w:val="005777E6"/>
    <w:rsid w:val="00580693"/>
    <w:rsid w:val="00580B6D"/>
    <w:rsid w:val="00581031"/>
    <w:rsid w:val="00582F39"/>
    <w:rsid w:val="005833A2"/>
    <w:rsid w:val="005837F2"/>
    <w:rsid w:val="005839DE"/>
    <w:rsid w:val="0058476D"/>
    <w:rsid w:val="00584CE7"/>
    <w:rsid w:val="00586E49"/>
    <w:rsid w:val="005907B9"/>
    <w:rsid w:val="00590A71"/>
    <w:rsid w:val="00590FBB"/>
    <w:rsid w:val="00592251"/>
    <w:rsid w:val="0059359E"/>
    <w:rsid w:val="0059494A"/>
    <w:rsid w:val="005953E3"/>
    <w:rsid w:val="005954E3"/>
    <w:rsid w:val="00595B97"/>
    <w:rsid w:val="00595DAC"/>
    <w:rsid w:val="00595FCE"/>
    <w:rsid w:val="00596C65"/>
    <w:rsid w:val="00597CE4"/>
    <w:rsid w:val="005A0220"/>
    <w:rsid w:val="005A0456"/>
    <w:rsid w:val="005A0945"/>
    <w:rsid w:val="005A10DC"/>
    <w:rsid w:val="005A13D0"/>
    <w:rsid w:val="005A2209"/>
    <w:rsid w:val="005A4EEB"/>
    <w:rsid w:val="005A61AD"/>
    <w:rsid w:val="005A751A"/>
    <w:rsid w:val="005A7AFE"/>
    <w:rsid w:val="005B000C"/>
    <w:rsid w:val="005B0DB3"/>
    <w:rsid w:val="005B1909"/>
    <w:rsid w:val="005B2647"/>
    <w:rsid w:val="005B2B0F"/>
    <w:rsid w:val="005B2BB5"/>
    <w:rsid w:val="005B537D"/>
    <w:rsid w:val="005B5DC2"/>
    <w:rsid w:val="005B7704"/>
    <w:rsid w:val="005B77A2"/>
    <w:rsid w:val="005B7CE7"/>
    <w:rsid w:val="005C0E47"/>
    <w:rsid w:val="005C13F3"/>
    <w:rsid w:val="005C1999"/>
    <w:rsid w:val="005C1EC5"/>
    <w:rsid w:val="005C2128"/>
    <w:rsid w:val="005C240F"/>
    <w:rsid w:val="005C2C2A"/>
    <w:rsid w:val="005C2CBD"/>
    <w:rsid w:val="005C2DFF"/>
    <w:rsid w:val="005C3702"/>
    <w:rsid w:val="005C41E9"/>
    <w:rsid w:val="005C45A4"/>
    <w:rsid w:val="005C4BBF"/>
    <w:rsid w:val="005C60F2"/>
    <w:rsid w:val="005C6281"/>
    <w:rsid w:val="005C6A6B"/>
    <w:rsid w:val="005C717E"/>
    <w:rsid w:val="005C7D48"/>
    <w:rsid w:val="005D0618"/>
    <w:rsid w:val="005D1531"/>
    <w:rsid w:val="005D1BB6"/>
    <w:rsid w:val="005D2530"/>
    <w:rsid w:val="005D2BD7"/>
    <w:rsid w:val="005D2D03"/>
    <w:rsid w:val="005D39D4"/>
    <w:rsid w:val="005D3E46"/>
    <w:rsid w:val="005D5A8C"/>
    <w:rsid w:val="005D67EC"/>
    <w:rsid w:val="005D7277"/>
    <w:rsid w:val="005D7346"/>
    <w:rsid w:val="005D7B39"/>
    <w:rsid w:val="005D7ED2"/>
    <w:rsid w:val="005E1BCA"/>
    <w:rsid w:val="005E3221"/>
    <w:rsid w:val="005E3865"/>
    <w:rsid w:val="005E4A40"/>
    <w:rsid w:val="005E52D6"/>
    <w:rsid w:val="005E73A6"/>
    <w:rsid w:val="005E75BC"/>
    <w:rsid w:val="005E75C8"/>
    <w:rsid w:val="005F1263"/>
    <w:rsid w:val="005F1405"/>
    <w:rsid w:val="005F1828"/>
    <w:rsid w:val="005F1EF8"/>
    <w:rsid w:val="005F2046"/>
    <w:rsid w:val="005F2729"/>
    <w:rsid w:val="005F30C9"/>
    <w:rsid w:val="005F327F"/>
    <w:rsid w:val="005F48ED"/>
    <w:rsid w:val="005F5D03"/>
    <w:rsid w:val="005F6818"/>
    <w:rsid w:val="005F6E5E"/>
    <w:rsid w:val="005F7469"/>
    <w:rsid w:val="005F7646"/>
    <w:rsid w:val="005F79CE"/>
    <w:rsid w:val="006007E6"/>
    <w:rsid w:val="00600BE6"/>
    <w:rsid w:val="00601AA0"/>
    <w:rsid w:val="006020D4"/>
    <w:rsid w:val="006026FC"/>
    <w:rsid w:val="00602EE0"/>
    <w:rsid w:val="00603130"/>
    <w:rsid w:val="00604014"/>
    <w:rsid w:val="00604D42"/>
    <w:rsid w:val="00604DCC"/>
    <w:rsid w:val="00605344"/>
    <w:rsid w:val="00605507"/>
    <w:rsid w:val="006056D1"/>
    <w:rsid w:val="006059FE"/>
    <w:rsid w:val="0060652F"/>
    <w:rsid w:val="00606D54"/>
    <w:rsid w:val="00607146"/>
    <w:rsid w:val="00610200"/>
    <w:rsid w:val="00611453"/>
    <w:rsid w:val="0061152A"/>
    <w:rsid w:val="00614506"/>
    <w:rsid w:val="0061458A"/>
    <w:rsid w:val="006148C4"/>
    <w:rsid w:val="00616495"/>
    <w:rsid w:val="006167BF"/>
    <w:rsid w:val="00616922"/>
    <w:rsid w:val="00617199"/>
    <w:rsid w:val="00617335"/>
    <w:rsid w:val="006175AF"/>
    <w:rsid w:val="00620215"/>
    <w:rsid w:val="006205C3"/>
    <w:rsid w:val="00620926"/>
    <w:rsid w:val="00622AC4"/>
    <w:rsid w:val="00622B2B"/>
    <w:rsid w:val="00624132"/>
    <w:rsid w:val="00624829"/>
    <w:rsid w:val="0062590F"/>
    <w:rsid w:val="0062597A"/>
    <w:rsid w:val="00626409"/>
    <w:rsid w:val="00626C75"/>
    <w:rsid w:val="00626F70"/>
    <w:rsid w:val="00630528"/>
    <w:rsid w:val="00630F90"/>
    <w:rsid w:val="00631045"/>
    <w:rsid w:val="0063145D"/>
    <w:rsid w:val="006342D0"/>
    <w:rsid w:val="00634A4E"/>
    <w:rsid w:val="00634F78"/>
    <w:rsid w:val="006351BB"/>
    <w:rsid w:val="00636980"/>
    <w:rsid w:val="00636A02"/>
    <w:rsid w:val="00637A88"/>
    <w:rsid w:val="00640160"/>
    <w:rsid w:val="0064138D"/>
    <w:rsid w:val="00641667"/>
    <w:rsid w:val="00641B5A"/>
    <w:rsid w:val="00641B94"/>
    <w:rsid w:val="00641F23"/>
    <w:rsid w:val="00642428"/>
    <w:rsid w:val="00642612"/>
    <w:rsid w:val="006439C4"/>
    <w:rsid w:val="00643C58"/>
    <w:rsid w:val="006457A0"/>
    <w:rsid w:val="00645865"/>
    <w:rsid w:val="00647C79"/>
    <w:rsid w:val="00650067"/>
    <w:rsid w:val="006500D9"/>
    <w:rsid w:val="00650440"/>
    <w:rsid w:val="0065084D"/>
    <w:rsid w:val="006511C9"/>
    <w:rsid w:val="00652161"/>
    <w:rsid w:val="00652E95"/>
    <w:rsid w:val="00653074"/>
    <w:rsid w:val="0065346D"/>
    <w:rsid w:val="006542B6"/>
    <w:rsid w:val="006556B4"/>
    <w:rsid w:val="0065582C"/>
    <w:rsid w:val="00655836"/>
    <w:rsid w:val="00655841"/>
    <w:rsid w:val="006558E4"/>
    <w:rsid w:val="00655C85"/>
    <w:rsid w:val="00657426"/>
    <w:rsid w:val="00657ABD"/>
    <w:rsid w:val="006606FA"/>
    <w:rsid w:val="00660E67"/>
    <w:rsid w:val="00661AD7"/>
    <w:rsid w:val="00661E03"/>
    <w:rsid w:val="00661E4B"/>
    <w:rsid w:val="00662BEA"/>
    <w:rsid w:val="0066389A"/>
    <w:rsid w:val="0066390E"/>
    <w:rsid w:val="00665306"/>
    <w:rsid w:val="00665F4A"/>
    <w:rsid w:val="00666DEA"/>
    <w:rsid w:val="00670118"/>
    <w:rsid w:val="00670393"/>
    <w:rsid w:val="00670872"/>
    <w:rsid w:val="00670C94"/>
    <w:rsid w:val="006714F2"/>
    <w:rsid w:val="006716B2"/>
    <w:rsid w:val="00671C7D"/>
    <w:rsid w:val="00672673"/>
    <w:rsid w:val="00674A71"/>
    <w:rsid w:val="00676A81"/>
    <w:rsid w:val="00676AED"/>
    <w:rsid w:val="00676CAF"/>
    <w:rsid w:val="00676E82"/>
    <w:rsid w:val="006770B9"/>
    <w:rsid w:val="00677E62"/>
    <w:rsid w:val="0068029C"/>
    <w:rsid w:val="00680F3A"/>
    <w:rsid w:val="00681D0B"/>
    <w:rsid w:val="0068205F"/>
    <w:rsid w:val="00682437"/>
    <w:rsid w:val="006825E5"/>
    <w:rsid w:val="00682706"/>
    <w:rsid w:val="00682BA7"/>
    <w:rsid w:val="006832CC"/>
    <w:rsid w:val="00684122"/>
    <w:rsid w:val="0068464E"/>
    <w:rsid w:val="0068536F"/>
    <w:rsid w:val="00686F81"/>
    <w:rsid w:val="0068775A"/>
    <w:rsid w:val="006877C5"/>
    <w:rsid w:val="006907D6"/>
    <w:rsid w:val="0069179E"/>
    <w:rsid w:val="00692567"/>
    <w:rsid w:val="00693365"/>
    <w:rsid w:val="0069349C"/>
    <w:rsid w:val="00694D52"/>
    <w:rsid w:val="00696067"/>
    <w:rsid w:val="006971A9"/>
    <w:rsid w:val="0069763F"/>
    <w:rsid w:val="00697EFD"/>
    <w:rsid w:val="006A03FE"/>
    <w:rsid w:val="006A0F9F"/>
    <w:rsid w:val="006A2ED9"/>
    <w:rsid w:val="006A3205"/>
    <w:rsid w:val="006A3952"/>
    <w:rsid w:val="006A3C44"/>
    <w:rsid w:val="006A3D53"/>
    <w:rsid w:val="006A3FDC"/>
    <w:rsid w:val="006A4770"/>
    <w:rsid w:val="006A491D"/>
    <w:rsid w:val="006A4B41"/>
    <w:rsid w:val="006A4BF6"/>
    <w:rsid w:val="006A55A5"/>
    <w:rsid w:val="006A5702"/>
    <w:rsid w:val="006A5C6D"/>
    <w:rsid w:val="006A5EBA"/>
    <w:rsid w:val="006A61D3"/>
    <w:rsid w:val="006A6F8A"/>
    <w:rsid w:val="006A73A5"/>
    <w:rsid w:val="006A7C52"/>
    <w:rsid w:val="006A7DE6"/>
    <w:rsid w:val="006B0717"/>
    <w:rsid w:val="006B213D"/>
    <w:rsid w:val="006B237E"/>
    <w:rsid w:val="006B28DE"/>
    <w:rsid w:val="006B4976"/>
    <w:rsid w:val="006B4A1D"/>
    <w:rsid w:val="006B626A"/>
    <w:rsid w:val="006B7126"/>
    <w:rsid w:val="006B72A5"/>
    <w:rsid w:val="006B73B4"/>
    <w:rsid w:val="006C1551"/>
    <w:rsid w:val="006C2AC3"/>
    <w:rsid w:val="006C2D30"/>
    <w:rsid w:val="006C35AC"/>
    <w:rsid w:val="006C4718"/>
    <w:rsid w:val="006C4ABD"/>
    <w:rsid w:val="006C4E10"/>
    <w:rsid w:val="006C5205"/>
    <w:rsid w:val="006C5F17"/>
    <w:rsid w:val="006C707C"/>
    <w:rsid w:val="006C7EB1"/>
    <w:rsid w:val="006D01AF"/>
    <w:rsid w:val="006D06D1"/>
    <w:rsid w:val="006D0873"/>
    <w:rsid w:val="006D2259"/>
    <w:rsid w:val="006D2393"/>
    <w:rsid w:val="006D3132"/>
    <w:rsid w:val="006D437E"/>
    <w:rsid w:val="006D507F"/>
    <w:rsid w:val="006D5508"/>
    <w:rsid w:val="006D5EBB"/>
    <w:rsid w:val="006D65E7"/>
    <w:rsid w:val="006D66BA"/>
    <w:rsid w:val="006D744F"/>
    <w:rsid w:val="006D76E5"/>
    <w:rsid w:val="006D7829"/>
    <w:rsid w:val="006D7E22"/>
    <w:rsid w:val="006D7F3E"/>
    <w:rsid w:val="006D7FDC"/>
    <w:rsid w:val="006E194D"/>
    <w:rsid w:val="006E264F"/>
    <w:rsid w:val="006E33DB"/>
    <w:rsid w:val="006E3B89"/>
    <w:rsid w:val="006E4495"/>
    <w:rsid w:val="006E49D5"/>
    <w:rsid w:val="006E5ACF"/>
    <w:rsid w:val="006E62A3"/>
    <w:rsid w:val="006E7692"/>
    <w:rsid w:val="006E7752"/>
    <w:rsid w:val="006E7899"/>
    <w:rsid w:val="006F0B55"/>
    <w:rsid w:val="006F0DCB"/>
    <w:rsid w:val="006F1DEF"/>
    <w:rsid w:val="006F29E2"/>
    <w:rsid w:val="006F2B2D"/>
    <w:rsid w:val="006F406B"/>
    <w:rsid w:val="006F485C"/>
    <w:rsid w:val="006F52D0"/>
    <w:rsid w:val="006F5530"/>
    <w:rsid w:val="006F586D"/>
    <w:rsid w:val="006F5D05"/>
    <w:rsid w:val="006F5EF6"/>
    <w:rsid w:val="006F725F"/>
    <w:rsid w:val="006F7CFF"/>
    <w:rsid w:val="00700761"/>
    <w:rsid w:val="00700B59"/>
    <w:rsid w:val="00701FCC"/>
    <w:rsid w:val="00702244"/>
    <w:rsid w:val="007031B2"/>
    <w:rsid w:val="0070337A"/>
    <w:rsid w:val="00703978"/>
    <w:rsid w:val="007045D0"/>
    <w:rsid w:val="00704D9A"/>
    <w:rsid w:val="00705013"/>
    <w:rsid w:val="00705431"/>
    <w:rsid w:val="0070560C"/>
    <w:rsid w:val="00705A10"/>
    <w:rsid w:val="00706A79"/>
    <w:rsid w:val="00707E60"/>
    <w:rsid w:val="00707F9C"/>
    <w:rsid w:val="007101E9"/>
    <w:rsid w:val="00711E0B"/>
    <w:rsid w:val="007122E9"/>
    <w:rsid w:val="007127C6"/>
    <w:rsid w:val="00712E59"/>
    <w:rsid w:val="0071335C"/>
    <w:rsid w:val="007136C0"/>
    <w:rsid w:val="00713BAE"/>
    <w:rsid w:val="00713D64"/>
    <w:rsid w:val="00714759"/>
    <w:rsid w:val="007147ED"/>
    <w:rsid w:val="0071553A"/>
    <w:rsid w:val="007155F9"/>
    <w:rsid w:val="00715D80"/>
    <w:rsid w:val="00715F40"/>
    <w:rsid w:val="00716B86"/>
    <w:rsid w:val="00716C82"/>
    <w:rsid w:val="00716F44"/>
    <w:rsid w:val="00717F92"/>
    <w:rsid w:val="007204BA"/>
    <w:rsid w:val="00720616"/>
    <w:rsid w:val="00720E17"/>
    <w:rsid w:val="00720EF2"/>
    <w:rsid w:val="00722689"/>
    <w:rsid w:val="007226C5"/>
    <w:rsid w:val="00723354"/>
    <w:rsid w:val="00724261"/>
    <w:rsid w:val="00724922"/>
    <w:rsid w:val="00724944"/>
    <w:rsid w:val="00724F40"/>
    <w:rsid w:val="00725BC9"/>
    <w:rsid w:val="00726680"/>
    <w:rsid w:val="00726A1C"/>
    <w:rsid w:val="00726BEC"/>
    <w:rsid w:val="00726C4D"/>
    <w:rsid w:val="007271F4"/>
    <w:rsid w:val="00727755"/>
    <w:rsid w:val="00727C76"/>
    <w:rsid w:val="00727CE0"/>
    <w:rsid w:val="00731647"/>
    <w:rsid w:val="00731E3B"/>
    <w:rsid w:val="00732542"/>
    <w:rsid w:val="007329F8"/>
    <w:rsid w:val="007339E9"/>
    <w:rsid w:val="00735313"/>
    <w:rsid w:val="00735421"/>
    <w:rsid w:val="007354B2"/>
    <w:rsid w:val="00735603"/>
    <w:rsid w:val="007373EB"/>
    <w:rsid w:val="00737A0E"/>
    <w:rsid w:val="007400EE"/>
    <w:rsid w:val="0074030C"/>
    <w:rsid w:val="0074078B"/>
    <w:rsid w:val="00740B06"/>
    <w:rsid w:val="00740D49"/>
    <w:rsid w:val="00741793"/>
    <w:rsid w:val="00741931"/>
    <w:rsid w:val="00742B74"/>
    <w:rsid w:val="00742F49"/>
    <w:rsid w:val="007435B5"/>
    <w:rsid w:val="00743D33"/>
    <w:rsid w:val="00745043"/>
    <w:rsid w:val="007453F1"/>
    <w:rsid w:val="00745CB9"/>
    <w:rsid w:val="00746629"/>
    <w:rsid w:val="007470D7"/>
    <w:rsid w:val="00747525"/>
    <w:rsid w:val="00747CB4"/>
    <w:rsid w:val="007504BB"/>
    <w:rsid w:val="007505FF"/>
    <w:rsid w:val="00750628"/>
    <w:rsid w:val="00750780"/>
    <w:rsid w:val="00750888"/>
    <w:rsid w:val="00751098"/>
    <w:rsid w:val="00751126"/>
    <w:rsid w:val="00751390"/>
    <w:rsid w:val="00751DEB"/>
    <w:rsid w:val="00754164"/>
    <w:rsid w:val="00754A83"/>
    <w:rsid w:val="00755CF7"/>
    <w:rsid w:val="00756D08"/>
    <w:rsid w:val="0075779A"/>
    <w:rsid w:val="00757B67"/>
    <w:rsid w:val="00761373"/>
    <w:rsid w:val="00761CA2"/>
    <w:rsid w:val="0076423C"/>
    <w:rsid w:val="0076487B"/>
    <w:rsid w:val="00766388"/>
    <w:rsid w:val="0076656C"/>
    <w:rsid w:val="00766C5A"/>
    <w:rsid w:val="00767815"/>
    <w:rsid w:val="00767EB3"/>
    <w:rsid w:val="00767EC4"/>
    <w:rsid w:val="00771A51"/>
    <w:rsid w:val="00775127"/>
    <w:rsid w:val="00775A56"/>
    <w:rsid w:val="00775BB7"/>
    <w:rsid w:val="007760FF"/>
    <w:rsid w:val="007762DB"/>
    <w:rsid w:val="0077697B"/>
    <w:rsid w:val="00777756"/>
    <w:rsid w:val="00777B15"/>
    <w:rsid w:val="00777D5E"/>
    <w:rsid w:val="00777DDD"/>
    <w:rsid w:val="0078264A"/>
    <w:rsid w:val="00782D3A"/>
    <w:rsid w:val="00782FA9"/>
    <w:rsid w:val="00783592"/>
    <w:rsid w:val="00783B91"/>
    <w:rsid w:val="00783FD3"/>
    <w:rsid w:val="007848BB"/>
    <w:rsid w:val="0078493A"/>
    <w:rsid w:val="0078601A"/>
    <w:rsid w:val="007868AB"/>
    <w:rsid w:val="007871D4"/>
    <w:rsid w:val="00787D41"/>
    <w:rsid w:val="00787DF2"/>
    <w:rsid w:val="00787E8A"/>
    <w:rsid w:val="00787E93"/>
    <w:rsid w:val="00790779"/>
    <w:rsid w:val="0079078E"/>
    <w:rsid w:val="0079081B"/>
    <w:rsid w:val="00790902"/>
    <w:rsid w:val="00791835"/>
    <w:rsid w:val="007920AB"/>
    <w:rsid w:val="0079298B"/>
    <w:rsid w:val="00792B63"/>
    <w:rsid w:val="00792E5B"/>
    <w:rsid w:val="00792EC5"/>
    <w:rsid w:val="00793950"/>
    <w:rsid w:val="007939AA"/>
    <w:rsid w:val="00793CA3"/>
    <w:rsid w:val="00793DEB"/>
    <w:rsid w:val="0079428A"/>
    <w:rsid w:val="007943FE"/>
    <w:rsid w:val="007955E3"/>
    <w:rsid w:val="00795618"/>
    <w:rsid w:val="00795D7F"/>
    <w:rsid w:val="00795ED6"/>
    <w:rsid w:val="00795F72"/>
    <w:rsid w:val="00796950"/>
    <w:rsid w:val="007979F4"/>
    <w:rsid w:val="007A0348"/>
    <w:rsid w:val="007A0E1F"/>
    <w:rsid w:val="007A12B5"/>
    <w:rsid w:val="007A17FB"/>
    <w:rsid w:val="007A2F2D"/>
    <w:rsid w:val="007A3727"/>
    <w:rsid w:val="007A3900"/>
    <w:rsid w:val="007A3CC4"/>
    <w:rsid w:val="007A4335"/>
    <w:rsid w:val="007A5F41"/>
    <w:rsid w:val="007A6414"/>
    <w:rsid w:val="007A67C8"/>
    <w:rsid w:val="007A794E"/>
    <w:rsid w:val="007B1D13"/>
    <w:rsid w:val="007B20B1"/>
    <w:rsid w:val="007B25F6"/>
    <w:rsid w:val="007B2761"/>
    <w:rsid w:val="007B2AD3"/>
    <w:rsid w:val="007B2B21"/>
    <w:rsid w:val="007B31BF"/>
    <w:rsid w:val="007B3AC9"/>
    <w:rsid w:val="007B4499"/>
    <w:rsid w:val="007B454F"/>
    <w:rsid w:val="007B4CD7"/>
    <w:rsid w:val="007B51EA"/>
    <w:rsid w:val="007B5730"/>
    <w:rsid w:val="007B5C7B"/>
    <w:rsid w:val="007B683D"/>
    <w:rsid w:val="007C10DE"/>
    <w:rsid w:val="007C18A7"/>
    <w:rsid w:val="007C2FF8"/>
    <w:rsid w:val="007C35B4"/>
    <w:rsid w:val="007C3659"/>
    <w:rsid w:val="007C3A14"/>
    <w:rsid w:val="007C3C77"/>
    <w:rsid w:val="007C5116"/>
    <w:rsid w:val="007C516A"/>
    <w:rsid w:val="007C553C"/>
    <w:rsid w:val="007C58BF"/>
    <w:rsid w:val="007C5B0E"/>
    <w:rsid w:val="007C7C0F"/>
    <w:rsid w:val="007D0DDA"/>
    <w:rsid w:val="007D0FC2"/>
    <w:rsid w:val="007D1D8C"/>
    <w:rsid w:val="007D24B3"/>
    <w:rsid w:val="007D25C2"/>
    <w:rsid w:val="007D2918"/>
    <w:rsid w:val="007D2E99"/>
    <w:rsid w:val="007D4CFE"/>
    <w:rsid w:val="007D52CE"/>
    <w:rsid w:val="007D60F9"/>
    <w:rsid w:val="007D677C"/>
    <w:rsid w:val="007D6910"/>
    <w:rsid w:val="007D71A5"/>
    <w:rsid w:val="007D7D15"/>
    <w:rsid w:val="007E055D"/>
    <w:rsid w:val="007E0AB2"/>
    <w:rsid w:val="007E1AA9"/>
    <w:rsid w:val="007E1DB3"/>
    <w:rsid w:val="007E2DA5"/>
    <w:rsid w:val="007E3322"/>
    <w:rsid w:val="007E4080"/>
    <w:rsid w:val="007E4E8E"/>
    <w:rsid w:val="007E599A"/>
    <w:rsid w:val="007E6122"/>
    <w:rsid w:val="007E6277"/>
    <w:rsid w:val="007E64A8"/>
    <w:rsid w:val="007F0263"/>
    <w:rsid w:val="007F1072"/>
    <w:rsid w:val="007F1205"/>
    <w:rsid w:val="007F1707"/>
    <w:rsid w:val="007F1F2A"/>
    <w:rsid w:val="007F3703"/>
    <w:rsid w:val="007F433B"/>
    <w:rsid w:val="007F43ED"/>
    <w:rsid w:val="007F52DD"/>
    <w:rsid w:val="007F58EA"/>
    <w:rsid w:val="007F5A88"/>
    <w:rsid w:val="007F5CE0"/>
    <w:rsid w:val="007F603F"/>
    <w:rsid w:val="007F64F0"/>
    <w:rsid w:val="007F7194"/>
    <w:rsid w:val="0080030C"/>
    <w:rsid w:val="00800BF1"/>
    <w:rsid w:val="00800CEB"/>
    <w:rsid w:val="00802155"/>
    <w:rsid w:val="00803CC8"/>
    <w:rsid w:val="00803D7F"/>
    <w:rsid w:val="00803DC5"/>
    <w:rsid w:val="00803E8F"/>
    <w:rsid w:val="00804A43"/>
    <w:rsid w:val="00805557"/>
    <w:rsid w:val="00806062"/>
    <w:rsid w:val="00810299"/>
    <w:rsid w:val="008105D8"/>
    <w:rsid w:val="00811236"/>
    <w:rsid w:val="00811969"/>
    <w:rsid w:val="00811FC7"/>
    <w:rsid w:val="0081273B"/>
    <w:rsid w:val="00813CD6"/>
    <w:rsid w:val="00814DA9"/>
    <w:rsid w:val="00815777"/>
    <w:rsid w:val="008159B7"/>
    <w:rsid w:val="00815AA1"/>
    <w:rsid w:val="00815B69"/>
    <w:rsid w:val="00816402"/>
    <w:rsid w:val="008174EB"/>
    <w:rsid w:val="00820A99"/>
    <w:rsid w:val="0082119B"/>
    <w:rsid w:val="00821711"/>
    <w:rsid w:val="00821A7F"/>
    <w:rsid w:val="0082295E"/>
    <w:rsid w:val="00822F2A"/>
    <w:rsid w:val="00822FF1"/>
    <w:rsid w:val="00823045"/>
    <w:rsid w:val="008247BA"/>
    <w:rsid w:val="00825775"/>
    <w:rsid w:val="00826840"/>
    <w:rsid w:val="008274B1"/>
    <w:rsid w:val="00830100"/>
    <w:rsid w:val="00830281"/>
    <w:rsid w:val="00831539"/>
    <w:rsid w:val="00832177"/>
    <w:rsid w:val="008322DA"/>
    <w:rsid w:val="00832A11"/>
    <w:rsid w:val="00832E1B"/>
    <w:rsid w:val="008331AD"/>
    <w:rsid w:val="008335F6"/>
    <w:rsid w:val="00833973"/>
    <w:rsid w:val="00833DF9"/>
    <w:rsid w:val="00833F36"/>
    <w:rsid w:val="00834A6D"/>
    <w:rsid w:val="008354A2"/>
    <w:rsid w:val="008360A8"/>
    <w:rsid w:val="00836677"/>
    <w:rsid w:val="008367C4"/>
    <w:rsid w:val="008367D9"/>
    <w:rsid w:val="00836F9C"/>
    <w:rsid w:val="00837B73"/>
    <w:rsid w:val="00837CB5"/>
    <w:rsid w:val="008402D3"/>
    <w:rsid w:val="008407FE"/>
    <w:rsid w:val="00841F2E"/>
    <w:rsid w:val="00841FA2"/>
    <w:rsid w:val="008427F7"/>
    <w:rsid w:val="0084296E"/>
    <w:rsid w:val="00843B51"/>
    <w:rsid w:val="00843E6F"/>
    <w:rsid w:val="00844AD7"/>
    <w:rsid w:val="00844E06"/>
    <w:rsid w:val="00845301"/>
    <w:rsid w:val="00845302"/>
    <w:rsid w:val="0084627E"/>
    <w:rsid w:val="00846A0A"/>
    <w:rsid w:val="00847160"/>
    <w:rsid w:val="00847788"/>
    <w:rsid w:val="00847B08"/>
    <w:rsid w:val="00847E2B"/>
    <w:rsid w:val="008504F4"/>
    <w:rsid w:val="00850730"/>
    <w:rsid w:val="00850AC4"/>
    <w:rsid w:val="00851014"/>
    <w:rsid w:val="0085293F"/>
    <w:rsid w:val="00855560"/>
    <w:rsid w:val="00855F55"/>
    <w:rsid w:val="00856169"/>
    <w:rsid w:val="008562B3"/>
    <w:rsid w:val="0085638F"/>
    <w:rsid w:val="00856585"/>
    <w:rsid w:val="008567B7"/>
    <w:rsid w:val="00857753"/>
    <w:rsid w:val="008601B3"/>
    <w:rsid w:val="008606EE"/>
    <w:rsid w:val="00861B63"/>
    <w:rsid w:val="00861DEE"/>
    <w:rsid w:val="00862B61"/>
    <w:rsid w:val="00862E2A"/>
    <w:rsid w:val="008635D3"/>
    <w:rsid w:val="008640B4"/>
    <w:rsid w:val="00864CBF"/>
    <w:rsid w:val="008653BE"/>
    <w:rsid w:val="008659D6"/>
    <w:rsid w:val="00865A21"/>
    <w:rsid w:val="00866B7B"/>
    <w:rsid w:val="00867506"/>
    <w:rsid w:val="00867A10"/>
    <w:rsid w:val="00867DA1"/>
    <w:rsid w:val="00867EF4"/>
    <w:rsid w:val="0087060B"/>
    <w:rsid w:val="008718E2"/>
    <w:rsid w:val="00871EA2"/>
    <w:rsid w:val="008721EF"/>
    <w:rsid w:val="008724F6"/>
    <w:rsid w:val="00872FEA"/>
    <w:rsid w:val="0087345B"/>
    <w:rsid w:val="00874433"/>
    <w:rsid w:val="0087459B"/>
    <w:rsid w:val="0087513F"/>
    <w:rsid w:val="00875513"/>
    <w:rsid w:val="00875D8C"/>
    <w:rsid w:val="008768C9"/>
    <w:rsid w:val="008773AB"/>
    <w:rsid w:val="00877F9C"/>
    <w:rsid w:val="00881865"/>
    <w:rsid w:val="00882293"/>
    <w:rsid w:val="008823A9"/>
    <w:rsid w:val="008831B7"/>
    <w:rsid w:val="00883A6E"/>
    <w:rsid w:val="00883B16"/>
    <w:rsid w:val="0088425C"/>
    <w:rsid w:val="00884AB6"/>
    <w:rsid w:val="00884E29"/>
    <w:rsid w:val="00884EBC"/>
    <w:rsid w:val="008859B1"/>
    <w:rsid w:val="00887217"/>
    <w:rsid w:val="0088765B"/>
    <w:rsid w:val="00890FD5"/>
    <w:rsid w:val="008932C0"/>
    <w:rsid w:val="00893D76"/>
    <w:rsid w:val="00893ED6"/>
    <w:rsid w:val="00894C9A"/>
    <w:rsid w:val="00894D27"/>
    <w:rsid w:val="008955D2"/>
    <w:rsid w:val="008955D5"/>
    <w:rsid w:val="008A07DC"/>
    <w:rsid w:val="008A19B1"/>
    <w:rsid w:val="008A2C8A"/>
    <w:rsid w:val="008A2E28"/>
    <w:rsid w:val="008A3AB3"/>
    <w:rsid w:val="008A3DF9"/>
    <w:rsid w:val="008A4533"/>
    <w:rsid w:val="008A4AA2"/>
    <w:rsid w:val="008A5CA5"/>
    <w:rsid w:val="008A5E56"/>
    <w:rsid w:val="008A63F0"/>
    <w:rsid w:val="008A641F"/>
    <w:rsid w:val="008A6840"/>
    <w:rsid w:val="008A695F"/>
    <w:rsid w:val="008A6D82"/>
    <w:rsid w:val="008A6DC1"/>
    <w:rsid w:val="008A7CE5"/>
    <w:rsid w:val="008B0686"/>
    <w:rsid w:val="008B1B6A"/>
    <w:rsid w:val="008B23E0"/>
    <w:rsid w:val="008B4572"/>
    <w:rsid w:val="008B4B24"/>
    <w:rsid w:val="008B4D82"/>
    <w:rsid w:val="008B5253"/>
    <w:rsid w:val="008B585E"/>
    <w:rsid w:val="008B5EBF"/>
    <w:rsid w:val="008B6037"/>
    <w:rsid w:val="008B64B1"/>
    <w:rsid w:val="008B6CF2"/>
    <w:rsid w:val="008B789B"/>
    <w:rsid w:val="008B7937"/>
    <w:rsid w:val="008B7946"/>
    <w:rsid w:val="008C0303"/>
    <w:rsid w:val="008C0A8B"/>
    <w:rsid w:val="008C1E96"/>
    <w:rsid w:val="008C1F66"/>
    <w:rsid w:val="008C1FD6"/>
    <w:rsid w:val="008C2194"/>
    <w:rsid w:val="008C24F1"/>
    <w:rsid w:val="008C2BB6"/>
    <w:rsid w:val="008C2CBF"/>
    <w:rsid w:val="008C2FD3"/>
    <w:rsid w:val="008C32A5"/>
    <w:rsid w:val="008C3509"/>
    <w:rsid w:val="008C3DAF"/>
    <w:rsid w:val="008C4EFA"/>
    <w:rsid w:val="008C58CD"/>
    <w:rsid w:val="008C6068"/>
    <w:rsid w:val="008C672E"/>
    <w:rsid w:val="008C6B45"/>
    <w:rsid w:val="008C7117"/>
    <w:rsid w:val="008C7EBC"/>
    <w:rsid w:val="008D00FD"/>
    <w:rsid w:val="008D22A2"/>
    <w:rsid w:val="008D2E8A"/>
    <w:rsid w:val="008D3B61"/>
    <w:rsid w:val="008D3C3F"/>
    <w:rsid w:val="008D3D3E"/>
    <w:rsid w:val="008D412A"/>
    <w:rsid w:val="008D5F18"/>
    <w:rsid w:val="008D701C"/>
    <w:rsid w:val="008D798B"/>
    <w:rsid w:val="008D7D42"/>
    <w:rsid w:val="008E02B5"/>
    <w:rsid w:val="008E0F04"/>
    <w:rsid w:val="008E122F"/>
    <w:rsid w:val="008E1A21"/>
    <w:rsid w:val="008E2A7F"/>
    <w:rsid w:val="008E2F3F"/>
    <w:rsid w:val="008E30F9"/>
    <w:rsid w:val="008E33F7"/>
    <w:rsid w:val="008E3813"/>
    <w:rsid w:val="008E3860"/>
    <w:rsid w:val="008E3897"/>
    <w:rsid w:val="008E38D2"/>
    <w:rsid w:val="008E44FD"/>
    <w:rsid w:val="008E47DA"/>
    <w:rsid w:val="008E50B3"/>
    <w:rsid w:val="008E5148"/>
    <w:rsid w:val="008E6265"/>
    <w:rsid w:val="008E71F7"/>
    <w:rsid w:val="008E74CE"/>
    <w:rsid w:val="008F01A3"/>
    <w:rsid w:val="008F0264"/>
    <w:rsid w:val="008F0285"/>
    <w:rsid w:val="008F03CD"/>
    <w:rsid w:val="008F0647"/>
    <w:rsid w:val="008F0CBF"/>
    <w:rsid w:val="008F0E15"/>
    <w:rsid w:val="008F1B61"/>
    <w:rsid w:val="008F1F4C"/>
    <w:rsid w:val="008F2081"/>
    <w:rsid w:val="008F2180"/>
    <w:rsid w:val="008F2474"/>
    <w:rsid w:val="008F24C1"/>
    <w:rsid w:val="008F37B0"/>
    <w:rsid w:val="008F3A70"/>
    <w:rsid w:val="008F3E71"/>
    <w:rsid w:val="008F4401"/>
    <w:rsid w:val="008F490C"/>
    <w:rsid w:val="008F4AD3"/>
    <w:rsid w:val="008F4B2A"/>
    <w:rsid w:val="008F6C1B"/>
    <w:rsid w:val="008F6CCA"/>
    <w:rsid w:val="008F7B47"/>
    <w:rsid w:val="009003C2"/>
    <w:rsid w:val="00900663"/>
    <w:rsid w:val="00900C32"/>
    <w:rsid w:val="009025A3"/>
    <w:rsid w:val="0090284B"/>
    <w:rsid w:val="00902DAD"/>
    <w:rsid w:val="0090302B"/>
    <w:rsid w:val="009033F7"/>
    <w:rsid w:val="00903435"/>
    <w:rsid w:val="00903607"/>
    <w:rsid w:val="00904668"/>
    <w:rsid w:val="00904B0E"/>
    <w:rsid w:val="00905082"/>
    <w:rsid w:val="00905F58"/>
    <w:rsid w:val="00906D52"/>
    <w:rsid w:val="00910054"/>
    <w:rsid w:val="0091025B"/>
    <w:rsid w:val="00910C2A"/>
    <w:rsid w:val="009134BB"/>
    <w:rsid w:val="00913F28"/>
    <w:rsid w:val="0091510D"/>
    <w:rsid w:val="009167AD"/>
    <w:rsid w:val="00917B98"/>
    <w:rsid w:val="009203F0"/>
    <w:rsid w:val="0092058C"/>
    <w:rsid w:val="0092326D"/>
    <w:rsid w:val="00923F70"/>
    <w:rsid w:val="009244D9"/>
    <w:rsid w:val="00924515"/>
    <w:rsid w:val="00924944"/>
    <w:rsid w:val="00924CB1"/>
    <w:rsid w:val="00924CD0"/>
    <w:rsid w:val="009259A5"/>
    <w:rsid w:val="00925AA4"/>
    <w:rsid w:val="00925BB0"/>
    <w:rsid w:val="009263A7"/>
    <w:rsid w:val="00926DD9"/>
    <w:rsid w:val="00927080"/>
    <w:rsid w:val="009275CC"/>
    <w:rsid w:val="00927661"/>
    <w:rsid w:val="00927A9C"/>
    <w:rsid w:val="00930DFD"/>
    <w:rsid w:val="00930F52"/>
    <w:rsid w:val="00931057"/>
    <w:rsid w:val="00931A6C"/>
    <w:rsid w:val="00931F20"/>
    <w:rsid w:val="009324DC"/>
    <w:rsid w:val="00935855"/>
    <w:rsid w:val="00935D37"/>
    <w:rsid w:val="00935E16"/>
    <w:rsid w:val="009370DF"/>
    <w:rsid w:val="00937239"/>
    <w:rsid w:val="0093773C"/>
    <w:rsid w:val="009377A9"/>
    <w:rsid w:val="00937B9A"/>
    <w:rsid w:val="0094060E"/>
    <w:rsid w:val="009416A1"/>
    <w:rsid w:val="009428DD"/>
    <w:rsid w:val="00942900"/>
    <w:rsid w:val="00943561"/>
    <w:rsid w:val="00944266"/>
    <w:rsid w:val="00944542"/>
    <w:rsid w:val="00945372"/>
    <w:rsid w:val="0094559D"/>
    <w:rsid w:val="00945B97"/>
    <w:rsid w:val="00945BFB"/>
    <w:rsid w:val="0094671F"/>
    <w:rsid w:val="00946ACF"/>
    <w:rsid w:val="0094740C"/>
    <w:rsid w:val="00947DF0"/>
    <w:rsid w:val="0095014C"/>
    <w:rsid w:val="0095035F"/>
    <w:rsid w:val="00951C3A"/>
    <w:rsid w:val="00951F24"/>
    <w:rsid w:val="00952B9C"/>
    <w:rsid w:val="00954A96"/>
    <w:rsid w:val="00954C89"/>
    <w:rsid w:val="00955373"/>
    <w:rsid w:val="00955940"/>
    <w:rsid w:val="0095721B"/>
    <w:rsid w:val="009573B8"/>
    <w:rsid w:val="009605CC"/>
    <w:rsid w:val="00961003"/>
    <w:rsid w:val="0096109B"/>
    <w:rsid w:val="0096138F"/>
    <w:rsid w:val="00963330"/>
    <w:rsid w:val="009635E3"/>
    <w:rsid w:val="0096439E"/>
    <w:rsid w:val="009644EB"/>
    <w:rsid w:val="00964516"/>
    <w:rsid w:val="00964782"/>
    <w:rsid w:val="009647A0"/>
    <w:rsid w:val="00964CBE"/>
    <w:rsid w:val="0096500A"/>
    <w:rsid w:val="00967286"/>
    <w:rsid w:val="009703C4"/>
    <w:rsid w:val="009712DF"/>
    <w:rsid w:val="009719A8"/>
    <w:rsid w:val="009727DC"/>
    <w:rsid w:val="00973585"/>
    <w:rsid w:val="00973874"/>
    <w:rsid w:val="00974466"/>
    <w:rsid w:val="00974C5E"/>
    <w:rsid w:val="00974D13"/>
    <w:rsid w:val="00974E46"/>
    <w:rsid w:val="00975E7D"/>
    <w:rsid w:val="0097605B"/>
    <w:rsid w:val="009764C8"/>
    <w:rsid w:val="00976C25"/>
    <w:rsid w:val="009777EF"/>
    <w:rsid w:val="00980909"/>
    <w:rsid w:val="00980B1F"/>
    <w:rsid w:val="00980FD7"/>
    <w:rsid w:val="00981C26"/>
    <w:rsid w:val="00981C50"/>
    <w:rsid w:val="009824D0"/>
    <w:rsid w:val="009827A5"/>
    <w:rsid w:val="00982A55"/>
    <w:rsid w:val="00983108"/>
    <w:rsid w:val="009834B4"/>
    <w:rsid w:val="00983B70"/>
    <w:rsid w:val="00984164"/>
    <w:rsid w:val="00984BBB"/>
    <w:rsid w:val="00984D7D"/>
    <w:rsid w:val="00985458"/>
    <w:rsid w:val="00986DBF"/>
    <w:rsid w:val="00987461"/>
    <w:rsid w:val="009876E4"/>
    <w:rsid w:val="009901AA"/>
    <w:rsid w:val="00990FF3"/>
    <w:rsid w:val="009915CE"/>
    <w:rsid w:val="00991C4E"/>
    <w:rsid w:val="00993647"/>
    <w:rsid w:val="009937DA"/>
    <w:rsid w:val="009938CC"/>
    <w:rsid w:val="009945F9"/>
    <w:rsid w:val="00995FB5"/>
    <w:rsid w:val="009975C1"/>
    <w:rsid w:val="009A020D"/>
    <w:rsid w:val="009A0315"/>
    <w:rsid w:val="009A0446"/>
    <w:rsid w:val="009A0C09"/>
    <w:rsid w:val="009A35A6"/>
    <w:rsid w:val="009A384D"/>
    <w:rsid w:val="009A38F5"/>
    <w:rsid w:val="009A3947"/>
    <w:rsid w:val="009A3E7D"/>
    <w:rsid w:val="009A4734"/>
    <w:rsid w:val="009A512D"/>
    <w:rsid w:val="009A594F"/>
    <w:rsid w:val="009A5ED8"/>
    <w:rsid w:val="009A602E"/>
    <w:rsid w:val="009A6296"/>
    <w:rsid w:val="009A6792"/>
    <w:rsid w:val="009A6CA8"/>
    <w:rsid w:val="009A783E"/>
    <w:rsid w:val="009A7BCA"/>
    <w:rsid w:val="009B054B"/>
    <w:rsid w:val="009B1B45"/>
    <w:rsid w:val="009B34AC"/>
    <w:rsid w:val="009B36F2"/>
    <w:rsid w:val="009B4876"/>
    <w:rsid w:val="009B4EF4"/>
    <w:rsid w:val="009B64A6"/>
    <w:rsid w:val="009B6526"/>
    <w:rsid w:val="009B6900"/>
    <w:rsid w:val="009B6A74"/>
    <w:rsid w:val="009B79C7"/>
    <w:rsid w:val="009C031C"/>
    <w:rsid w:val="009C3042"/>
    <w:rsid w:val="009C393B"/>
    <w:rsid w:val="009C4979"/>
    <w:rsid w:val="009C4A0E"/>
    <w:rsid w:val="009C5BA6"/>
    <w:rsid w:val="009C5DEF"/>
    <w:rsid w:val="009C6115"/>
    <w:rsid w:val="009C72C5"/>
    <w:rsid w:val="009C7DF2"/>
    <w:rsid w:val="009D0628"/>
    <w:rsid w:val="009D10AD"/>
    <w:rsid w:val="009D2451"/>
    <w:rsid w:val="009D52D5"/>
    <w:rsid w:val="009D5613"/>
    <w:rsid w:val="009D5648"/>
    <w:rsid w:val="009D5BE3"/>
    <w:rsid w:val="009D6B4B"/>
    <w:rsid w:val="009D7387"/>
    <w:rsid w:val="009E0008"/>
    <w:rsid w:val="009E0EBE"/>
    <w:rsid w:val="009E10E6"/>
    <w:rsid w:val="009E1423"/>
    <w:rsid w:val="009E2093"/>
    <w:rsid w:val="009E2815"/>
    <w:rsid w:val="009E311A"/>
    <w:rsid w:val="009E3725"/>
    <w:rsid w:val="009E3A33"/>
    <w:rsid w:val="009E3A96"/>
    <w:rsid w:val="009E3CA2"/>
    <w:rsid w:val="009E3F29"/>
    <w:rsid w:val="009E4212"/>
    <w:rsid w:val="009E70CA"/>
    <w:rsid w:val="009E714C"/>
    <w:rsid w:val="009E7208"/>
    <w:rsid w:val="009F03E8"/>
    <w:rsid w:val="009F0D65"/>
    <w:rsid w:val="009F2395"/>
    <w:rsid w:val="009F26E9"/>
    <w:rsid w:val="009F2CF5"/>
    <w:rsid w:val="009F327C"/>
    <w:rsid w:val="009F3765"/>
    <w:rsid w:val="009F448A"/>
    <w:rsid w:val="009F57CF"/>
    <w:rsid w:val="009F6D1E"/>
    <w:rsid w:val="009F7828"/>
    <w:rsid w:val="00A00452"/>
    <w:rsid w:val="00A008F2"/>
    <w:rsid w:val="00A01A3F"/>
    <w:rsid w:val="00A01E17"/>
    <w:rsid w:val="00A02945"/>
    <w:rsid w:val="00A033BC"/>
    <w:rsid w:val="00A03600"/>
    <w:rsid w:val="00A04055"/>
    <w:rsid w:val="00A0438A"/>
    <w:rsid w:val="00A049A2"/>
    <w:rsid w:val="00A04C73"/>
    <w:rsid w:val="00A04EDB"/>
    <w:rsid w:val="00A05811"/>
    <w:rsid w:val="00A07CCE"/>
    <w:rsid w:val="00A10F34"/>
    <w:rsid w:val="00A11038"/>
    <w:rsid w:val="00A118B6"/>
    <w:rsid w:val="00A11A4E"/>
    <w:rsid w:val="00A12028"/>
    <w:rsid w:val="00A13DD9"/>
    <w:rsid w:val="00A13DFC"/>
    <w:rsid w:val="00A13FA4"/>
    <w:rsid w:val="00A140C9"/>
    <w:rsid w:val="00A146EF"/>
    <w:rsid w:val="00A1485A"/>
    <w:rsid w:val="00A148F2"/>
    <w:rsid w:val="00A14A1A"/>
    <w:rsid w:val="00A153ED"/>
    <w:rsid w:val="00A15FE3"/>
    <w:rsid w:val="00A16F66"/>
    <w:rsid w:val="00A17574"/>
    <w:rsid w:val="00A17785"/>
    <w:rsid w:val="00A21DBD"/>
    <w:rsid w:val="00A21FE1"/>
    <w:rsid w:val="00A223A7"/>
    <w:rsid w:val="00A226F2"/>
    <w:rsid w:val="00A23CFB"/>
    <w:rsid w:val="00A24787"/>
    <w:rsid w:val="00A248FE"/>
    <w:rsid w:val="00A24AE3"/>
    <w:rsid w:val="00A2608C"/>
    <w:rsid w:val="00A26766"/>
    <w:rsid w:val="00A27A9E"/>
    <w:rsid w:val="00A30B1E"/>
    <w:rsid w:val="00A30B75"/>
    <w:rsid w:val="00A310EE"/>
    <w:rsid w:val="00A31242"/>
    <w:rsid w:val="00A323BB"/>
    <w:rsid w:val="00A33396"/>
    <w:rsid w:val="00A3380B"/>
    <w:rsid w:val="00A33C74"/>
    <w:rsid w:val="00A340EA"/>
    <w:rsid w:val="00A35936"/>
    <w:rsid w:val="00A35ACD"/>
    <w:rsid w:val="00A364EF"/>
    <w:rsid w:val="00A37533"/>
    <w:rsid w:val="00A3763A"/>
    <w:rsid w:val="00A37651"/>
    <w:rsid w:val="00A37E56"/>
    <w:rsid w:val="00A40294"/>
    <w:rsid w:val="00A403A5"/>
    <w:rsid w:val="00A406CA"/>
    <w:rsid w:val="00A40975"/>
    <w:rsid w:val="00A40B27"/>
    <w:rsid w:val="00A42327"/>
    <w:rsid w:val="00A42C0B"/>
    <w:rsid w:val="00A4359A"/>
    <w:rsid w:val="00A43B03"/>
    <w:rsid w:val="00A43D43"/>
    <w:rsid w:val="00A44AEC"/>
    <w:rsid w:val="00A4521A"/>
    <w:rsid w:val="00A452CA"/>
    <w:rsid w:val="00A4537E"/>
    <w:rsid w:val="00A45471"/>
    <w:rsid w:val="00A45CA0"/>
    <w:rsid w:val="00A4697D"/>
    <w:rsid w:val="00A46B5F"/>
    <w:rsid w:val="00A47279"/>
    <w:rsid w:val="00A47869"/>
    <w:rsid w:val="00A507C7"/>
    <w:rsid w:val="00A50B1B"/>
    <w:rsid w:val="00A51215"/>
    <w:rsid w:val="00A51508"/>
    <w:rsid w:val="00A515B6"/>
    <w:rsid w:val="00A520A5"/>
    <w:rsid w:val="00A52D8E"/>
    <w:rsid w:val="00A5334B"/>
    <w:rsid w:val="00A5515F"/>
    <w:rsid w:val="00A557D7"/>
    <w:rsid w:val="00A55830"/>
    <w:rsid w:val="00A55887"/>
    <w:rsid w:val="00A5672E"/>
    <w:rsid w:val="00A567EB"/>
    <w:rsid w:val="00A57013"/>
    <w:rsid w:val="00A57B72"/>
    <w:rsid w:val="00A605AF"/>
    <w:rsid w:val="00A60BA9"/>
    <w:rsid w:val="00A61747"/>
    <w:rsid w:val="00A61E90"/>
    <w:rsid w:val="00A63255"/>
    <w:rsid w:val="00A643B8"/>
    <w:rsid w:val="00A648FE"/>
    <w:rsid w:val="00A65C2A"/>
    <w:rsid w:val="00A65F09"/>
    <w:rsid w:val="00A66674"/>
    <w:rsid w:val="00A666B2"/>
    <w:rsid w:val="00A669D0"/>
    <w:rsid w:val="00A66C91"/>
    <w:rsid w:val="00A66F4D"/>
    <w:rsid w:val="00A67BA0"/>
    <w:rsid w:val="00A714CD"/>
    <w:rsid w:val="00A71F1D"/>
    <w:rsid w:val="00A728DB"/>
    <w:rsid w:val="00A72A38"/>
    <w:rsid w:val="00A7380D"/>
    <w:rsid w:val="00A74038"/>
    <w:rsid w:val="00A74285"/>
    <w:rsid w:val="00A746B9"/>
    <w:rsid w:val="00A75A12"/>
    <w:rsid w:val="00A7764F"/>
    <w:rsid w:val="00A8077C"/>
    <w:rsid w:val="00A80E28"/>
    <w:rsid w:val="00A81364"/>
    <w:rsid w:val="00A826C3"/>
    <w:rsid w:val="00A82C31"/>
    <w:rsid w:val="00A8331E"/>
    <w:rsid w:val="00A835BA"/>
    <w:rsid w:val="00A83B9C"/>
    <w:rsid w:val="00A85A26"/>
    <w:rsid w:val="00A85FA9"/>
    <w:rsid w:val="00A876D8"/>
    <w:rsid w:val="00A90FCE"/>
    <w:rsid w:val="00A913F8"/>
    <w:rsid w:val="00A91CA6"/>
    <w:rsid w:val="00A91D5B"/>
    <w:rsid w:val="00A91FF9"/>
    <w:rsid w:val="00A9204C"/>
    <w:rsid w:val="00A927BE"/>
    <w:rsid w:val="00A92A79"/>
    <w:rsid w:val="00A93851"/>
    <w:rsid w:val="00A93CD3"/>
    <w:rsid w:val="00A94891"/>
    <w:rsid w:val="00A948BA"/>
    <w:rsid w:val="00A94BD6"/>
    <w:rsid w:val="00A94DB5"/>
    <w:rsid w:val="00A95D1B"/>
    <w:rsid w:val="00A96CC4"/>
    <w:rsid w:val="00A96DFC"/>
    <w:rsid w:val="00A97148"/>
    <w:rsid w:val="00A9783B"/>
    <w:rsid w:val="00A97967"/>
    <w:rsid w:val="00A97A0E"/>
    <w:rsid w:val="00AA0827"/>
    <w:rsid w:val="00AA3488"/>
    <w:rsid w:val="00AA3A52"/>
    <w:rsid w:val="00AA4C3E"/>
    <w:rsid w:val="00AA4DDC"/>
    <w:rsid w:val="00AA7001"/>
    <w:rsid w:val="00AA78D9"/>
    <w:rsid w:val="00AA7B8F"/>
    <w:rsid w:val="00AA7E7D"/>
    <w:rsid w:val="00AB01BA"/>
    <w:rsid w:val="00AB0623"/>
    <w:rsid w:val="00AB0C17"/>
    <w:rsid w:val="00AB2313"/>
    <w:rsid w:val="00AB2703"/>
    <w:rsid w:val="00AB2852"/>
    <w:rsid w:val="00AB296D"/>
    <w:rsid w:val="00AB2B8C"/>
    <w:rsid w:val="00AB33AF"/>
    <w:rsid w:val="00AB3D50"/>
    <w:rsid w:val="00AB3FB8"/>
    <w:rsid w:val="00AB472C"/>
    <w:rsid w:val="00AB4B9C"/>
    <w:rsid w:val="00AB6168"/>
    <w:rsid w:val="00AB6435"/>
    <w:rsid w:val="00AB7826"/>
    <w:rsid w:val="00AB7A40"/>
    <w:rsid w:val="00AC0215"/>
    <w:rsid w:val="00AC0764"/>
    <w:rsid w:val="00AC2B52"/>
    <w:rsid w:val="00AC2B8A"/>
    <w:rsid w:val="00AC2FCB"/>
    <w:rsid w:val="00AC3288"/>
    <w:rsid w:val="00AC33B1"/>
    <w:rsid w:val="00AC3628"/>
    <w:rsid w:val="00AC37DA"/>
    <w:rsid w:val="00AC3873"/>
    <w:rsid w:val="00AC38C3"/>
    <w:rsid w:val="00AC45AC"/>
    <w:rsid w:val="00AC54BC"/>
    <w:rsid w:val="00AC6DFC"/>
    <w:rsid w:val="00AC7A68"/>
    <w:rsid w:val="00AC7BD0"/>
    <w:rsid w:val="00AD0258"/>
    <w:rsid w:val="00AD0625"/>
    <w:rsid w:val="00AD0CCC"/>
    <w:rsid w:val="00AD0D89"/>
    <w:rsid w:val="00AD2076"/>
    <w:rsid w:val="00AD3EEE"/>
    <w:rsid w:val="00AD4678"/>
    <w:rsid w:val="00AD6029"/>
    <w:rsid w:val="00AD641F"/>
    <w:rsid w:val="00AD6978"/>
    <w:rsid w:val="00AD6FD2"/>
    <w:rsid w:val="00AD79E4"/>
    <w:rsid w:val="00AD7D2C"/>
    <w:rsid w:val="00AE047B"/>
    <w:rsid w:val="00AE1040"/>
    <w:rsid w:val="00AE1381"/>
    <w:rsid w:val="00AE1798"/>
    <w:rsid w:val="00AE22A3"/>
    <w:rsid w:val="00AE29E1"/>
    <w:rsid w:val="00AE43DB"/>
    <w:rsid w:val="00AE4E10"/>
    <w:rsid w:val="00AE51D3"/>
    <w:rsid w:val="00AE5749"/>
    <w:rsid w:val="00AE5975"/>
    <w:rsid w:val="00AE6A6B"/>
    <w:rsid w:val="00AE7291"/>
    <w:rsid w:val="00AF0EE9"/>
    <w:rsid w:val="00AF0F94"/>
    <w:rsid w:val="00AF17BF"/>
    <w:rsid w:val="00AF1CE0"/>
    <w:rsid w:val="00AF1DE4"/>
    <w:rsid w:val="00AF2397"/>
    <w:rsid w:val="00AF2B6F"/>
    <w:rsid w:val="00AF2DF2"/>
    <w:rsid w:val="00AF313B"/>
    <w:rsid w:val="00AF3659"/>
    <w:rsid w:val="00AF397A"/>
    <w:rsid w:val="00AF3A31"/>
    <w:rsid w:val="00AF4B5A"/>
    <w:rsid w:val="00AF5209"/>
    <w:rsid w:val="00AF580F"/>
    <w:rsid w:val="00AF6A54"/>
    <w:rsid w:val="00AF7648"/>
    <w:rsid w:val="00B0155A"/>
    <w:rsid w:val="00B028DF"/>
    <w:rsid w:val="00B0394A"/>
    <w:rsid w:val="00B03E96"/>
    <w:rsid w:val="00B046C7"/>
    <w:rsid w:val="00B05B63"/>
    <w:rsid w:val="00B05F2C"/>
    <w:rsid w:val="00B07013"/>
    <w:rsid w:val="00B104FE"/>
    <w:rsid w:val="00B116F3"/>
    <w:rsid w:val="00B118A3"/>
    <w:rsid w:val="00B11B7C"/>
    <w:rsid w:val="00B11C27"/>
    <w:rsid w:val="00B11CED"/>
    <w:rsid w:val="00B121DB"/>
    <w:rsid w:val="00B13633"/>
    <w:rsid w:val="00B13A72"/>
    <w:rsid w:val="00B140D7"/>
    <w:rsid w:val="00B14A62"/>
    <w:rsid w:val="00B14E0E"/>
    <w:rsid w:val="00B150E2"/>
    <w:rsid w:val="00B156B6"/>
    <w:rsid w:val="00B15C27"/>
    <w:rsid w:val="00B16C6E"/>
    <w:rsid w:val="00B203A0"/>
    <w:rsid w:val="00B21A8E"/>
    <w:rsid w:val="00B220A4"/>
    <w:rsid w:val="00B22172"/>
    <w:rsid w:val="00B22178"/>
    <w:rsid w:val="00B22398"/>
    <w:rsid w:val="00B2337F"/>
    <w:rsid w:val="00B23937"/>
    <w:rsid w:val="00B239A8"/>
    <w:rsid w:val="00B23D9E"/>
    <w:rsid w:val="00B262DF"/>
    <w:rsid w:val="00B26717"/>
    <w:rsid w:val="00B271A2"/>
    <w:rsid w:val="00B2727A"/>
    <w:rsid w:val="00B27847"/>
    <w:rsid w:val="00B27E10"/>
    <w:rsid w:val="00B308EB"/>
    <w:rsid w:val="00B30AD2"/>
    <w:rsid w:val="00B32A05"/>
    <w:rsid w:val="00B32C32"/>
    <w:rsid w:val="00B332E9"/>
    <w:rsid w:val="00B33928"/>
    <w:rsid w:val="00B34936"/>
    <w:rsid w:val="00B34B26"/>
    <w:rsid w:val="00B34C0E"/>
    <w:rsid w:val="00B352A9"/>
    <w:rsid w:val="00B361E5"/>
    <w:rsid w:val="00B36D59"/>
    <w:rsid w:val="00B37F1F"/>
    <w:rsid w:val="00B41434"/>
    <w:rsid w:val="00B41EF0"/>
    <w:rsid w:val="00B427E7"/>
    <w:rsid w:val="00B42941"/>
    <w:rsid w:val="00B43238"/>
    <w:rsid w:val="00B433F8"/>
    <w:rsid w:val="00B434AB"/>
    <w:rsid w:val="00B4411E"/>
    <w:rsid w:val="00B4413C"/>
    <w:rsid w:val="00B44A47"/>
    <w:rsid w:val="00B4646D"/>
    <w:rsid w:val="00B46805"/>
    <w:rsid w:val="00B46E7E"/>
    <w:rsid w:val="00B46EF8"/>
    <w:rsid w:val="00B47167"/>
    <w:rsid w:val="00B47C53"/>
    <w:rsid w:val="00B51861"/>
    <w:rsid w:val="00B522A6"/>
    <w:rsid w:val="00B52301"/>
    <w:rsid w:val="00B52871"/>
    <w:rsid w:val="00B53552"/>
    <w:rsid w:val="00B5437D"/>
    <w:rsid w:val="00B54DCB"/>
    <w:rsid w:val="00B54E2B"/>
    <w:rsid w:val="00B55606"/>
    <w:rsid w:val="00B55E77"/>
    <w:rsid w:val="00B56194"/>
    <w:rsid w:val="00B5648C"/>
    <w:rsid w:val="00B56FBE"/>
    <w:rsid w:val="00B570D5"/>
    <w:rsid w:val="00B57FCC"/>
    <w:rsid w:val="00B618CD"/>
    <w:rsid w:val="00B6277D"/>
    <w:rsid w:val="00B635AC"/>
    <w:rsid w:val="00B6474D"/>
    <w:rsid w:val="00B650E4"/>
    <w:rsid w:val="00B66B6A"/>
    <w:rsid w:val="00B70580"/>
    <w:rsid w:val="00B720EE"/>
    <w:rsid w:val="00B72462"/>
    <w:rsid w:val="00B724F4"/>
    <w:rsid w:val="00B72D0C"/>
    <w:rsid w:val="00B7351F"/>
    <w:rsid w:val="00B73E30"/>
    <w:rsid w:val="00B752E7"/>
    <w:rsid w:val="00B75A08"/>
    <w:rsid w:val="00B75A74"/>
    <w:rsid w:val="00B7610F"/>
    <w:rsid w:val="00B761E5"/>
    <w:rsid w:val="00B762DE"/>
    <w:rsid w:val="00B76E3E"/>
    <w:rsid w:val="00B7789E"/>
    <w:rsid w:val="00B77AE6"/>
    <w:rsid w:val="00B77D6A"/>
    <w:rsid w:val="00B80177"/>
    <w:rsid w:val="00B80563"/>
    <w:rsid w:val="00B8299A"/>
    <w:rsid w:val="00B83461"/>
    <w:rsid w:val="00B83D6C"/>
    <w:rsid w:val="00B83ED9"/>
    <w:rsid w:val="00B8461A"/>
    <w:rsid w:val="00B84792"/>
    <w:rsid w:val="00B84A3F"/>
    <w:rsid w:val="00B84DCF"/>
    <w:rsid w:val="00B85E3E"/>
    <w:rsid w:val="00B8609D"/>
    <w:rsid w:val="00B870B9"/>
    <w:rsid w:val="00B87982"/>
    <w:rsid w:val="00B87F0B"/>
    <w:rsid w:val="00B904DC"/>
    <w:rsid w:val="00B9127E"/>
    <w:rsid w:val="00B91B61"/>
    <w:rsid w:val="00B91FA5"/>
    <w:rsid w:val="00B931C8"/>
    <w:rsid w:val="00B932ED"/>
    <w:rsid w:val="00B93EFD"/>
    <w:rsid w:val="00B94080"/>
    <w:rsid w:val="00B9457C"/>
    <w:rsid w:val="00B95571"/>
    <w:rsid w:val="00B959CD"/>
    <w:rsid w:val="00B95C7C"/>
    <w:rsid w:val="00B9685D"/>
    <w:rsid w:val="00B96A2E"/>
    <w:rsid w:val="00B96A73"/>
    <w:rsid w:val="00B96C77"/>
    <w:rsid w:val="00B96ED2"/>
    <w:rsid w:val="00B97E60"/>
    <w:rsid w:val="00BA006E"/>
    <w:rsid w:val="00BA096D"/>
    <w:rsid w:val="00BA19AF"/>
    <w:rsid w:val="00BA1D1E"/>
    <w:rsid w:val="00BA2411"/>
    <w:rsid w:val="00BA3B2C"/>
    <w:rsid w:val="00BA3C10"/>
    <w:rsid w:val="00BA4A04"/>
    <w:rsid w:val="00BA550D"/>
    <w:rsid w:val="00BA5609"/>
    <w:rsid w:val="00BA56A5"/>
    <w:rsid w:val="00BA5F7F"/>
    <w:rsid w:val="00BA63BB"/>
    <w:rsid w:val="00BA79BC"/>
    <w:rsid w:val="00BA7CDE"/>
    <w:rsid w:val="00BB024D"/>
    <w:rsid w:val="00BB14DC"/>
    <w:rsid w:val="00BB1593"/>
    <w:rsid w:val="00BB196A"/>
    <w:rsid w:val="00BB1A77"/>
    <w:rsid w:val="00BB2E2F"/>
    <w:rsid w:val="00BB3450"/>
    <w:rsid w:val="00BB383E"/>
    <w:rsid w:val="00BB3888"/>
    <w:rsid w:val="00BB3A3B"/>
    <w:rsid w:val="00BB3FE0"/>
    <w:rsid w:val="00BB4400"/>
    <w:rsid w:val="00BB4549"/>
    <w:rsid w:val="00BB4623"/>
    <w:rsid w:val="00BB67C8"/>
    <w:rsid w:val="00BB690B"/>
    <w:rsid w:val="00BB6B5A"/>
    <w:rsid w:val="00BB7B51"/>
    <w:rsid w:val="00BB7C67"/>
    <w:rsid w:val="00BC1BA9"/>
    <w:rsid w:val="00BC1D14"/>
    <w:rsid w:val="00BC1F8C"/>
    <w:rsid w:val="00BC213A"/>
    <w:rsid w:val="00BC2F99"/>
    <w:rsid w:val="00BC32DD"/>
    <w:rsid w:val="00BC3F1F"/>
    <w:rsid w:val="00BC41E8"/>
    <w:rsid w:val="00BC5679"/>
    <w:rsid w:val="00BC6696"/>
    <w:rsid w:val="00BC76F9"/>
    <w:rsid w:val="00BD0DE9"/>
    <w:rsid w:val="00BD25A0"/>
    <w:rsid w:val="00BD2929"/>
    <w:rsid w:val="00BD2BFB"/>
    <w:rsid w:val="00BD2D99"/>
    <w:rsid w:val="00BD3273"/>
    <w:rsid w:val="00BD3A10"/>
    <w:rsid w:val="00BD4774"/>
    <w:rsid w:val="00BD4834"/>
    <w:rsid w:val="00BD56C3"/>
    <w:rsid w:val="00BD58A6"/>
    <w:rsid w:val="00BD5EB0"/>
    <w:rsid w:val="00BE01C6"/>
    <w:rsid w:val="00BE063B"/>
    <w:rsid w:val="00BE0D7A"/>
    <w:rsid w:val="00BE0E80"/>
    <w:rsid w:val="00BE1F88"/>
    <w:rsid w:val="00BE27A6"/>
    <w:rsid w:val="00BE36B0"/>
    <w:rsid w:val="00BE5076"/>
    <w:rsid w:val="00BE6573"/>
    <w:rsid w:val="00BE6B42"/>
    <w:rsid w:val="00BE7E09"/>
    <w:rsid w:val="00BF04D6"/>
    <w:rsid w:val="00BF0677"/>
    <w:rsid w:val="00BF0BCB"/>
    <w:rsid w:val="00BF10ED"/>
    <w:rsid w:val="00BF1E25"/>
    <w:rsid w:val="00BF21F9"/>
    <w:rsid w:val="00BF263C"/>
    <w:rsid w:val="00BF2DCB"/>
    <w:rsid w:val="00BF37BA"/>
    <w:rsid w:val="00BF387B"/>
    <w:rsid w:val="00BF3B71"/>
    <w:rsid w:val="00BF3C39"/>
    <w:rsid w:val="00BF3D19"/>
    <w:rsid w:val="00BF46E7"/>
    <w:rsid w:val="00BF4E97"/>
    <w:rsid w:val="00BF4FDC"/>
    <w:rsid w:val="00BF5245"/>
    <w:rsid w:val="00BF56BD"/>
    <w:rsid w:val="00BF5E6C"/>
    <w:rsid w:val="00BF6079"/>
    <w:rsid w:val="00BF625A"/>
    <w:rsid w:val="00BF68BA"/>
    <w:rsid w:val="00BF7D7D"/>
    <w:rsid w:val="00C00BD8"/>
    <w:rsid w:val="00C0307E"/>
    <w:rsid w:val="00C03A9A"/>
    <w:rsid w:val="00C044E2"/>
    <w:rsid w:val="00C047FD"/>
    <w:rsid w:val="00C05243"/>
    <w:rsid w:val="00C0546E"/>
    <w:rsid w:val="00C060D1"/>
    <w:rsid w:val="00C06967"/>
    <w:rsid w:val="00C071C6"/>
    <w:rsid w:val="00C10954"/>
    <w:rsid w:val="00C10DCB"/>
    <w:rsid w:val="00C115FF"/>
    <w:rsid w:val="00C1177D"/>
    <w:rsid w:val="00C1202E"/>
    <w:rsid w:val="00C126A3"/>
    <w:rsid w:val="00C12D0E"/>
    <w:rsid w:val="00C1349D"/>
    <w:rsid w:val="00C13608"/>
    <w:rsid w:val="00C1379C"/>
    <w:rsid w:val="00C13EEC"/>
    <w:rsid w:val="00C15812"/>
    <w:rsid w:val="00C15D42"/>
    <w:rsid w:val="00C164FA"/>
    <w:rsid w:val="00C17C7D"/>
    <w:rsid w:val="00C2005C"/>
    <w:rsid w:val="00C205B7"/>
    <w:rsid w:val="00C21220"/>
    <w:rsid w:val="00C225C1"/>
    <w:rsid w:val="00C237D3"/>
    <w:rsid w:val="00C23895"/>
    <w:rsid w:val="00C242C5"/>
    <w:rsid w:val="00C249D3"/>
    <w:rsid w:val="00C259E2"/>
    <w:rsid w:val="00C263FB"/>
    <w:rsid w:val="00C2741C"/>
    <w:rsid w:val="00C27995"/>
    <w:rsid w:val="00C302D7"/>
    <w:rsid w:val="00C30B71"/>
    <w:rsid w:val="00C32471"/>
    <w:rsid w:val="00C32D06"/>
    <w:rsid w:val="00C32E2A"/>
    <w:rsid w:val="00C33C73"/>
    <w:rsid w:val="00C33F58"/>
    <w:rsid w:val="00C349EB"/>
    <w:rsid w:val="00C36A45"/>
    <w:rsid w:val="00C36BFF"/>
    <w:rsid w:val="00C36E07"/>
    <w:rsid w:val="00C3795D"/>
    <w:rsid w:val="00C41DD5"/>
    <w:rsid w:val="00C4208A"/>
    <w:rsid w:val="00C4298F"/>
    <w:rsid w:val="00C42D63"/>
    <w:rsid w:val="00C43BA5"/>
    <w:rsid w:val="00C4414A"/>
    <w:rsid w:val="00C44713"/>
    <w:rsid w:val="00C45091"/>
    <w:rsid w:val="00C45706"/>
    <w:rsid w:val="00C47560"/>
    <w:rsid w:val="00C50815"/>
    <w:rsid w:val="00C50A92"/>
    <w:rsid w:val="00C50DA6"/>
    <w:rsid w:val="00C5106B"/>
    <w:rsid w:val="00C5187A"/>
    <w:rsid w:val="00C51BE1"/>
    <w:rsid w:val="00C52105"/>
    <w:rsid w:val="00C5295A"/>
    <w:rsid w:val="00C53551"/>
    <w:rsid w:val="00C53554"/>
    <w:rsid w:val="00C53D8E"/>
    <w:rsid w:val="00C53E05"/>
    <w:rsid w:val="00C54277"/>
    <w:rsid w:val="00C54DD4"/>
    <w:rsid w:val="00C54E69"/>
    <w:rsid w:val="00C554C0"/>
    <w:rsid w:val="00C569A0"/>
    <w:rsid w:val="00C57D67"/>
    <w:rsid w:val="00C57EB1"/>
    <w:rsid w:val="00C6030A"/>
    <w:rsid w:val="00C60733"/>
    <w:rsid w:val="00C60B5F"/>
    <w:rsid w:val="00C61D02"/>
    <w:rsid w:val="00C61EFB"/>
    <w:rsid w:val="00C6237D"/>
    <w:rsid w:val="00C627EB"/>
    <w:rsid w:val="00C6285E"/>
    <w:rsid w:val="00C628D8"/>
    <w:rsid w:val="00C62BAF"/>
    <w:rsid w:val="00C6332E"/>
    <w:rsid w:val="00C635D3"/>
    <w:rsid w:val="00C63B8D"/>
    <w:rsid w:val="00C63C74"/>
    <w:rsid w:val="00C63DF3"/>
    <w:rsid w:val="00C63F42"/>
    <w:rsid w:val="00C64119"/>
    <w:rsid w:val="00C6626D"/>
    <w:rsid w:val="00C673D7"/>
    <w:rsid w:val="00C67F59"/>
    <w:rsid w:val="00C70170"/>
    <w:rsid w:val="00C7086E"/>
    <w:rsid w:val="00C708FF"/>
    <w:rsid w:val="00C70E0C"/>
    <w:rsid w:val="00C71550"/>
    <w:rsid w:val="00C71E51"/>
    <w:rsid w:val="00C71F41"/>
    <w:rsid w:val="00C72914"/>
    <w:rsid w:val="00C72E42"/>
    <w:rsid w:val="00C7355F"/>
    <w:rsid w:val="00C74246"/>
    <w:rsid w:val="00C748FA"/>
    <w:rsid w:val="00C74ADC"/>
    <w:rsid w:val="00C74C54"/>
    <w:rsid w:val="00C75231"/>
    <w:rsid w:val="00C75585"/>
    <w:rsid w:val="00C75FC4"/>
    <w:rsid w:val="00C76574"/>
    <w:rsid w:val="00C81A68"/>
    <w:rsid w:val="00C822A2"/>
    <w:rsid w:val="00C823DB"/>
    <w:rsid w:val="00C82419"/>
    <w:rsid w:val="00C82A9A"/>
    <w:rsid w:val="00C83D48"/>
    <w:rsid w:val="00C83EDB"/>
    <w:rsid w:val="00C84D2D"/>
    <w:rsid w:val="00C858D8"/>
    <w:rsid w:val="00C866DC"/>
    <w:rsid w:val="00C8680D"/>
    <w:rsid w:val="00C86EBB"/>
    <w:rsid w:val="00C90E27"/>
    <w:rsid w:val="00C91664"/>
    <w:rsid w:val="00C9263A"/>
    <w:rsid w:val="00C92894"/>
    <w:rsid w:val="00C93337"/>
    <w:rsid w:val="00C952AE"/>
    <w:rsid w:val="00C955AC"/>
    <w:rsid w:val="00C96B52"/>
    <w:rsid w:val="00C96D1D"/>
    <w:rsid w:val="00C972BF"/>
    <w:rsid w:val="00C978D1"/>
    <w:rsid w:val="00C97B27"/>
    <w:rsid w:val="00CA096B"/>
    <w:rsid w:val="00CA159F"/>
    <w:rsid w:val="00CA1BD3"/>
    <w:rsid w:val="00CA2490"/>
    <w:rsid w:val="00CA2517"/>
    <w:rsid w:val="00CA2716"/>
    <w:rsid w:val="00CA3D6E"/>
    <w:rsid w:val="00CA407F"/>
    <w:rsid w:val="00CA4B94"/>
    <w:rsid w:val="00CA4E6A"/>
    <w:rsid w:val="00CA5F5B"/>
    <w:rsid w:val="00CA6AC8"/>
    <w:rsid w:val="00CA7D22"/>
    <w:rsid w:val="00CB0275"/>
    <w:rsid w:val="00CB0897"/>
    <w:rsid w:val="00CB1819"/>
    <w:rsid w:val="00CB1A11"/>
    <w:rsid w:val="00CB26EA"/>
    <w:rsid w:val="00CB2A5A"/>
    <w:rsid w:val="00CB2E21"/>
    <w:rsid w:val="00CB2EDB"/>
    <w:rsid w:val="00CB383B"/>
    <w:rsid w:val="00CB3B20"/>
    <w:rsid w:val="00CB4008"/>
    <w:rsid w:val="00CB4045"/>
    <w:rsid w:val="00CB423C"/>
    <w:rsid w:val="00CB4F83"/>
    <w:rsid w:val="00CB5427"/>
    <w:rsid w:val="00CB580A"/>
    <w:rsid w:val="00CB6907"/>
    <w:rsid w:val="00CB716D"/>
    <w:rsid w:val="00CB7DE3"/>
    <w:rsid w:val="00CC02EB"/>
    <w:rsid w:val="00CC0611"/>
    <w:rsid w:val="00CC0B8A"/>
    <w:rsid w:val="00CC12C0"/>
    <w:rsid w:val="00CC1645"/>
    <w:rsid w:val="00CC2545"/>
    <w:rsid w:val="00CC3F5A"/>
    <w:rsid w:val="00CC5A5C"/>
    <w:rsid w:val="00CC6F9C"/>
    <w:rsid w:val="00CC72BD"/>
    <w:rsid w:val="00CC74B5"/>
    <w:rsid w:val="00CC75A7"/>
    <w:rsid w:val="00CC7D3C"/>
    <w:rsid w:val="00CD23B1"/>
    <w:rsid w:val="00CD255E"/>
    <w:rsid w:val="00CD32F1"/>
    <w:rsid w:val="00CD3499"/>
    <w:rsid w:val="00CD3B6C"/>
    <w:rsid w:val="00CD4078"/>
    <w:rsid w:val="00CD413B"/>
    <w:rsid w:val="00CD4626"/>
    <w:rsid w:val="00CD5214"/>
    <w:rsid w:val="00CD605E"/>
    <w:rsid w:val="00CD6253"/>
    <w:rsid w:val="00CD6D3E"/>
    <w:rsid w:val="00CD761D"/>
    <w:rsid w:val="00CD7A89"/>
    <w:rsid w:val="00CD7AB6"/>
    <w:rsid w:val="00CD7F8B"/>
    <w:rsid w:val="00CE009C"/>
    <w:rsid w:val="00CE0326"/>
    <w:rsid w:val="00CE086F"/>
    <w:rsid w:val="00CE11B1"/>
    <w:rsid w:val="00CE2BD5"/>
    <w:rsid w:val="00CE33AF"/>
    <w:rsid w:val="00CE3B7A"/>
    <w:rsid w:val="00CE5019"/>
    <w:rsid w:val="00CE56A7"/>
    <w:rsid w:val="00CE5A5C"/>
    <w:rsid w:val="00CE5FA3"/>
    <w:rsid w:val="00CE624D"/>
    <w:rsid w:val="00CE6CDD"/>
    <w:rsid w:val="00CE6F40"/>
    <w:rsid w:val="00CE7CF5"/>
    <w:rsid w:val="00CE7F88"/>
    <w:rsid w:val="00CF0127"/>
    <w:rsid w:val="00CF02E3"/>
    <w:rsid w:val="00CF0927"/>
    <w:rsid w:val="00CF149E"/>
    <w:rsid w:val="00CF17A7"/>
    <w:rsid w:val="00CF20BB"/>
    <w:rsid w:val="00CF221E"/>
    <w:rsid w:val="00CF3360"/>
    <w:rsid w:val="00CF41AD"/>
    <w:rsid w:val="00CF4CEE"/>
    <w:rsid w:val="00CF56D2"/>
    <w:rsid w:val="00CF5760"/>
    <w:rsid w:val="00CF5C25"/>
    <w:rsid w:val="00CF5FE7"/>
    <w:rsid w:val="00CF6113"/>
    <w:rsid w:val="00CF6855"/>
    <w:rsid w:val="00CF7682"/>
    <w:rsid w:val="00CF7C62"/>
    <w:rsid w:val="00CF7FCF"/>
    <w:rsid w:val="00D0010A"/>
    <w:rsid w:val="00D02370"/>
    <w:rsid w:val="00D03591"/>
    <w:rsid w:val="00D0401F"/>
    <w:rsid w:val="00D04648"/>
    <w:rsid w:val="00D05B37"/>
    <w:rsid w:val="00D070E7"/>
    <w:rsid w:val="00D075FB"/>
    <w:rsid w:val="00D07F4E"/>
    <w:rsid w:val="00D1076F"/>
    <w:rsid w:val="00D10969"/>
    <w:rsid w:val="00D10CBA"/>
    <w:rsid w:val="00D10CE1"/>
    <w:rsid w:val="00D111AB"/>
    <w:rsid w:val="00D1198B"/>
    <w:rsid w:val="00D12FC2"/>
    <w:rsid w:val="00D149AA"/>
    <w:rsid w:val="00D15617"/>
    <w:rsid w:val="00D15893"/>
    <w:rsid w:val="00D16073"/>
    <w:rsid w:val="00D16549"/>
    <w:rsid w:val="00D172DE"/>
    <w:rsid w:val="00D2087C"/>
    <w:rsid w:val="00D21AE7"/>
    <w:rsid w:val="00D222CE"/>
    <w:rsid w:val="00D23473"/>
    <w:rsid w:val="00D23F74"/>
    <w:rsid w:val="00D24538"/>
    <w:rsid w:val="00D24A84"/>
    <w:rsid w:val="00D253FE"/>
    <w:rsid w:val="00D25A49"/>
    <w:rsid w:val="00D25CE7"/>
    <w:rsid w:val="00D262ED"/>
    <w:rsid w:val="00D26393"/>
    <w:rsid w:val="00D2739C"/>
    <w:rsid w:val="00D27647"/>
    <w:rsid w:val="00D304A3"/>
    <w:rsid w:val="00D315E9"/>
    <w:rsid w:val="00D31933"/>
    <w:rsid w:val="00D31DB7"/>
    <w:rsid w:val="00D323DD"/>
    <w:rsid w:val="00D32F5B"/>
    <w:rsid w:val="00D3356B"/>
    <w:rsid w:val="00D338B6"/>
    <w:rsid w:val="00D3421F"/>
    <w:rsid w:val="00D34FEE"/>
    <w:rsid w:val="00D3501C"/>
    <w:rsid w:val="00D35D04"/>
    <w:rsid w:val="00D36D20"/>
    <w:rsid w:val="00D406E9"/>
    <w:rsid w:val="00D41520"/>
    <w:rsid w:val="00D43297"/>
    <w:rsid w:val="00D43496"/>
    <w:rsid w:val="00D44ECE"/>
    <w:rsid w:val="00D45BEE"/>
    <w:rsid w:val="00D45C9D"/>
    <w:rsid w:val="00D45E11"/>
    <w:rsid w:val="00D46117"/>
    <w:rsid w:val="00D46213"/>
    <w:rsid w:val="00D46C7C"/>
    <w:rsid w:val="00D47AC7"/>
    <w:rsid w:val="00D503F7"/>
    <w:rsid w:val="00D50F91"/>
    <w:rsid w:val="00D512DF"/>
    <w:rsid w:val="00D52310"/>
    <w:rsid w:val="00D52C55"/>
    <w:rsid w:val="00D5344E"/>
    <w:rsid w:val="00D5346A"/>
    <w:rsid w:val="00D53815"/>
    <w:rsid w:val="00D5398F"/>
    <w:rsid w:val="00D5483E"/>
    <w:rsid w:val="00D55927"/>
    <w:rsid w:val="00D56740"/>
    <w:rsid w:val="00D57F83"/>
    <w:rsid w:val="00D60402"/>
    <w:rsid w:val="00D6040E"/>
    <w:rsid w:val="00D606AC"/>
    <w:rsid w:val="00D60EBF"/>
    <w:rsid w:val="00D60EF0"/>
    <w:rsid w:val="00D61250"/>
    <w:rsid w:val="00D61780"/>
    <w:rsid w:val="00D61A44"/>
    <w:rsid w:val="00D62529"/>
    <w:rsid w:val="00D62607"/>
    <w:rsid w:val="00D626CD"/>
    <w:rsid w:val="00D6309E"/>
    <w:rsid w:val="00D64391"/>
    <w:rsid w:val="00D64A2B"/>
    <w:rsid w:val="00D64C17"/>
    <w:rsid w:val="00D7025D"/>
    <w:rsid w:val="00D705A5"/>
    <w:rsid w:val="00D71ABC"/>
    <w:rsid w:val="00D71F36"/>
    <w:rsid w:val="00D7337D"/>
    <w:rsid w:val="00D73898"/>
    <w:rsid w:val="00D75888"/>
    <w:rsid w:val="00D759CD"/>
    <w:rsid w:val="00D75DF1"/>
    <w:rsid w:val="00D75F9E"/>
    <w:rsid w:val="00D763BD"/>
    <w:rsid w:val="00D76C32"/>
    <w:rsid w:val="00D80018"/>
    <w:rsid w:val="00D80195"/>
    <w:rsid w:val="00D80D78"/>
    <w:rsid w:val="00D818BB"/>
    <w:rsid w:val="00D82084"/>
    <w:rsid w:val="00D828B5"/>
    <w:rsid w:val="00D82BE2"/>
    <w:rsid w:val="00D83844"/>
    <w:rsid w:val="00D84EA3"/>
    <w:rsid w:val="00D8502F"/>
    <w:rsid w:val="00D85663"/>
    <w:rsid w:val="00D85758"/>
    <w:rsid w:val="00D860B2"/>
    <w:rsid w:val="00D86C5B"/>
    <w:rsid w:val="00D87696"/>
    <w:rsid w:val="00D879FE"/>
    <w:rsid w:val="00D90076"/>
    <w:rsid w:val="00D90612"/>
    <w:rsid w:val="00D906C9"/>
    <w:rsid w:val="00D918F4"/>
    <w:rsid w:val="00D91B77"/>
    <w:rsid w:val="00D91FAD"/>
    <w:rsid w:val="00D922E5"/>
    <w:rsid w:val="00D9262B"/>
    <w:rsid w:val="00D927D3"/>
    <w:rsid w:val="00D92B03"/>
    <w:rsid w:val="00D93B5F"/>
    <w:rsid w:val="00D94690"/>
    <w:rsid w:val="00D95DD3"/>
    <w:rsid w:val="00D95DF6"/>
    <w:rsid w:val="00D96A16"/>
    <w:rsid w:val="00D971CC"/>
    <w:rsid w:val="00D973A4"/>
    <w:rsid w:val="00D97579"/>
    <w:rsid w:val="00DA00B5"/>
    <w:rsid w:val="00DA19F7"/>
    <w:rsid w:val="00DA2380"/>
    <w:rsid w:val="00DA2E2F"/>
    <w:rsid w:val="00DA3435"/>
    <w:rsid w:val="00DA360E"/>
    <w:rsid w:val="00DA3992"/>
    <w:rsid w:val="00DA441D"/>
    <w:rsid w:val="00DA5805"/>
    <w:rsid w:val="00DA60E9"/>
    <w:rsid w:val="00DA6DF5"/>
    <w:rsid w:val="00DA6F4F"/>
    <w:rsid w:val="00DA7889"/>
    <w:rsid w:val="00DA7D14"/>
    <w:rsid w:val="00DB02DC"/>
    <w:rsid w:val="00DB141B"/>
    <w:rsid w:val="00DB1B12"/>
    <w:rsid w:val="00DB1D29"/>
    <w:rsid w:val="00DB1FC5"/>
    <w:rsid w:val="00DB21AE"/>
    <w:rsid w:val="00DB258A"/>
    <w:rsid w:val="00DB2759"/>
    <w:rsid w:val="00DB3822"/>
    <w:rsid w:val="00DB3E49"/>
    <w:rsid w:val="00DB5A65"/>
    <w:rsid w:val="00DB5AE1"/>
    <w:rsid w:val="00DB5CCE"/>
    <w:rsid w:val="00DB7250"/>
    <w:rsid w:val="00DC1E9D"/>
    <w:rsid w:val="00DC37D4"/>
    <w:rsid w:val="00DC40F0"/>
    <w:rsid w:val="00DC44FC"/>
    <w:rsid w:val="00DC6ED4"/>
    <w:rsid w:val="00DC73E7"/>
    <w:rsid w:val="00DC75A5"/>
    <w:rsid w:val="00DC7AAC"/>
    <w:rsid w:val="00DD1272"/>
    <w:rsid w:val="00DD138B"/>
    <w:rsid w:val="00DD1CA3"/>
    <w:rsid w:val="00DD2732"/>
    <w:rsid w:val="00DD3D9A"/>
    <w:rsid w:val="00DD6D8A"/>
    <w:rsid w:val="00DD7A63"/>
    <w:rsid w:val="00DE0211"/>
    <w:rsid w:val="00DE03CF"/>
    <w:rsid w:val="00DE0A84"/>
    <w:rsid w:val="00DE0BA3"/>
    <w:rsid w:val="00DE0FB5"/>
    <w:rsid w:val="00DE19EC"/>
    <w:rsid w:val="00DE1E6E"/>
    <w:rsid w:val="00DE24C2"/>
    <w:rsid w:val="00DE2876"/>
    <w:rsid w:val="00DE3A25"/>
    <w:rsid w:val="00DE454E"/>
    <w:rsid w:val="00DE52FC"/>
    <w:rsid w:val="00DE5AF0"/>
    <w:rsid w:val="00DE63D9"/>
    <w:rsid w:val="00DE692D"/>
    <w:rsid w:val="00DE6A77"/>
    <w:rsid w:val="00DE71A4"/>
    <w:rsid w:val="00DF0158"/>
    <w:rsid w:val="00DF0F7B"/>
    <w:rsid w:val="00DF17F4"/>
    <w:rsid w:val="00DF1E32"/>
    <w:rsid w:val="00DF203E"/>
    <w:rsid w:val="00DF22CA"/>
    <w:rsid w:val="00DF2472"/>
    <w:rsid w:val="00DF252A"/>
    <w:rsid w:val="00DF2D00"/>
    <w:rsid w:val="00DF3959"/>
    <w:rsid w:val="00DF67E9"/>
    <w:rsid w:val="00DF6A04"/>
    <w:rsid w:val="00DF6A69"/>
    <w:rsid w:val="00DF76AE"/>
    <w:rsid w:val="00DF7FF8"/>
    <w:rsid w:val="00E01632"/>
    <w:rsid w:val="00E01A2D"/>
    <w:rsid w:val="00E01F28"/>
    <w:rsid w:val="00E02707"/>
    <w:rsid w:val="00E045E0"/>
    <w:rsid w:val="00E04D09"/>
    <w:rsid w:val="00E04F04"/>
    <w:rsid w:val="00E0500D"/>
    <w:rsid w:val="00E0500F"/>
    <w:rsid w:val="00E05569"/>
    <w:rsid w:val="00E05818"/>
    <w:rsid w:val="00E05BA7"/>
    <w:rsid w:val="00E05D94"/>
    <w:rsid w:val="00E067A6"/>
    <w:rsid w:val="00E06A8B"/>
    <w:rsid w:val="00E0712F"/>
    <w:rsid w:val="00E1054F"/>
    <w:rsid w:val="00E10810"/>
    <w:rsid w:val="00E10C3F"/>
    <w:rsid w:val="00E10C9F"/>
    <w:rsid w:val="00E11B2B"/>
    <w:rsid w:val="00E123A5"/>
    <w:rsid w:val="00E124E9"/>
    <w:rsid w:val="00E12813"/>
    <w:rsid w:val="00E14AEF"/>
    <w:rsid w:val="00E14F6B"/>
    <w:rsid w:val="00E14FFD"/>
    <w:rsid w:val="00E15446"/>
    <w:rsid w:val="00E16401"/>
    <w:rsid w:val="00E16CF4"/>
    <w:rsid w:val="00E173C8"/>
    <w:rsid w:val="00E1758F"/>
    <w:rsid w:val="00E17AAC"/>
    <w:rsid w:val="00E17B00"/>
    <w:rsid w:val="00E17E2F"/>
    <w:rsid w:val="00E20187"/>
    <w:rsid w:val="00E20968"/>
    <w:rsid w:val="00E20B3F"/>
    <w:rsid w:val="00E20C10"/>
    <w:rsid w:val="00E2104A"/>
    <w:rsid w:val="00E216F5"/>
    <w:rsid w:val="00E21927"/>
    <w:rsid w:val="00E21C43"/>
    <w:rsid w:val="00E22D14"/>
    <w:rsid w:val="00E22F64"/>
    <w:rsid w:val="00E230EB"/>
    <w:rsid w:val="00E2353D"/>
    <w:rsid w:val="00E235C7"/>
    <w:rsid w:val="00E23FA5"/>
    <w:rsid w:val="00E24EDA"/>
    <w:rsid w:val="00E30F2E"/>
    <w:rsid w:val="00E311E1"/>
    <w:rsid w:val="00E317E1"/>
    <w:rsid w:val="00E3219A"/>
    <w:rsid w:val="00E3272C"/>
    <w:rsid w:val="00E33CE4"/>
    <w:rsid w:val="00E344ED"/>
    <w:rsid w:val="00E347F4"/>
    <w:rsid w:val="00E34AB9"/>
    <w:rsid w:val="00E350DD"/>
    <w:rsid w:val="00E3511A"/>
    <w:rsid w:val="00E356B3"/>
    <w:rsid w:val="00E358AB"/>
    <w:rsid w:val="00E35D88"/>
    <w:rsid w:val="00E364F6"/>
    <w:rsid w:val="00E369BB"/>
    <w:rsid w:val="00E36E5E"/>
    <w:rsid w:val="00E379D8"/>
    <w:rsid w:val="00E37EF5"/>
    <w:rsid w:val="00E41144"/>
    <w:rsid w:val="00E4159E"/>
    <w:rsid w:val="00E41897"/>
    <w:rsid w:val="00E42FCE"/>
    <w:rsid w:val="00E43B24"/>
    <w:rsid w:val="00E443FB"/>
    <w:rsid w:val="00E44DF1"/>
    <w:rsid w:val="00E45DD2"/>
    <w:rsid w:val="00E45F33"/>
    <w:rsid w:val="00E46A06"/>
    <w:rsid w:val="00E46B17"/>
    <w:rsid w:val="00E46C0B"/>
    <w:rsid w:val="00E47D9A"/>
    <w:rsid w:val="00E50273"/>
    <w:rsid w:val="00E50886"/>
    <w:rsid w:val="00E51D8A"/>
    <w:rsid w:val="00E51D99"/>
    <w:rsid w:val="00E525CD"/>
    <w:rsid w:val="00E5295C"/>
    <w:rsid w:val="00E52E04"/>
    <w:rsid w:val="00E52FEA"/>
    <w:rsid w:val="00E531B0"/>
    <w:rsid w:val="00E53251"/>
    <w:rsid w:val="00E5354E"/>
    <w:rsid w:val="00E53C8C"/>
    <w:rsid w:val="00E53D10"/>
    <w:rsid w:val="00E54A29"/>
    <w:rsid w:val="00E5547F"/>
    <w:rsid w:val="00E5582A"/>
    <w:rsid w:val="00E55C74"/>
    <w:rsid w:val="00E56051"/>
    <w:rsid w:val="00E56954"/>
    <w:rsid w:val="00E56C05"/>
    <w:rsid w:val="00E5761B"/>
    <w:rsid w:val="00E577EE"/>
    <w:rsid w:val="00E57A6E"/>
    <w:rsid w:val="00E60D79"/>
    <w:rsid w:val="00E60EF8"/>
    <w:rsid w:val="00E6167B"/>
    <w:rsid w:val="00E618CC"/>
    <w:rsid w:val="00E61B97"/>
    <w:rsid w:val="00E6297C"/>
    <w:rsid w:val="00E63499"/>
    <w:rsid w:val="00E63BE0"/>
    <w:rsid w:val="00E647BB"/>
    <w:rsid w:val="00E64F2C"/>
    <w:rsid w:val="00E651B6"/>
    <w:rsid w:val="00E652E1"/>
    <w:rsid w:val="00E670B0"/>
    <w:rsid w:val="00E70E8A"/>
    <w:rsid w:val="00E71F9A"/>
    <w:rsid w:val="00E7216C"/>
    <w:rsid w:val="00E7248C"/>
    <w:rsid w:val="00E72CAE"/>
    <w:rsid w:val="00E74746"/>
    <w:rsid w:val="00E74B29"/>
    <w:rsid w:val="00E750FB"/>
    <w:rsid w:val="00E752E1"/>
    <w:rsid w:val="00E75595"/>
    <w:rsid w:val="00E757FA"/>
    <w:rsid w:val="00E7588C"/>
    <w:rsid w:val="00E76068"/>
    <w:rsid w:val="00E76408"/>
    <w:rsid w:val="00E766B3"/>
    <w:rsid w:val="00E77FE6"/>
    <w:rsid w:val="00E813C1"/>
    <w:rsid w:val="00E81726"/>
    <w:rsid w:val="00E81BB7"/>
    <w:rsid w:val="00E82036"/>
    <w:rsid w:val="00E8272B"/>
    <w:rsid w:val="00E82C7F"/>
    <w:rsid w:val="00E82DDE"/>
    <w:rsid w:val="00E8367B"/>
    <w:rsid w:val="00E836A6"/>
    <w:rsid w:val="00E83704"/>
    <w:rsid w:val="00E83781"/>
    <w:rsid w:val="00E83962"/>
    <w:rsid w:val="00E84178"/>
    <w:rsid w:val="00E85676"/>
    <w:rsid w:val="00E858D0"/>
    <w:rsid w:val="00E860DA"/>
    <w:rsid w:val="00E862FD"/>
    <w:rsid w:val="00E86573"/>
    <w:rsid w:val="00E86C98"/>
    <w:rsid w:val="00E871E5"/>
    <w:rsid w:val="00E877FE"/>
    <w:rsid w:val="00E879E5"/>
    <w:rsid w:val="00E90839"/>
    <w:rsid w:val="00E90D07"/>
    <w:rsid w:val="00E913AF"/>
    <w:rsid w:val="00E9179D"/>
    <w:rsid w:val="00E91D67"/>
    <w:rsid w:val="00E91DA1"/>
    <w:rsid w:val="00E91E86"/>
    <w:rsid w:val="00E9271E"/>
    <w:rsid w:val="00E928FA"/>
    <w:rsid w:val="00E93505"/>
    <w:rsid w:val="00E94000"/>
    <w:rsid w:val="00E94C26"/>
    <w:rsid w:val="00E94CCB"/>
    <w:rsid w:val="00E95027"/>
    <w:rsid w:val="00E95366"/>
    <w:rsid w:val="00E9570E"/>
    <w:rsid w:val="00E9583B"/>
    <w:rsid w:val="00E95A66"/>
    <w:rsid w:val="00E95C2F"/>
    <w:rsid w:val="00E95E58"/>
    <w:rsid w:val="00E96516"/>
    <w:rsid w:val="00E96E9D"/>
    <w:rsid w:val="00E97276"/>
    <w:rsid w:val="00E9792F"/>
    <w:rsid w:val="00E97D0C"/>
    <w:rsid w:val="00EA01EC"/>
    <w:rsid w:val="00EA01F8"/>
    <w:rsid w:val="00EA112B"/>
    <w:rsid w:val="00EA1C27"/>
    <w:rsid w:val="00EA24C2"/>
    <w:rsid w:val="00EA280A"/>
    <w:rsid w:val="00EA2C07"/>
    <w:rsid w:val="00EA36CF"/>
    <w:rsid w:val="00EA3B2C"/>
    <w:rsid w:val="00EA51F9"/>
    <w:rsid w:val="00EA5651"/>
    <w:rsid w:val="00EA5DF0"/>
    <w:rsid w:val="00EB001B"/>
    <w:rsid w:val="00EB0452"/>
    <w:rsid w:val="00EB09E2"/>
    <w:rsid w:val="00EB1411"/>
    <w:rsid w:val="00EB15EE"/>
    <w:rsid w:val="00EB196E"/>
    <w:rsid w:val="00EB2068"/>
    <w:rsid w:val="00EB4140"/>
    <w:rsid w:val="00EB416A"/>
    <w:rsid w:val="00EB54B9"/>
    <w:rsid w:val="00EB5E76"/>
    <w:rsid w:val="00EB5FB2"/>
    <w:rsid w:val="00EB61D6"/>
    <w:rsid w:val="00EB6311"/>
    <w:rsid w:val="00EB6783"/>
    <w:rsid w:val="00EC0B69"/>
    <w:rsid w:val="00EC14A1"/>
    <w:rsid w:val="00EC299A"/>
    <w:rsid w:val="00EC38FB"/>
    <w:rsid w:val="00EC4CEE"/>
    <w:rsid w:val="00EC5847"/>
    <w:rsid w:val="00EC5CB6"/>
    <w:rsid w:val="00EC5EB0"/>
    <w:rsid w:val="00EC68C6"/>
    <w:rsid w:val="00EC6A8B"/>
    <w:rsid w:val="00EC7B2A"/>
    <w:rsid w:val="00EC7F9B"/>
    <w:rsid w:val="00ED06A8"/>
    <w:rsid w:val="00ED0E7E"/>
    <w:rsid w:val="00ED12FC"/>
    <w:rsid w:val="00ED1397"/>
    <w:rsid w:val="00ED1695"/>
    <w:rsid w:val="00ED1EBE"/>
    <w:rsid w:val="00ED1F3D"/>
    <w:rsid w:val="00ED2E6D"/>
    <w:rsid w:val="00ED3E1C"/>
    <w:rsid w:val="00ED6C08"/>
    <w:rsid w:val="00ED70C9"/>
    <w:rsid w:val="00ED7810"/>
    <w:rsid w:val="00ED7A82"/>
    <w:rsid w:val="00ED7C3A"/>
    <w:rsid w:val="00EE0312"/>
    <w:rsid w:val="00EE1132"/>
    <w:rsid w:val="00EE19F5"/>
    <w:rsid w:val="00EE1B85"/>
    <w:rsid w:val="00EE2AA2"/>
    <w:rsid w:val="00EE49B3"/>
    <w:rsid w:val="00EE4CB8"/>
    <w:rsid w:val="00EE64DE"/>
    <w:rsid w:val="00EE6563"/>
    <w:rsid w:val="00EE6979"/>
    <w:rsid w:val="00EE73BB"/>
    <w:rsid w:val="00EE7DBE"/>
    <w:rsid w:val="00EF1946"/>
    <w:rsid w:val="00EF2078"/>
    <w:rsid w:val="00EF27B3"/>
    <w:rsid w:val="00EF2AAB"/>
    <w:rsid w:val="00EF3B33"/>
    <w:rsid w:val="00EF407E"/>
    <w:rsid w:val="00EF6740"/>
    <w:rsid w:val="00EF6B9B"/>
    <w:rsid w:val="00EF6D84"/>
    <w:rsid w:val="00EF74A9"/>
    <w:rsid w:val="00EF770B"/>
    <w:rsid w:val="00EF7CC7"/>
    <w:rsid w:val="00EF7D63"/>
    <w:rsid w:val="00F008E4"/>
    <w:rsid w:val="00F00920"/>
    <w:rsid w:val="00F00950"/>
    <w:rsid w:val="00F019A2"/>
    <w:rsid w:val="00F01BF1"/>
    <w:rsid w:val="00F02ED2"/>
    <w:rsid w:val="00F03570"/>
    <w:rsid w:val="00F0473E"/>
    <w:rsid w:val="00F047CA"/>
    <w:rsid w:val="00F051D3"/>
    <w:rsid w:val="00F0538C"/>
    <w:rsid w:val="00F075A6"/>
    <w:rsid w:val="00F07F69"/>
    <w:rsid w:val="00F109D1"/>
    <w:rsid w:val="00F10DDB"/>
    <w:rsid w:val="00F11300"/>
    <w:rsid w:val="00F118B0"/>
    <w:rsid w:val="00F11D79"/>
    <w:rsid w:val="00F12772"/>
    <w:rsid w:val="00F135D6"/>
    <w:rsid w:val="00F13D9B"/>
    <w:rsid w:val="00F14EE0"/>
    <w:rsid w:val="00F150D2"/>
    <w:rsid w:val="00F1586C"/>
    <w:rsid w:val="00F16311"/>
    <w:rsid w:val="00F164FE"/>
    <w:rsid w:val="00F171D7"/>
    <w:rsid w:val="00F1751D"/>
    <w:rsid w:val="00F208D5"/>
    <w:rsid w:val="00F2152A"/>
    <w:rsid w:val="00F225D6"/>
    <w:rsid w:val="00F22BDE"/>
    <w:rsid w:val="00F23C39"/>
    <w:rsid w:val="00F2406F"/>
    <w:rsid w:val="00F24D56"/>
    <w:rsid w:val="00F24F27"/>
    <w:rsid w:val="00F25974"/>
    <w:rsid w:val="00F25C2D"/>
    <w:rsid w:val="00F26265"/>
    <w:rsid w:val="00F264B7"/>
    <w:rsid w:val="00F2677C"/>
    <w:rsid w:val="00F27689"/>
    <w:rsid w:val="00F27DC1"/>
    <w:rsid w:val="00F3172C"/>
    <w:rsid w:val="00F3196F"/>
    <w:rsid w:val="00F32A84"/>
    <w:rsid w:val="00F32C9F"/>
    <w:rsid w:val="00F33783"/>
    <w:rsid w:val="00F337DE"/>
    <w:rsid w:val="00F343E6"/>
    <w:rsid w:val="00F345CC"/>
    <w:rsid w:val="00F34F4B"/>
    <w:rsid w:val="00F3523E"/>
    <w:rsid w:val="00F35E22"/>
    <w:rsid w:val="00F37450"/>
    <w:rsid w:val="00F376E1"/>
    <w:rsid w:val="00F37780"/>
    <w:rsid w:val="00F377F4"/>
    <w:rsid w:val="00F37DDE"/>
    <w:rsid w:val="00F40D92"/>
    <w:rsid w:val="00F40F59"/>
    <w:rsid w:val="00F411E0"/>
    <w:rsid w:val="00F41437"/>
    <w:rsid w:val="00F41781"/>
    <w:rsid w:val="00F41868"/>
    <w:rsid w:val="00F428D0"/>
    <w:rsid w:val="00F428E3"/>
    <w:rsid w:val="00F431B8"/>
    <w:rsid w:val="00F43498"/>
    <w:rsid w:val="00F44223"/>
    <w:rsid w:val="00F44C3C"/>
    <w:rsid w:val="00F45602"/>
    <w:rsid w:val="00F46289"/>
    <w:rsid w:val="00F4636E"/>
    <w:rsid w:val="00F465F3"/>
    <w:rsid w:val="00F46DBD"/>
    <w:rsid w:val="00F47A6B"/>
    <w:rsid w:val="00F50297"/>
    <w:rsid w:val="00F507B3"/>
    <w:rsid w:val="00F509FE"/>
    <w:rsid w:val="00F50AB7"/>
    <w:rsid w:val="00F51AE8"/>
    <w:rsid w:val="00F51F46"/>
    <w:rsid w:val="00F523C1"/>
    <w:rsid w:val="00F53273"/>
    <w:rsid w:val="00F54313"/>
    <w:rsid w:val="00F54C1F"/>
    <w:rsid w:val="00F554F2"/>
    <w:rsid w:val="00F55528"/>
    <w:rsid w:val="00F600D2"/>
    <w:rsid w:val="00F609AD"/>
    <w:rsid w:val="00F60F12"/>
    <w:rsid w:val="00F62389"/>
    <w:rsid w:val="00F62DF3"/>
    <w:rsid w:val="00F63F41"/>
    <w:rsid w:val="00F700C0"/>
    <w:rsid w:val="00F70584"/>
    <w:rsid w:val="00F706D3"/>
    <w:rsid w:val="00F71194"/>
    <w:rsid w:val="00F71908"/>
    <w:rsid w:val="00F71C5D"/>
    <w:rsid w:val="00F722F6"/>
    <w:rsid w:val="00F729C2"/>
    <w:rsid w:val="00F7452F"/>
    <w:rsid w:val="00F74760"/>
    <w:rsid w:val="00F74A1A"/>
    <w:rsid w:val="00F751AD"/>
    <w:rsid w:val="00F7565B"/>
    <w:rsid w:val="00F75AAC"/>
    <w:rsid w:val="00F75CD0"/>
    <w:rsid w:val="00F761B8"/>
    <w:rsid w:val="00F7620D"/>
    <w:rsid w:val="00F76F38"/>
    <w:rsid w:val="00F77005"/>
    <w:rsid w:val="00F7772C"/>
    <w:rsid w:val="00F779AE"/>
    <w:rsid w:val="00F77C97"/>
    <w:rsid w:val="00F80385"/>
    <w:rsid w:val="00F805C7"/>
    <w:rsid w:val="00F82342"/>
    <w:rsid w:val="00F825D8"/>
    <w:rsid w:val="00F82D3D"/>
    <w:rsid w:val="00F831E1"/>
    <w:rsid w:val="00F83428"/>
    <w:rsid w:val="00F83688"/>
    <w:rsid w:val="00F83A8F"/>
    <w:rsid w:val="00F848A2"/>
    <w:rsid w:val="00F848B8"/>
    <w:rsid w:val="00F84F63"/>
    <w:rsid w:val="00F85907"/>
    <w:rsid w:val="00F8608A"/>
    <w:rsid w:val="00F874A9"/>
    <w:rsid w:val="00F875EF"/>
    <w:rsid w:val="00F87EF2"/>
    <w:rsid w:val="00F900C4"/>
    <w:rsid w:val="00F90149"/>
    <w:rsid w:val="00F91AF5"/>
    <w:rsid w:val="00F925F3"/>
    <w:rsid w:val="00F93064"/>
    <w:rsid w:val="00F93EB1"/>
    <w:rsid w:val="00F9429F"/>
    <w:rsid w:val="00F94851"/>
    <w:rsid w:val="00F94EEA"/>
    <w:rsid w:val="00F95C30"/>
    <w:rsid w:val="00F97104"/>
    <w:rsid w:val="00F979E0"/>
    <w:rsid w:val="00F97C8B"/>
    <w:rsid w:val="00F97F94"/>
    <w:rsid w:val="00FA024A"/>
    <w:rsid w:val="00FA0752"/>
    <w:rsid w:val="00FA0B89"/>
    <w:rsid w:val="00FA13E0"/>
    <w:rsid w:val="00FA17C4"/>
    <w:rsid w:val="00FA2BB1"/>
    <w:rsid w:val="00FA3643"/>
    <w:rsid w:val="00FA3FCF"/>
    <w:rsid w:val="00FA4118"/>
    <w:rsid w:val="00FA4754"/>
    <w:rsid w:val="00FA4A00"/>
    <w:rsid w:val="00FA59DC"/>
    <w:rsid w:val="00FA6917"/>
    <w:rsid w:val="00FA79D7"/>
    <w:rsid w:val="00FB07E9"/>
    <w:rsid w:val="00FB0FB7"/>
    <w:rsid w:val="00FB34CD"/>
    <w:rsid w:val="00FB34F1"/>
    <w:rsid w:val="00FB4F39"/>
    <w:rsid w:val="00FB4F93"/>
    <w:rsid w:val="00FB547F"/>
    <w:rsid w:val="00FB5790"/>
    <w:rsid w:val="00FB7982"/>
    <w:rsid w:val="00FB7BFE"/>
    <w:rsid w:val="00FC0067"/>
    <w:rsid w:val="00FC0523"/>
    <w:rsid w:val="00FC0FCB"/>
    <w:rsid w:val="00FC106F"/>
    <w:rsid w:val="00FC124E"/>
    <w:rsid w:val="00FC2050"/>
    <w:rsid w:val="00FC27B6"/>
    <w:rsid w:val="00FC336A"/>
    <w:rsid w:val="00FC3531"/>
    <w:rsid w:val="00FC3618"/>
    <w:rsid w:val="00FC36BF"/>
    <w:rsid w:val="00FC39F9"/>
    <w:rsid w:val="00FC3CE7"/>
    <w:rsid w:val="00FC3E3D"/>
    <w:rsid w:val="00FC481D"/>
    <w:rsid w:val="00FC5218"/>
    <w:rsid w:val="00FC53EB"/>
    <w:rsid w:val="00FC60C3"/>
    <w:rsid w:val="00FC6200"/>
    <w:rsid w:val="00FC7072"/>
    <w:rsid w:val="00FC7E99"/>
    <w:rsid w:val="00FD07DE"/>
    <w:rsid w:val="00FD0BBF"/>
    <w:rsid w:val="00FD1629"/>
    <w:rsid w:val="00FD2153"/>
    <w:rsid w:val="00FD34AB"/>
    <w:rsid w:val="00FD48FC"/>
    <w:rsid w:val="00FD54C9"/>
    <w:rsid w:val="00FD6243"/>
    <w:rsid w:val="00FD6602"/>
    <w:rsid w:val="00FD7F16"/>
    <w:rsid w:val="00FE023A"/>
    <w:rsid w:val="00FE0399"/>
    <w:rsid w:val="00FE2578"/>
    <w:rsid w:val="00FE2E6D"/>
    <w:rsid w:val="00FE30FF"/>
    <w:rsid w:val="00FE3846"/>
    <w:rsid w:val="00FE4E96"/>
    <w:rsid w:val="00FE5FA6"/>
    <w:rsid w:val="00FE746D"/>
    <w:rsid w:val="00FE7DCC"/>
    <w:rsid w:val="00FF0469"/>
    <w:rsid w:val="00FF047F"/>
    <w:rsid w:val="00FF127A"/>
    <w:rsid w:val="00FF258A"/>
    <w:rsid w:val="00FF2953"/>
    <w:rsid w:val="00FF2FE5"/>
    <w:rsid w:val="00FF3498"/>
    <w:rsid w:val="00FF3A29"/>
    <w:rsid w:val="00FF3B41"/>
    <w:rsid w:val="00FF45BB"/>
    <w:rsid w:val="00FF4864"/>
    <w:rsid w:val="00FF6062"/>
    <w:rsid w:val="00FF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28DEA5"/>
  <w15:docId w15:val="{CBD6CD80-EC51-4BA8-8324-7C0C20C7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u w:color="000000"/>
      <w:lang w:val="en-GB"/>
    </w:rPr>
  </w:style>
  <w:style w:type="paragraph" w:styleId="Heading1">
    <w:name w:val="heading 1"/>
    <w:basedOn w:val="Normal"/>
    <w:next w:val="Normal"/>
    <w:link w:val="Heading1Char"/>
    <w:uiPriority w:val="9"/>
    <w:qFormat/>
    <w:rsid w:val="001D79CA"/>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375D3E"/>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pPr>
      <w:keepNext/>
      <w:spacing w:after="200" w:line="276" w:lineRule="auto"/>
      <w:outlineLvl w:val="2"/>
    </w:pPr>
    <w:rPr>
      <w:rFonts w:ascii="Arial Bold" w:eastAsia="Arial Bold" w:hAnsi="Arial Bold" w:cs="Arial Bold"/>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hAnsi="Arial Unicode MS" w:cs="Arial Unicode MS"/>
      <w:color w:val="000000"/>
      <w:u w:color="000000"/>
    </w:rPr>
  </w:style>
  <w:style w:type="paragraph" w:customStyle="1" w:styleId="Body1">
    <w:name w:val="Body 1"/>
    <w:rPr>
      <w:rFonts w:ascii="Helvetica" w:hAnsi="Arial Unicode MS" w:cs="Arial Unicode MS"/>
      <w:color w:val="000000"/>
      <w:u w:color="000000"/>
    </w:rPr>
  </w:style>
  <w:style w:type="paragraph" w:styleId="FootnoteText">
    <w:name w:val="footnote text"/>
    <w:link w:val="FootnoteTextChar"/>
    <w:rPr>
      <w:rFonts w:eastAsia="Times New Roman"/>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character" w:customStyle="1" w:styleId="Hyperlink1">
    <w:name w:val="Hyperlink.1"/>
    <w:basedOn w:val="Link"/>
    <w:rPr>
      <w:color w:val="0000FF"/>
      <w:u w:val="single" w:color="0000FF"/>
    </w:rPr>
  </w:style>
  <w:style w:type="character" w:customStyle="1" w:styleId="Hyperlink2">
    <w:name w:val="Hyperlink.2"/>
    <w:basedOn w:val="Link"/>
    <w:rPr>
      <w:color w:val="0000FF"/>
      <w:u w:val="single" w:color="0000FF"/>
      <w:lang w:val="en-US"/>
    </w:rPr>
  </w:style>
  <w:style w:type="character" w:customStyle="1" w:styleId="Hyperlink3">
    <w:name w:val="Hyperlink.3"/>
    <w:basedOn w:val="Link"/>
    <w:rPr>
      <w:color w:val="0000FF"/>
      <w:u w:val="single" w:color="0000FF"/>
      <w:lang w:val="en-US"/>
    </w:rPr>
  </w:style>
  <w:style w:type="character" w:customStyle="1" w:styleId="Hyperlink4">
    <w:name w:val="Hyperlink.4"/>
    <w:basedOn w:val="Link"/>
    <w:rPr>
      <w:rFonts w:ascii="Verdana" w:eastAsia="Verdana" w:hAnsi="Verdana" w:cs="Verdana"/>
      <w:color w:val="0000FF"/>
      <w:sz w:val="18"/>
      <w:szCs w:val="18"/>
      <w:u w:val="single" w:color="0000FF"/>
    </w:rPr>
  </w:style>
  <w:style w:type="character" w:customStyle="1" w:styleId="Hyperlink5">
    <w:name w:val="Hyperlink.5"/>
    <w:basedOn w:val="Link"/>
    <w:rPr>
      <w:color w:val="0000FF"/>
      <w:sz w:val="24"/>
      <w:szCs w:val="24"/>
      <w:u w:val="single" w:color="0000FF"/>
    </w:rPr>
  </w:style>
  <w:style w:type="character" w:customStyle="1" w:styleId="Hyperlink6">
    <w:name w:val="Hyperlink.6"/>
    <w:basedOn w:val="Link"/>
    <w:rPr>
      <w:color w:val="1F497D"/>
      <w:u w:val="single" w:color="1F497D"/>
    </w:rPr>
  </w:style>
  <w:style w:type="character" w:customStyle="1" w:styleId="Hyperlink7">
    <w:name w:val="Hyperlink.7"/>
    <w:basedOn w:val="Link"/>
    <w:rPr>
      <w:color w:val="0000FF"/>
      <w:u w:val="single" w:color="0000FF"/>
      <w:shd w:val="clear" w:color="auto" w:fill="00FFFF"/>
    </w:rPr>
  </w:style>
  <w:style w:type="paragraph" w:styleId="BalloonText">
    <w:name w:val="Balloon Text"/>
    <w:basedOn w:val="Normal"/>
    <w:link w:val="BalloonTextChar"/>
    <w:uiPriority w:val="99"/>
    <w:semiHidden/>
    <w:unhideWhenUsed/>
    <w:rsid w:val="006A73A5"/>
    <w:rPr>
      <w:rFonts w:ascii="Tahoma" w:hAnsi="Tahoma" w:cs="Tahoma"/>
      <w:sz w:val="16"/>
      <w:szCs w:val="16"/>
    </w:rPr>
  </w:style>
  <w:style w:type="character" w:customStyle="1" w:styleId="BalloonTextChar">
    <w:name w:val="Balloon Text Char"/>
    <w:basedOn w:val="DefaultParagraphFont"/>
    <w:link w:val="BalloonText"/>
    <w:uiPriority w:val="99"/>
    <w:semiHidden/>
    <w:rsid w:val="006A73A5"/>
    <w:rPr>
      <w:rFonts w:ascii="Tahoma" w:eastAsia="Times New Roman" w:hAnsi="Tahoma" w:cs="Tahoma"/>
      <w:color w:val="000000"/>
      <w:sz w:val="16"/>
      <w:szCs w:val="16"/>
      <w:u w:color="000000"/>
      <w:lang w:val="en-GB"/>
    </w:rPr>
  </w:style>
  <w:style w:type="character" w:styleId="FootnoteReference">
    <w:name w:val="footnote reference"/>
    <w:basedOn w:val="DefaultParagraphFont"/>
    <w:uiPriority w:val="99"/>
    <w:unhideWhenUsed/>
    <w:rsid w:val="0047207C"/>
    <w:rPr>
      <w:vertAlign w:val="superscript"/>
    </w:rPr>
  </w:style>
  <w:style w:type="paragraph" w:styleId="Header">
    <w:name w:val="header"/>
    <w:basedOn w:val="Normal"/>
    <w:link w:val="HeaderChar"/>
    <w:uiPriority w:val="99"/>
    <w:unhideWhenUsed/>
    <w:rsid w:val="00B76E3E"/>
    <w:pPr>
      <w:tabs>
        <w:tab w:val="center" w:pos="4320"/>
        <w:tab w:val="right" w:pos="8640"/>
      </w:tabs>
    </w:pPr>
  </w:style>
  <w:style w:type="character" w:customStyle="1" w:styleId="HeaderChar">
    <w:name w:val="Header Char"/>
    <w:basedOn w:val="DefaultParagraphFont"/>
    <w:link w:val="Header"/>
    <w:uiPriority w:val="99"/>
    <w:rsid w:val="00B76E3E"/>
    <w:rPr>
      <w:rFonts w:eastAsia="Times New Roman"/>
      <w:color w:val="000000"/>
      <w:u w:color="000000"/>
      <w:lang w:val="en-GB"/>
    </w:rPr>
  </w:style>
  <w:style w:type="character" w:styleId="CommentReference">
    <w:name w:val="annotation reference"/>
    <w:basedOn w:val="DefaultParagraphFont"/>
    <w:uiPriority w:val="99"/>
    <w:semiHidden/>
    <w:unhideWhenUsed/>
    <w:rsid w:val="006F52D0"/>
    <w:rPr>
      <w:sz w:val="18"/>
      <w:szCs w:val="18"/>
    </w:rPr>
  </w:style>
  <w:style w:type="paragraph" w:styleId="CommentText">
    <w:name w:val="annotation text"/>
    <w:basedOn w:val="Normal"/>
    <w:link w:val="CommentTextChar"/>
    <w:uiPriority w:val="99"/>
    <w:semiHidden/>
    <w:unhideWhenUsed/>
    <w:rsid w:val="006F52D0"/>
  </w:style>
  <w:style w:type="character" w:customStyle="1" w:styleId="CommentTextChar">
    <w:name w:val="Comment Text Char"/>
    <w:basedOn w:val="DefaultParagraphFont"/>
    <w:link w:val="CommentText"/>
    <w:uiPriority w:val="99"/>
    <w:semiHidden/>
    <w:rsid w:val="006F52D0"/>
    <w:rPr>
      <w:rFonts w:eastAsia="Times New Roman"/>
      <w:color w:val="000000"/>
      <w:u w:color="000000"/>
      <w:lang w:val="en-GB"/>
    </w:rPr>
  </w:style>
  <w:style w:type="paragraph" w:styleId="CommentSubject">
    <w:name w:val="annotation subject"/>
    <w:basedOn w:val="CommentText"/>
    <w:next w:val="CommentText"/>
    <w:link w:val="CommentSubjectChar"/>
    <w:uiPriority w:val="99"/>
    <w:semiHidden/>
    <w:unhideWhenUsed/>
    <w:rsid w:val="006F52D0"/>
    <w:rPr>
      <w:b/>
      <w:bCs/>
      <w:sz w:val="20"/>
      <w:szCs w:val="20"/>
    </w:rPr>
  </w:style>
  <w:style w:type="character" w:customStyle="1" w:styleId="CommentSubjectChar">
    <w:name w:val="Comment Subject Char"/>
    <w:basedOn w:val="CommentTextChar"/>
    <w:link w:val="CommentSubject"/>
    <w:uiPriority w:val="99"/>
    <w:semiHidden/>
    <w:rsid w:val="006F52D0"/>
    <w:rPr>
      <w:rFonts w:eastAsia="Times New Roman"/>
      <w:b/>
      <w:bCs/>
      <w:color w:val="000000"/>
      <w:sz w:val="20"/>
      <w:szCs w:val="20"/>
      <w:u w:color="000000"/>
      <w:lang w:val="en-GB"/>
    </w:rPr>
  </w:style>
  <w:style w:type="character" w:styleId="FollowedHyperlink">
    <w:name w:val="FollowedHyperlink"/>
    <w:basedOn w:val="DefaultParagraphFont"/>
    <w:uiPriority w:val="99"/>
    <w:semiHidden/>
    <w:unhideWhenUsed/>
    <w:rsid w:val="00E7588C"/>
    <w:rPr>
      <w:color w:val="FF00FF" w:themeColor="followedHyperlink"/>
      <w:u w:val="single"/>
    </w:rPr>
  </w:style>
  <w:style w:type="paragraph" w:styleId="ListParagraph">
    <w:name w:val="List Paragraph"/>
    <w:basedOn w:val="Normal"/>
    <w:uiPriority w:val="34"/>
    <w:qFormat/>
    <w:rsid w:val="00F53273"/>
    <w:pPr>
      <w:ind w:left="720"/>
      <w:contextualSpacing/>
    </w:pPr>
  </w:style>
  <w:style w:type="character" w:customStyle="1" w:styleId="FootnoteTextChar">
    <w:name w:val="Footnote Text Char"/>
    <w:basedOn w:val="DefaultParagraphFont"/>
    <w:link w:val="FootnoteText"/>
    <w:rsid w:val="006B7126"/>
    <w:rPr>
      <w:rFonts w:eastAsia="Times New Roman"/>
      <w:color w:val="000000"/>
      <w:u w:color="000000"/>
    </w:rPr>
  </w:style>
  <w:style w:type="paragraph" w:styleId="Revision">
    <w:name w:val="Revision"/>
    <w:hidden/>
    <w:uiPriority w:val="99"/>
    <w:semiHidden/>
    <w:rsid w:val="00D626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lang w:val="en-GB"/>
    </w:rPr>
  </w:style>
  <w:style w:type="character" w:customStyle="1" w:styleId="FooterChar">
    <w:name w:val="Footer Char"/>
    <w:basedOn w:val="DefaultParagraphFont"/>
    <w:link w:val="Footer"/>
    <w:uiPriority w:val="99"/>
    <w:rsid w:val="00796950"/>
    <w:rPr>
      <w:rFonts w:hAnsi="Arial Unicode MS" w:cs="Arial Unicode MS"/>
      <w:color w:val="000000"/>
      <w:u w:color="000000"/>
    </w:rPr>
  </w:style>
  <w:style w:type="character" w:styleId="HTMLCite">
    <w:name w:val="HTML Cite"/>
    <w:basedOn w:val="DefaultParagraphFont"/>
    <w:uiPriority w:val="99"/>
    <w:semiHidden/>
    <w:unhideWhenUsed/>
    <w:rsid w:val="00A557D7"/>
    <w:rPr>
      <w:i/>
      <w:iCs/>
    </w:rPr>
  </w:style>
  <w:style w:type="character" w:customStyle="1" w:styleId="Heading1Char">
    <w:name w:val="Heading 1 Char"/>
    <w:basedOn w:val="DefaultParagraphFont"/>
    <w:link w:val="Heading1"/>
    <w:uiPriority w:val="9"/>
    <w:rsid w:val="001D79CA"/>
    <w:rPr>
      <w:rFonts w:asciiTheme="majorHAnsi" w:eastAsiaTheme="majorEastAsia" w:hAnsiTheme="majorHAnsi" w:cstheme="majorBidi"/>
      <w:color w:val="2F759E" w:themeColor="accent1" w:themeShade="BF"/>
      <w:sz w:val="32"/>
      <w:szCs w:val="32"/>
      <w:u w:color="000000"/>
      <w:lang w:val="en-GB"/>
    </w:rPr>
  </w:style>
  <w:style w:type="character" w:customStyle="1" w:styleId="a-size-extra-large">
    <w:name w:val="a-size-extra-large"/>
    <w:basedOn w:val="DefaultParagraphFont"/>
    <w:rsid w:val="001D79CA"/>
  </w:style>
  <w:style w:type="character" w:customStyle="1" w:styleId="a-size-large">
    <w:name w:val="a-size-large"/>
    <w:basedOn w:val="DefaultParagraphFont"/>
    <w:rsid w:val="001D79CA"/>
  </w:style>
  <w:style w:type="character" w:customStyle="1" w:styleId="author">
    <w:name w:val="author"/>
    <w:basedOn w:val="DefaultParagraphFont"/>
    <w:rsid w:val="001D79CA"/>
  </w:style>
  <w:style w:type="character" w:customStyle="1" w:styleId="a-color-secondary">
    <w:name w:val="a-color-secondary"/>
    <w:basedOn w:val="DefaultParagraphFont"/>
    <w:rsid w:val="001D79CA"/>
  </w:style>
  <w:style w:type="character" w:customStyle="1" w:styleId="a-size-base">
    <w:name w:val="a-size-base"/>
    <w:basedOn w:val="DefaultParagraphFont"/>
    <w:rsid w:val="001D79CA"/>
  </w:style>
  <w:style w:type="paragraph" w:styleId="EndnoteText">
    <w:name w:val="endnote text"/>
    <w:basedOn w:val="Normal"/>
    <w:link w:val="EndnoteTextChar"/>
    <w:uiPriority w:val="99"/>
    <w:semiHidden/>
    <w:unhideWhenUsed/>
    <w:rsid w:val="006A6F8A"/>
    <w:rPr>
      <w:sz w:val="20"/>
      <w:szCs w:val="20"/>
    </w:rPr>
  </w:style>
  <w:style w:type="character" w:customStyle="1" w:styleId="EndnoteTextChar">
    <w:name w:val="Endnote Text Char"/>
    <w:basedOn w:val="DefaultParagraphFont"/>
    <w:link w:val="EndnoteText"/>
    <w:uiPriority w:val="99"/>
    <w:semiHidden/>
    <w:rsid w:val="006A6F8A"/>
    <w:rPr>
      <w:rFonts w:eastAsia="Times New Roman"/>
      <w:color w:val="000000"/>
      <w:sz w:val="20"/>
      <w:szCs w:val="20"/>
      <w:u w:color="000000"/>
      <w:lang w:val="en-GB"/>
    </w:rPr>
  </w:style>
  <w:style w:type="character" w:styleId="EndnoteReference">
    <w:name w:val="endnote reference"/>
    <w:basedOn w:val="DefaultParagraphFont"/>
    <w:uiPriority w:val="99"/>
    <w:semiHidden/>
    <w:unhideWhenUsed/>
    <w:rsid w:val="006A6F8A"/>
    <w:rPr>
      <w:vertAlign w:val="superscript"/>
    </w:rPr>
  </w:style>
  <w:style w:type="character" w:customStyle="1" w:styleId="Heading2Char">
    <w:name w:val="Heading 2 Char"/>
    <w:basedOn w:val="DefaultParagraphFont"/>
    <w:link w:val="Heading2"/>
    <w:uiPriority w:val="9"/>
    <w:semiHidden/>
    <w:rsid w:val="00375D3E"/>
    <w:rPr>
      <w:rFonts w:asciiTheme="majorHAnsi" w:eastAsiaTheme="majorEastAsia" w:hAnsiTheme="majorHAnsi" w:cstheme="majorBidi"/>
      <w:color w:val="2F759E" w:themeColor="accent1" w:themeShade="BF"/>
      <w:sz w:val="26"/>
      <w:szCs w:val="26"/>
      <w:u w:color="000000"/>
      <w:lang w:val="en-GB"/>
    </w:rPr>
  </w:style>
  <w:style w:type="paragraph" w:customStyle="1" w:styleId="authors">
    <w:name w:val="authors"/>
    <w:basedOn w:val="Normal"/>
    <w:rsid w:val="00EB04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eastAsia="en-GB"/>
    </w:rPr>
  </w:style>
  <w:style w:type="character" w:customStyle="1" w:styleId="field-source1">
    <w:name w:val="field-source1"/>
    <w:basedOn w:val="DefaultParagraphFont"/>
    <w:rsid w:val="00611453"/>
    <w:rPr>
      <w:i/>
      <w:iCs/>
    </w:rPr>
  </w:style>
  <w:style w:type="character" w:customStyle="1" w:styleId="field-date">
    <w:name w:val="field-date"/>
    <w:basedOn w:val="DefaultParagraphFont"/>
    <w:rsid w:val="00611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823">
      <w:bodyDiv w:val="1"/>
      <w:marLeft w:val="0"/>
      <w:marRight w:val="0"/>
      <w:marTop w:val="0"/>
      <w:marBottom w:val="0"/>
      <w:divBdr>
        <w:top w:val="none" w:sz="0" w:space="0" w:color="auto"/>
        <w:left w:val="none" w:sz="0" w:space="0" w:color="auto"/>
        <w:bottom w:val="none" w:sz="0" w:space="0" w:color="auto"/>
        <w:right w:val="none" w:sz="0" w:space="0" w:color="auto"/>
      </w:divBdr>
      <w:divsChild>
        <w:div w:id="4669683">
          <w:marLeft w:val="0"/>
          <w:marRight w:val="0"/>
          <w:marTop w:val="0"/>
          <w:marBottom w:val="0"/>
          <w:divBdr>
            <w:top w:val="none" w:sz="0" w:space="0" w:color="auto"/>
            <w:left w:val="none" w:sz="0" w:space="0" w:color="auto"/>
            <w:bottom w:val="none" w:sz="0" w:space="0" w:color="auto"/>
            <w:right w:val="none" w:sz="0" w:space="0" w:color="auto"/>
          </w:divBdr>
        </w:div>
        <w:div w:id="10884158">
          <w:marLeft w:val="0"/>
          <w:marRight w:val="0"/>
          <w:marTop w:val="0"/>
          <w:marBottom w:val="0"/>
          <w:divBdr>
            <w:top w:val="none" w:sz="0" w:space="0" w:color="auto"/>
            <w:left w:val="none" w:sz="0" w:space="0" w:color="auto"/>
            <w:bottom w:val="none" w:sz="0" w:space="0" w:color="auto"/>
            <w:right w:val="none" w:sz="0" w:space="0" w:color="auto"/>
          </w:divBdr>
        </w:div>
        <w:div w:id="20867270">
          <w:marLeft w:val="0"/>
          <w:marRight w:val="0"/>
          <w:marTop w:val="0"/>
          <w:marBottom w:val="0"/>
          <w:divBdr>
            <w:top w:val="none" w:sz="0" w:space="0" w:color="auto"/>
            <w:left w:val="none" w:sz="0" w:space="0" w:color="auto"/>
            <w:bottom w:val="none" w:sz="0" w:space="0" w:color="auto"/>
            <w:right w:val="none" w:sz="0" w:space="0" w:color="auto"/>
          </w:divBdr>
        </w:div>
        <w:div w:id="28796802">
          <w:marLeft w:val="0"/>
          <w:marRight w:val="0"/>
          <w:marTop w:val="0"/>
          <w:marBottom w:val="0"/>
          <w:divBdr>
            <w:top w:val="none" w:sz="0" w:space="0" w:color="auto"/>
            <w:left w:val="none" w:sz="0" w:space="0" w:color="auto"/>
            <w:bottom w:val="none" w:sz="0" w:space="0" w:color="auto"/>
            <w:right w:val="none" w:sz="0" w:space="0" w:color="auto"/>
          </w:divBdr>
        </w:div>
        <w:div w:id="33115458">
          <w:marLeft w:val="0"/>
          <w:marRight w:val="0"/>
          <w:marTop w:val="0"/>
          <w:marBottom w:val="0"/>
          <w:divBdr>
            <w:top w:val="none" w:sz="0" w:space="0" w:color="auto"/>
            <w:left w:val="none" w:sz="0" w:space="0" w:color="auto"/>
            <w:bottom w:val="none" w:sz="0" w:space="0" w:color="auto"/>
            <w:right w:val="none" w:sz="0" w:space="0" w:color="auto"/>
          </w:divBdr>
        </w:div>
        <w:div w:id="71202942">
          <w:marLeft w:val="0"/>
          <w:marRight w:val="0"/>
          <w:marTop w:val="0"/>
          <w:marBottom w:val="0"/>
          <w:divBdr>
            <w:top w:val="none" w:sz="0" w:space="0" w:color="auto"/>
            <w:left w:val="none" w:sz="0" w:space="0" w:color="auto"/>
            <w:bottom w:val="none" w:sz="0" w:space="0" w:color="auto"/>
            <w:right w:val="none" w:sz="0" w:space="0" w:color="auto"/>
          </w:divBdr>
        </w:div>
        <w:div w:id="75516174">
          <w:marLeft w:val="0"/>
          <w:marRight w:val="0"/>
          <w:marTop w:val="0"/>
          <w:marBottom w:val="0"/>
          <w:divBdr>
            <w:top w:val="none" w:sz="0" w:space="0" w:color="auto"/>
            <w:left w:val="none" w:sz="0" w:space="0" w:color="auto"/>
            <w:bottom w:val="none" w:sz="0" w:space="0" w:color="auto"/>
            <w:right w:val="none" w:sz="0" w:space="0" w:color="auto"/>
          </w:divBdr>
        </w:div>
        <w:div w:id="127171205">
          <w:marLeft w:val="0"/>
          <w:marRight w:val="0"/>
          <w:marTop w:val="0"/>
          <w:marBottom w:val="0"/>
          <w:divBdr>
            <w:top w:val="none" w:sz="0" w:space="0" w:color="auto"/>
            <w:left w:val="none" w:sz="0" w:space="0" w:color="auto"/>
            <w:bottom w:val="none" w:sz="0" w:space="0" w:color="auto"/>
            <w:right w:val="none" w:sz="0" w:space="0" w:color="auto"/>
          </w:divBdr>
        </w:div>
        <w:div w:id="132407927">
          <w:marLeft w:val="0"/>
          <w:marRight w:val="0"/>
          <w:marTop w:val="0"/>
          <w:marBottom w:val="0"/>
          <w:divBdr>
            <w:top w:val="none" w:sz="0" w:space="0" w:color="auto"/>
            <w:left w:val="none" w:sz="0" w:space="0" w:color="auto"/>
            <w:bottom w:val="none" w:sz="0" w:space="0" w:color="auto"/>
            <w:right w:val="none" w:sz="0" w:space="0" w:color="auto"/>
          </w:divBdr>
        </w:div>
        <w:div w:id="132598091">
          <w:marLeft w:val="0"/>
          <w:marRight w:val="0"/>
          <w:marTop w:val="0"/>
          <w:marBottom w:val="0"/>
          <w:divBdr>
            <w:top w:val="none" w:sz="0" w:space="0" w:color="auto"/>
            <w:left w:val="none" w:sz="0" w:space="0" w:color="auto"/>
            <w:bottom w:val="none" w:sz="0" w:space="0" w:color="auto"/>
            <w:right w:val="none" w:sz="0" w:space="0" w:color="auto"/>
          </w:divBdr>
        </w:div>
        <w:div w:id="145099729">
          <w:marLeft w:val="0"/>
          <w:marRight w:val="0"/>
          <w:marTop w:val="0"/>
          <w:marBottom w:val="0"/>
          <w:divBdr>
            <w:top w:val="none" w:sz="0" w:space="0" w:color="auto"/>
            <w:left w:val="none" w:sz="0" w:space="0" w:color="auto"/>
            <w:bottom w:val="none" w:sz="0" w:space="0" w:color="auto"/>
            <w:right w:val="none" w:sz="0" w:space="0" w:color="auto"/>
          </w:divBdr>
        </w:div>
        <w:div w:id="147476189">
          <w:marLeft w:val="0"/>
          <w:marRight w:val="0"/>
          <w:marTop w:val="0"/>
          <w:marBottom w:val="0"/>
          <w:divBdr>
            <w:top w:val="none" w:sz="0" w:space="0" w:color="auto"/>
            <w:left w:val="none" w:sz="0" w:space="0" w:color="auto"/>
            <w:bottom w:val="none" w:sz="0" w:space="0" w:color="auto"/>
            <w:right w:val="none" w:sz="0" w:space="0" w:color="auto"/>
          </w:divBdr>
        </w:div>
        <w:div w:id="147946304">
          <w:marLeft w:val="0"/>
          <w:marRight w:val="0"/>
          <w:marTop w:val="0"/>
          <w:marBottom w:val="0"/>
          <w:divBdr>
            <w:top w:val="none" w:sz="0" w:space="0" w:color="auto"/>
            <w:left w:val="none" w:sz="0" w:space="0" w:color="auto"/>
            <w:bottom w:val="none" w:sz="0" w:space="0" w:color="auto"/>
            <w:right w:val="none" w:sz="0" w:space="0" w:color="auto"/>
          </w:divBdr>
        </w:div>
        <w:div w:id="153760035">
          <w:marLeft w:val="0"/>
          <w:marRight w:val="0"/>
          <w:marTop w:val="0"/>
          <w:marBottom w:val="0"/>
          <w:divBdr>
            <w:top w:val="none" w:sz="0" w:space="0" w:color="auto"/>
            <w:left w:val="none" w:sz="0" w:space="0" w:color="auto"/>
            <w:bottom w:val="none" w:sz="0" w:space="0" w:color="auto"/>
            <w:right w:val="none" w:sz="0" w:space="0" w:color="auto"/>
          </w:divBdr>
        </w:div>
        <w:div w:id="174851426">
          <w:marLeft w:val="0"/>
          <w:marRight w:val="0"/>
          <w:marTop w:val="0"/>
          <w:marBottom w:val="0"/>
          <w:divBdr>
            <w:top w:val="none" w:sz="0" w:space="0" w:color="auto"/>
            <w:left w:val="none" w:sz="0" w:space="0" w:color="auto"/>
            <w:bottom w:val="none" w:sz="0" w:space="0" w:color="auto"/>
            <w:right w:val="none" w:sz="0" w:space="0" w:color="auto"/>
          </w:divBdr>
        </w:div>
        <w:div w:id="181214043">
          <w:marLeft w:val="0"/>
          <w:marRight w:val="0"/>
          <w:marTop w:val="0"/>
          <w:marBottom w:val="0"/>
          <w:divBdr>
            <w:top w:val="none" w:sz="0" w:space="0" w:color="auto"/>
            <w:left w:val="none" w:sz="0" w:space="0" w:color="auto"/>
            <w:bottom w:val="none" w:sz="0" w:space="0" w:color="auto"/>
            <w:right w:val="none" w:sz="0" w:space="0" w:color="auto"/>
          </w:divBdr>
        </w:div>
        <w:div w:id="191457628">
          <w:marLeft w:val="0"/>
          <w:marRight w:val="0"/>
          <w:marTop w:val="0"/>
          <w:marBottom w:val="0"/>
          <w:divBdr>
            <w:top w:val="none" w:sz="0" w:space="0" w:color="auto"/>
            <w:left w:val="none" w:sz="0" w:space="0" w:color="auto"/>
            <w:bottom w:val="none" w:sz="0" w:space="0" w:color="auto"/>
            <w:right w:val="none" w:sz="0" w:space="0" w:color="auto"/>
          </w:divBdr>
        </w:div>
        <w:div w:id="214857598">
          <w:marLeft w:val="0"/>
          <w:marRight w:val="0"/>
          <w:marTop w:val="0"/>
          <w:marBottom w:val="0"/>
          <w:divBdr>
            <w:top w:val="none" w:sz="0" w:space="0" w:color="auto"/>
            <w:left w:val="none" w:sz="0" w:space="0" w:color="auto"/>
            <w:bottom w:val="none" w:sz="0" w:space="0" w:color="auto"/>
            <w:right w:val="none" w:sz="0" w:space="0" w:color="auto"/>
          </w:divBdr>
        </w:div>
        <w:div w:id="222103109">
          <w:marLeft w:val="0"/>
          <w:marRight w:val="0"/>
          <w:marTop w:val="0"/>
          <w:marBottom w:val="0"/>
          <w:divBdr>
            <w:top w:val="none" w:sz="0" w:space="0" w:color="auto"/>
            <w:left w:val="none" w:sz="0" w:space="0" w:color="auto"/>
            <w:bottom w:val="none" w:sz="0" w:space="0" w:color="auto"/>
            <w:right w:val="none" w:sz="0" w:space="0" w:color="auto"/>
          </w:divBdr>
        </w:div>
        <w:div w:id="237789977">
          <w:marLeft w:val="0"/>
          <w:marRight w:val="0"/>
          <w:marTop w:val="0"/>
          <w:marBottom w:val="0"/>
          <w:divBdr>
            <w:top w:val="none" w:sz="0" w:space="0" w:color="auto"/>
            <w:left w:val="none" w:sz="0" w:space="0" w:color="auto"/>
            <w:bottom w:val="none" w:sz="0" w:space="0" w:color="auto"/>
            <w:right w:val="none" w:sz="0" w:space="0" w:color="auto"/>
          </w:divBdr>
        </w:div>
        <w:div w:id="247008027">
          <w:marLeft w:val="0"/>
          <w:marRight w:val="0"/>
          <w:marTop w:val="0"/>
          <w:marBottom w:val="0"/>
          <w:divBdr>
            <w:top w:val="none" w:sz="0" w:space="0" w:color="auto"/>
            <w:left w:val="none" w:sz="0" w:space="0" w:color="auto"/>
            <w:bottom w:val="none" w:sz="0" w:space="0" w:color="auto"/>
            <w:right w:val="none" w:sz="0" w:space="0" w:color="auto"/>
          </w:divBdr>
        </w:div>
        <w:div w:id="247544802">
          <w:marLeft w:val="0"/>
          <w:marRight w:val="0"/>
          <w:marTop w:val="0"/>
          <w:marBottom w:val="0"/>
          <w:divBdr>
            <w:top w:val="none" w:sz="0" w:space="0" w:color="auto"/>
            <w:left w:val="none" w:sz="0" w:space="0" w:color="auto"/>
            <w:bottom w:val="none" w:sz="0" w:space="0" w:color="auto"/>
            <w:right w:val="none" w:sz="0" w:space="0" w:color="auto"/>
          </w:divBdr>
        </w:div>
        <w:div w:id="250353587">
          <w:marLeft w:val="0"/>
          <w:marRight w:val="0"/>
          <w:marTop w:val="0"/>
          <w:marBottom w:val="0"/>
          <w:divBdr>
            <w:top w:val="none" w:sz="0" w:space="0" w:color="auto"/>
            <w:left w:val="none" w:sz="0" w:space="0" w:color="auto"/>
            <w:bottom w:val="none" w:sz="0" w:space="0" w:color="auto"/>
            <w:right w:val="none" w:sz="0" w:space="0" w:color="auto"/>
          </w:divBdr>
        </w:div>
        <w:div w:id="264774389">
          <w:marLeft w:val="0"/>
          <w:marRight w:val="0"/>
          <w:marTop w:val="0"/>
          <w:marBottom w:val="0"/>
          <w:divBdr>
            <w:top w:val="none" w:sz="0" w:space="0" w:color="auto"/>
            <w:left w:val="none" w:sz="0" w:space="0" w:color="auto"/>
            <w:bottom w:val="none" w:sz="0" w:space="0" w:color="auto"/>
            <w:right w:val="none" w:sz="0" w:space="0" w:color="auto"/>
          </w:divBdr>
        </w:div>
        <w:div w:id="268246738">
          <w:marLeft w:val="0"/>
          <w:marRight w:val="0"/>
          <w:marTop w:val="0"/>
          <w:marBottom w:val="0"/>
          <w:divBdr>
            <w:top w:val="none" w:sz="0" w:space="0" w:color="auto"/>
            <w:left w:val="none" w:sz="0" w:space="0" w:color="auto"/>
            <w:bottom w:val="none" w:sz="0" w:space="0" w:color="auto"/>
            <w:right w:val="none" w:sz="0" w:space="0" w:color="auto"/>
          </w:divBdr>
        </w:div>
        <w:div w:id="272983769">
          <w:marLeft w:val="0"/>
          <w:marRight w:val="0"/>
          <w:marTop w:val="0"/>
          <w:marBottom w:val="0"/>
          <w:divBdr>
            <w:top w:val="none" w:sz="0" w:space="0" w:color="auto"/>
            <w:left w:val="none" w:sz="0" w:space="0" w:color="auto"/>
            <w:bottom w:val="none" w:sz="0" w:space="0" w:color="auto"/>
            <w:right w:val="none" w:sz="0" w:space="0" w:color="auto"/>
          </w:divBdr>
        </w:div>
        <w:div w:id="293754984">
          <w:marLeft w:val="0"/>
          <w:marRight w:val="0"/>
          <w:marTop w:val="0"/>
          <w:marBottom w:val="0"/>
          <w:divBdr>
            <w:top w:val="none" w:sz="0" w:space="0" w:color="auto"/>
            <w:left w:val="none" w:sz="0" w:space="0" w:color="auto"/>
            <w:bottom w:val="none" w:sz="0" w:space="0" w:color="auto"/>
            <w:right w:val="none" w:sz="0" w:space="0" w:color="auto"/>
          </w:divBdr>
        </w:div>
        <w:div w:id="298077637">
          <w:marLeft w:val="0"/>
          <w:marRight w:val="0"/>
          <w:marTop w:val="0"/>
          <w:marBottom w:val="0"/>
          <w:divBdr>
            <w:top w:val="none" w:sz="0" w:space="0" w:color="auto"/>
            <w:left w:val="none" w:sz="0" w:space="0" w:color="auto"/>
            <w:bottom w:val="none" w:sz="0" w:space="0" w:color="auto"/>
            <w:right w:val="none" w:sz="0" w:space="0" w:color="auto"/>
          </w:divBdr>
        </w:div>
        <w:div w:id="302349136">
          <w:marLeft w:val="0"/>
          <w:marRight w:val="0"/>
          <w:marTop w:val="0"/>
          <w:marBottom w:val="0"/>
          <w:divBdr>
            <w:top w:val="none" w:sz="0" w:space="0" w:color="auto"/>
            <w:left w:val="none" w:sz="0" w:space="0" w:color="auto"/>
            <w:bottom w:val="none" w:sz="0" w:space="0" w:color="auto"/>
            <w:right w:val="none" w:sz="0" w:space="0" w:color="auto"/>
          </w:divBdr>
        </w:div>
        <w:div w:id="315573819">
          <w:marLeft w:val="0"/>
          <w:marRight w:val="0"/>
          <w:marTop w:val="0"/>
          <w:marBottom w:val="0"/>
          <w:divBdr>
            <w:top w:val="none" w:sz="0" w:space="0" w:color="auto"/>
            <w:left w:val="none" w:sz="0" w:space="0" w:color="auto"/>
            <w:bottom w:val="none" w:sz="0" w:space="0" w:color="auto"/>
            <w:right w:val="none" w:sz="0" w:space="0" w:color="auto"/>
          </w:divBdr>
        </w:div>
        <w:div w:id="348214302">
          <w:marLeft w:val="0"/>
          <w:marRight w:val="0"/>
          <w:marTop w:val="0"/>
          <w:marBottom w:val="0"/>
          <w:divBdr>
            <w:top w:val="none" w:sz="0" w:space="0" w:color="auto"/>
            <w:left w:val="none" w:sz="0" w:space="0" w:color="auto"/>
            <w:bottom w:val="none" w:sz="0" w:space="0" w:color="auto"/>
            <w:right w:val="none" w:sz="0" w:space="0" w:color="auto"/>
          </w:divBdr>
        </w:div>
        <w:div w:id="388309125">
          <w:marLeft w:val="0"/>
          <w:marRight w:val="0"/>
          <w:marTop w:val="0"/>
          <w:marBottom w:val="0"/>
          <w:divBdr>
            <w:top w:val="none" w:sz="0" w:space="0" w:color="auto"/>
            <w:left w:val="none" w:sz="0" w:space="0" w:color="auto"/>
            <w:bottom w:val="none" w:sz="0" w:space="0" w:color="auto"/>
            <w:right w:val="none" w:sz="0" w:space="0" w:color="auto"/>
          </w:divBdr>
        </w:div>
        <w:div w:id="399328370">
          <w:marLeft w:val="0"/>
          <w:marRight w:val="0"/>
          <w:marTop w:val="0"/>
          <w:marBottom w:val="0"/>
          <w:divBdr>
            <w:top w:val="none" w:sz="0" w:space="0" w:color="auto"/>
            <w:left w:val="none" w:sz="0" w:space="0" w:color="auto"/>
            <w:bottom w:val="none" w:sz="0" w:space="0" w:color="auto"/>
            <w:right w:val="none" w:sz="0" w:space="0" w:color="auto"/>
          </w:divBdr>
        </w:div>
        <w:div w:id="411050124">
          <w:marLeft w:val="0"/>
          <w:marRight w:val="0"/>
          <w:marTop w:val="0"/>
          <w:marBottom w:val="0"/>
          <w:divBdr>
            <w:top w:val="none" w:sz="0" w:space="0" w:color="auto"/>
            <w:left w:val="none" w:sz="0" w:space="0" w:color="auto"/>
            <w:bottom w:val="none" w:sz="0" w:space="0" w:color="auto"/>
            <w:right w:val="none" w:sz="0" w:space="0" w:color="auto"/>
          </w:divBdr>
        </w:div>
        <w:div w:id="412703733">
          <w:marLeft w:val="0"/>
          <w:marRight w:val="0"/>
          <w:marTop w:val="0"/>
          <w:marBottom w:val="0"/>
          <w:divBdr>
            <w:top w:val="none" w:sz="0" w:space="0" w:color="auto"/>
            <w:left w:val="none" w:sz="0" w:space="0" w:color="auto"/>
            <w:bottom w:val="none" w:sz="0" w:space="0" w:color="auto"/>
            <w:right w:val="none" w:sz="0" w:space="0" w:color="auto"/>
          </w:divBdr>
        </w:div>
        <w:div w:id="420758853">
          <w:marLeft w:val="0"/>
          <w:marRight w:val="0"/>
          <w:marTop w:val="0"/>
          <w:marBottom w:val="0"/>
          <w:divBdr>
            <w:top w:val="none" w:sz="0" w:space="0" w:color="auto"/>
            <w:left w:val="none" w:sz="0" w:space="0" w:color="auto"/>
            <w:bottom w:val="none" w:sz="0" w:space="0" w:color="auto"/>
            <w:right w:val="none" w:sz="0" w:space="0" w:color="auto"/>
          </w:divBdr>
        </w:div>
        <w:div w:id="424232866">
          <w:marLeft w:val="0"/>
          <w:marRight w:val="0"/>
          <w:marTop w:val="0"/>
          <w:marBottom w:val="0"/>
          <w:divBdr>
            <w:top w:val="none" w:sz="0" w:space="0" w:color="auto"/>
            <w:left w:val="none" w:sz="0" w:space="0" w:color="auto"/>
            <w:bottom w:val="none" w:sz="0" w:space="0" w:color="auto"/>
            <w:right w:val="none" w:sz="0" w:space="0" w:color="auto"/>
          </w:divBdr>
        </w:div>
        <w:div w:id="426006989">
          <w:marLeft w:val="0"/>
          <w:marRight w:val="0"/>
          <w:marTop w:val="0"/>
          <w:marBottom w:val="0"/>
          <w:divBdr>
            <w:top w:val="none" w:sz="0" w:space="0" w:color="auto"/>
            <w:left w:val="none" w:sz="0" w:space="0" w:color="auto"/>
            <w:bottom w:val="none" w:sz="0" w:space="0" w:color="auto"/>
            <w:right w:val="none" w:sz="0" w:space="0" w:color="auto"/>
          </w:divBdr>
        </w:div>
        <w:div w:id="434667427">
          <w:marLeft w:val="0"/>
          <w:marRight w:val="0"/>
          <w:marTop w:val="0"/>
          <w:marBottom w:val="0"/>
          <w:divBdr>
            <w:top w:val="none" w:sz="0" w:space="0" w:color="auto"/>
            <w:left w:val="none" w:sz="0" w:space="0" w:color="auto"/>
            <w:bottom w:val="none" w:sz="0" w:space="0" w:color="auto"/>
            <w:right w:val="none" w:sz="0" w:space="0" w:color="auto"/>
          </w:divBdr>
        </w:div>
        <w:div w:id="435174594">
          <w:marLeft w:val="0"/>
          <w:marRight w:val="0"/>
          <w:marTop w:val="0"/>
          <w:marBottom w:val="0"/>
          <w:divBdr>
            <w:top w:val="none" w:sz="0" w:space="0" w:color="auto"/>
            <w:left w:val="none" w:sz="0" w:space="0" w:color="auto"/>
            <w:bottom w:val="none" w:sz="0" w:space="0" w:color="auto"/>
            <w:right w:val="none" w:sz="0" w:space="0" w:color="auto"/>
          </w:divBdr>
        </w:div>
        <w:div w:id="435560378">
          <w:marLeft w:val="0"/>
          <w:marRight w:val="0"/>
          <w:marTop w:val="0"/>
          <w:marBottom w:val="0"/>
          <w:divBdr>
            <w:top w:val="none" w:sz="0" w:space="0" w:color="auto"/>
            <w:left w:val="none" w:sz="0" w:space="0" w:color="auto"/>
            <w:bottom w:val="none" w:sz="0" w:space="0" w:color="auto"/>
            <w:right w:val="none" w:sz="0" w:space="0" w:color="auto"/>
          </w:divBdr>
        </w:div>
        <w:div w:id="442385809">
          <w:marLeft w:val="0"/>
          <w:marRight w:val="0"/>
          <w:marTop w:val="0"/>
          <w:marBottom w:val="0"/>
          <w:divBdr>
            <w:top w:val="none" w:sz="0" w:space="0" w:color="auto"/>
            <w:left w:val="none" w:sz="0" w:space="0" w:color="auto"/>
            <w:bottom w:val="none" w:sz="0" w:space="0" w:color="auto"/>
            <w:right w:val="none" w:sz="0" w:space="0" w:color="auto"/>
          </w:divBdr>
        </w:div>
        <w:div w:id="448626319">
          <w:marLeft w:val="0"/>
          <w:marRight w:val="0"/>
          <w:marTop w:val="0"/>
          <w:marBottom w:val="0"/>
          <w:divBdr>
            <w:top w:val="none" w:sz="0" w:space="0" w:color="auto"/>
            <w:left w:val="none" w:sz="0" w:space="0" w:color="auto"/>
            <w:bottom w:val="none" w:sz="0" w:space="0" w:color="auto"/>
            <w:right w:val="none" w:sz="0" w:space="0" w:color="auto"/>
          </w:divBdr>
        </w:div>
        <w:div w:id="465855716">
          <w:marLeft w:val="0"/>
          <w:marRight w:val="0"/>
          <w:marTop w:val="0"/>
          <w:marBottom w:val="0"/>
          <w:divBdr>
            <w:top w:val="none" w:sz="0" w:space="0" w:color="auto"/>
            <w:left w:val="none" w:sz="0" w:space="0" w:color="auto"/>
            <w:bottom w:val="none" w:sz="0" w:space="0" w:color="auto"/>
            <w:right w:val="none" w:sz="0" w:space="0" w:color="auto"/>
          </w:divBdr>
        </w:div>
        <w:div w:id="469371455">
          <w:marLeft w:val="0"/>
          <w:marRight w:val="0"/>
          <w:marTop w:val="0"/>
          <w:marBottom w:val="0"/>
          <w:divBdr>
            <w:top w:val="none" w:sz="0" w:space="0" w:color="auto"/>
            <w:left w:val="none" w:sz="0" w:space="0" w:color="auto"/>
            <w:bottom w:val="none" w:sz="0" w:space="0" w:color="auto"/>
            <w:right w:val="none" w:sz="0" w:space="0" w:color="auto"/>
          </w:divBdr>
        </w:div>
        <w:div w:id="492726324">
          <w:marLeft w:val="0"/>
          <w:marRight w:val="0"/>
          <w:marTop w:val="0"/>
          <w:marBottom w:val="0"/>
          <w:divBdr>
            <w:top w:val="none" w:sz="0" w:space="0" w:color="auto"/>
            <w:left w:val="none" w:sz="0" w:space="0" w:color="auto"/>
            <w:bottom w:val="none" w:sz="0" w:space="0" w:color="auto"/>
            <w:right w:val="none" w:sz="0" w:space="0" w:color="auto"/>
          </w:divBdr>
        </w:div>
        <w:div w:id="498540558">
          <w:marLeft w:val="0"/>
          <w:marRight w:val="0"/>
          <w:marTop w:val="0"/>
          <w:marBottom w:val="0"/>
          <w:divBdr>
            <w:top w:val="none" w:sz="0" w:space="0" w:color="auto"/>
            <w:left w:val="none" w:sz="0" w:space="0" w:color="auto"/>
            <w:bottom w:val="none" w:sz="0" w:space="0" w:color="auto"/>
            <w:right w:val="none" w:sz="0" w:space="0" w:color="auto"/>
          </w:divBdr>
        </w:div>
        <w:div w:id="540240848">
          <w:marLeft w:val="0"/>
          <w:marRight w:val="0"/>
          <w:marTop w:val="0"/>
          <w:marBottom w:val="0"/>
          <w:divBdr>
            <w:top w:val="none" w:sz="0" w:space="0" w:color="auto"/>
            <w:left w:val="none" w:sz="0" w:space="0" w:color="auto"/>
            <w:bottom w:val="none" w:sz="0" w:space="0" w:color="auto"/>
            <w:right w:val="none" w:sz="0" w:space="0" w:color="auto"/>
          </w:divBdr>
        </w:div>
        <w:div w:id="548883654">
          <w:marLeft w:val="0"/>
          <w:marRight w:val="0"/>
          <w:marTop w:val="0"/>
          <w:marBottom w:val="0"/>
          <w:divBdr>
            <w:top w:val="none" w:sz="0" w:space="0" w:color="auto"/>
            <w:left w:val="none" w:sz="0" w:space="0" w:color="auto"/>
            <w:bottom w:val="none" w:sz="0" w:space="0" w:color="auto"/>
            <w:right w:val="none" w:sz="0" w:space="0" w:color="auto"/>
          </w:divBdr>
        </w:div>
        <w:div w:id="551120488">
          <w:marLeft w:val="0"/>
          <w:marRight w:val="0"/>
          <w:marTop w:val="0"/>
          <w:marBottom w:val="0"/>
          <w:divBdr>
            <w:top w:val="none" w:sz="0" w:space="0" w:color="auto"/>
            <w:left w:val="none" w:sz="0" w:space="0" w:color="auto"/>
            <w:bottom w:val="none" w:sz="0" w:space="0" w:color="auto"/>
            <w:right w:val="none" w:sz="0" w:space="0" w:color="auto"/>
          </w:divBdr>
        </w:div>
        <w:div w:id="570117606">
          <w:marLeft w:val="0"/>
          <w:marRight w:val="0"/>
          <w:marTop w:val="0"/>
          <w:marBottom w:val="0"/>
          <w:divBdr>
            <w:top w:val="none" w:sz="0" w:space="0" w:color="auto"/>
            <w:left w:val="none" w:sz="0" w:space="0" w:color="auto"/>
            <w:bottom w:val="none" w:sz="0" w:space="0" w:color="auto"/>
            <w:right w:val="none" w:sz="0" w:space="0" w:color="auto"/>
          </w:divBdr>
        </w:div>
        <w:div w:id="570651877">
          <w:marLeft w:val="0"/>
          <w:marRight w:val="0"/>
          <w:marTop w:val="0"/>
          <w:marBottom w:val="0"/>
          <w:divBdr>
            <w:top w:val="none" w:sz="0" w:space="0" w:color="auto"/>
            <w:left w:val="none" w:sz="0" w:space="0" w:color="auto"/>
            <w:bottom w:val="none" w:sz="0" w:space="0" w:color="auto"/>
            <w:right w:val="none" w:sz="0" w:space="0" w:color="auto"/>
          </w:divBdr>
        </w:div>
        <w:div w:id="589898887">
          <w:marLeft w:val="0"/>
          <w:marRight w:val="0"/>
          <w:marTop w:val="0"/>
          <w:marBottom w:val="0"/>
          <w:divBdr>
            <w:top w:val="none" w:sz="0" w:space="0" w:color="auto"/>
            <w:left w:val="none" w:sz="0" w:space="0" w:color="auto"/>
            <w:bottom w:val="none" w:sz="0" w:space="0" w:color="auto"/>
            <w:right w:val="none" w:sz="0" w:space="0" w:color="auto"/>
          </w:divBdr>
        </w:div>
        <w:div w:id="602881340">
          <w:marLeft w:val="0"/>
          <w:marRight w:val="0"/>
          <w:marTop w:val="0"/>
          <w:marBottom w:val="0"/>
          <w:divBdr>
            <w:top w:val="none" w:sz="0" w:space="0" w:color="auto"/>
            <w:left w:val="none" w:sz="0" w:space="0" w:color="auto"/>
            <w:bottom w:val="none" w:sz="0" w:space="0" w:color="auto"/>
            <w:right w:val="none" w:sz="0" w:space="0" w:color="auto"/>
          </w:divBdr>
        </w:div>
        <w:div w:id="602957976">
          <w:marLeft w:val="0"/>
          <w:marRight w:val="0"/>
          <w:marTop w:val="0"/>
          <w:marBottom w:val="0"/>
          <w:divBdr>
            <w:top w:val="none" w:sz="0" w:space="0" w:color="auto"/>
            <w:left w:val="none" w:sz="0" w:space="0" w:color="auto"/>
            <w:bottom w:val="none" w:sz="0" w:space="0" w:color="auto"/>
            <w:right w:val="none" w:sz="0" w:space="0" w:color="auto"/>
          </w:divBdr>
        </w:div>
        <w:div w:id="606431388">
          <w:marLeft w:val="0"/>
          <w:marRight w:val="0"/>
          <w:marTop w:val="0"/>
          <w:marBottom w:val="0"/>
          <w:divBdr>
            <w:top w:val="none" w:sz="0" w:space="0" w:color="auto"/>
            <w:left w:val="none" w:sz="0" w:space="0" w:color="auto"/>
            <w:bottom w:val="none" w:sz="0" w:space="0" w:color="auto"/>
            <w:right w:val="none" w:sz="0" w:space="0" w:color="auto"/>
          </w:divBdr>
        </w:div>
        <w:div w:id="612907783">
          <w:marLeft w:val="0"/>
          <w:marRight w:val="0"/>
          <w:marTop w:val="0"/>
          <w:marBottom w:val="0"/>
          <w:divBdr>
            <w:top w:val="none" w:sz="0" w:space="0" w:color="auto"/>
            <w:left w:val="none" w:sz="0" w:space="0" w:color="auto"/>
            <w:bottom w:val="none" w:sz="0" w:space="0" w:color="auto"/>
            <w:right w:val="none" w:sz="0" w:space="0" w:color="auto"/>
          </w:divBdr>
        </w:div>
        <w:div w:id="619144152">
          <w:marLeft w:val="0"/>
          <w:marRight w:val="0"/>
          <w:marTop w:val="0"/>
          <w:marBottom w:val="0"/>
          <w:divBdr>
            <w:top w:val="none" w:sz="0" w:space="0" w:color="auto"/>
            <w:left w:val="none" w:sz="0" w:space="0" w:color="auto"/>
            <w:bottom w:val="none" w:sz="0" w:space="0" w:color="auto"/>
            <w:right w:val="none" w:sz="0" w:space="0" w:color="auto"/>
          </w:divBdr>
        </w:div>
        <w:div w:id="659963512">
          <w:marLeft w:val="0"/>
          <w:marRight w:val="0"/>
          <w:marTop w:val="0"/>
          <w:marBottom w:val="0"/>
          <w:divBdr>
            <w:top w:val="none" w:sz="0" w:space="0" w:color="auto"/>
            <w:left w:val="none" w:sz="0" w:space="0" w:color="auto"/>
            <w:bottom w:val="none" w:sz="0" w:space="0" w:color="auto"/>
            <w:right w:val="none" w:sz="0" w:space="0" w:color="auto"/>
          </w:divBdr>
        </w:div>
        <w:div w:id="673806207">
          <w:marLeft w:val="0"/>
          <w:marRight w:val="0"/>
          <w:marTop w:val="0"/>
          <w:marBottom w:val="0"/>
          <w:divBdr>
            <w:top w:val="none" w:sz="0" w:space="0" w:color="auto"/>
            <w:left w:val="none" w:sz="0" w:space="0" w:color="auto"/>
            <w:bottom w:val="none" w:sz="0" w:space="0" w:color="auto"/>
            <w:right w:val="none" w:sz="0" w:space="0" w:color="auto"/>
          </w:divBdr>
        </w:div>
        <w:div w:id="675306946">
          <w:marLeft w:val="0"/>
          <w:marRight w:val="0"/>
          <w:marTop w:val="0"/>
          <w:marBottom w:val="0"/>
          <w:divBdr>
            <w:top w:val="none" w:sz="0" w:space="0" w:color="auto"/>
            <w:left w:val="none" w:sz="0" w:space="0" w:color="auto"/>
            <w:bottom w:val="none" w:sz="0" w:space="0" w:color="auto"/>
            <w:right w:val="none" w:sz="0" w:space="0" w:color="auto"/>
          </w:divBdr>
        </w:div>
        <w:div w:id="684093990">
          <w:marLeft w:val="0"/>
          <w:marRight w:val="0"/>
          <w:marTop w:val="0"/>
          <w:marBottom w:val="0"/>
          <w:divBdr>
            <w:top w:val="none" w:sz="0" w:space="0" w:color="auto"/>
            <w:left w:val="none" w:sz="0" w:space="0" w:color="auto"/>
            <w:bottom w:val="none" w:sz="0" w:space="0" w:color="auto"/>
            <w:right w:val="none" w:sz="0" w:space="0" w:color="auto"/>
          </w:divBdr>
        </w:div>
        <w:div w:id="735906304">
          <w:marLeft w:val="0"/>
          <w:marRight w:val="0"/>
          <w:marTop w:val="0"/>
          <w:marBottom w:val="0"/>
          <w:divBdr>
            <w:top w:val="none" w:sz="0" w:space="0" w:color="auto"/>
            <w:left w:val="none" w:sz="0" w:space="0" w:color="auto"/>
            <w:bottom w:val="none" w:sz="0" w:space="0" w:color="auto"/>
            <w:right w:val="none" w:sz="0" w:space="0" w:color="auto"/>
          </w:divBdr>
        </w:div>
        <w:div w:id="738989292">
          <w:marLeft w:val="0"/>
          <w:marRight w:val="0"/>
          <w:marTop w:val="0"/>
          <w:marBottom w:val="0"/>
          <w:divBdr>
            <w:top w:val="none" w:sz="0" w:space="0" w:color="auto"/>
            <w:left w:val="none" w:sz="0" w:space="0" w:color="auto"/>
            <w:bottom w:val="none" w:sz="0" w:space="0" w:color="auto"/>
            <w:right w:val="none" w:sz="0" w:space="0" w:color="auto"/>
          </w:divBdr>
        </w:div>
        <w:div w:id="749278154">
          <w:marLeft w:val="0"/>
          <w:marRight w:val="0"/>
          <w:marTop w:val="0"/>
          <w:marBottom w:val="0"/>
          <w:divBdr>
            <w:top w:val="none" w:sz="0" w:space="0" w:color="auto"/>
            <w:left w:val="none" w:sz="0" w:space="0" w:color="auto"/>
            <w:bottom w:val="none" w:sz="0" w:space="0" w:color="auto"/>
            <w:right w:val="none" w:sz="0" w:space="0" w:color="auto"/>
          </w:divBdr>
        </w:div>
        <w:div w:id="758722500">
          <w:marLeft w:val="0"/>
          <w:marRight w:val="0"/>
          <w:marTop w:val="0"/>
          <w:marBottom w:val="0"/>
          <w:divBdr>
            <w:top w:val="none" w:sz="0" w:space="0" w:color="auto"/>
            <w:left w:val="none" w:sz="0" w:space="0" w:color="auto"/>
            <w:bottom w:val="none" w:sz="0" w:space="0" w:color="auto"/>
            <w:right w:val="none" w:sz="0" w:space="0" w:color="auto"/>
          </w:divBdr>
        </w:div>
        <w:div w:id="782384152">
          <w:marLeft w:val="0"/>
          <w:marRight w:val="0"/>
          <w:marTop w:val="0"/>
          <w:marBottom w:val="0"/>
          <w:divBdr>
            <w:top w:val="none" w:sz="0" w:space="0" w:color="auto"/>
            <w:left w:val="none" w:sz="0" w:space="0" w:color="auto"/>
            <w:bottom w:val="none" w:sz="0" w:space="0" w:color="auto"/>
            <w:right w:val="none" w:sz="0" w:space="0" w:color="auto"/>
          </w:divBdr>
        </w:div>
        <w:div w:id="787549752">
          <w:marLeft w:val="0"/>
          <w:marRight w:val="0"/>
          <w:marTop w:val="0"/>
          <w:marBottom w:val="0"/>
          <w:divBdr>
            <w:top w:val="none" w:sz="0" w:space="0" w:color="auto"/>
            <w:left w:val="none" w:sz="0" w:space="0" w:color="auto"/>
            <w:bottom w:val="none" w:sz="0" w:space="0" w:color="auto"/>
            <w:right w:val="none" w:sz="0" w:space="0" w:color="auto"/>
          </w:divBdr>
        </w:div>
        <w:div w:id="818572368">
          <w:marLeft w:val="0"/>
          <w:marRight w:val="0"/>
          <w:marTop w:val="0"/>
          <w:marBottom w:val="0"/>
          <w:divBdr>
            <w:top w:val="none" w:sz="0" w:space="0" w:color="auto"/>
            <w:left w:val="none" w:sz="0" w:space="0" w:color="auto"/>
            <w:bottom w:val="none" w:sz="0" w:space="0" w:color="auto"/>
            <w:right w:val="none" w:sz="0" w:space="0" w:color="auto"/>
          </w:divBdr>
        </w:div>
        <w:div w:id="830873958">
          <w:marLeft w:val="0"/>
          <w:marRight w:val="0"/>
          <w:marTop w:val="0"/>
          <w:marBottom w:val="0"/>
          <w:divBdr>
            <w:top w:val="none" w:sz="0" w:space="0" w:color="auto"/>
            <w:left w:val="none" w:sz="0" w:space="0" w:color="auto"/>
            <w:bottom w:val="none" w:sz="0" w:space="0" w:color="auto"/>
            <w:right w:val="none" w:sz="0" w:space="0" w:color="auto"/>
          </w:divBdr>
        </w:div>
        <w:div w:id="837692598">
          <w:marLeft w:val="0"/>
          <w:marRight w:val="0"/>
          <w:marTop w:val="0"/>
          <w:marBottom w:val="0"/>
          <w:divBdr>
            <w:top w:val="none" w:sz="0" w:space="0" w:color="auto"/>
            <w:left w:val="none" w:sz="0" w:space="0" w:color="auto"/>
            <w:bottom w:val="none" w:sz="0" w:space="0" w:color="auto"/>
            <w:right w:val="none" w:sz="0" w:space="0" w:color="auto"/>
          </w:divBdr>
        </w:div>
        <w:div w:id="856163288">
          <w:marLeft w:val="0"/>
          <w:marRight w:val="0"/>
          <w:marTop w:val="0"/>
          <w:marBottom w:val="0"/>
          <w:divBdr>
            <w:top w:val="none" w:sz="0" w:space="0" w:color="auto"/>
            <w:left w:val="none" w:sz="0" w:space="0" w:color="auto"/>
            <w:bottom w:val="none" w:sz="0" w:space="0" w:color="auto"/>
            <w:right w:val="none" w:sz="0" w:space="0" w:color="auto"/>
          </w:divBdr>
        </w:div>
        <w:div w:id="856190661">
          <w:marLeft w:val="0"/>
          <w:marRight w:val="0"/>
          <w:marTop w:val="0"/>
          <w:marBottom w:val="0"/>
          <w:divBdr>
            <w:top w:val="none" w:sz="0" w:space="0" w:color="auto"/>
            <w:left w:val="none" w:sz="0" w:space="0" w:color="auto"/>
            <w:bottom w:val="none" w:sz="0" w:space="0" w:color="auto"/>
            <w:right w:val="none" w:sz="0" w:space="0" w:color="auto"/>
          </w:divBdr>
        </w:div>
        <w:div w:id="864564755">
          <w:marLeft w:val="0"/>
          <w:marRight w:val="0"/>
          <w:marTop w:val="0"/>
          <w:marBottom w:val="0"/>
          <w:divBdr>
            <w:top w:val="none" w:sz="0" w:space="0" w:color="auto"/>
            <w:left w:val="none" w:sz="0" w:space="0" w:color="auto"/>
            <w:bottom w:val="none" w:sz="0" w:space="0" w:color="auto"/>
            <w:right w:val="none" w:sz="0" w:space="0" w:color="auto"/>
          </w:divBdr>
        </w:div>
        <w:div w:id="889342993">
          <w:marLeft w:val="0"/>
          <w:marRight w:val="0"/>
          <w:marTop w:val="0"/>
          <w:marBottom w:val="0"/>
          <w:divBdr>
            <w:top w:val="none" w:sz="0" w:space="0" w:color="auto"/>
            <w:left w:val="none" w:sz="0" w:space="0" w:color="auto"/>
            <w:bottom w:val="none" w:sz="0" w:space="0" w:color="auto"/>
            <w:right w:val="none" w:sz="0" w:space="0" w:color="auto"/>
          </w:divBdr>
        </w:div>
        <w:div w:id="897863427">
          <w:marLeft w:val="0"/>
          <w:marRight w:val="0"/>
          <w:marTop w:val="0"/>
          <w:marBottom w:val="0"/>
          <w:divBdr>
            <w:top w:val="none" w:sz="0" w:space="0" w:color="auto"/>
            <w:left w:val="none" w:sz="0" w:space="0" w:color="auto"/>
            <w:bottom w:val="none" w:sz="0" w:space="0" w:color="auto"/>
            <w:right w:val="none" w:sz="0" w:space="0" w:color="auto"/>
          </w:divBdr>
        </w:div>
        <w:div w:id="906302362">
          <w:marLeft w:val="0"/>
          <w:marRight w:val="0"/>
          <w:marTop w:val="0"/>
          <w:marBottom w:val="0"/>
          <w:divBdr>
            <w:top w:val="none" w:sz="0" w:space="0" w:color="auto"/>
            <w:left w:val="none" w:sz="0" w:space="0" w:color="auto"/>
            <w:bottom w:val="none" w:sz="0" w:space="0" w:color="auto"/>
            <w:right w:val="none" w:sz="0" w:space="0" w:color="auto"/>
          </w:divBdr>
        </w:div>
        <w:div w:id="906381975">
          <w:marLeft w:val="0"/>
          <w:marRight w:val="0"/>
          <w:marTop w:val="0"/>
          <w:marBottom w:val="0"/>
          <w:divBdr>
            <w:top w:val="none" w:sz="0" w:space="0" w:color="auto"/>
            <w:left w:val="none" w:sz="0" w:space="0" w:color="auto"/>
            <w:bottom w:val="none" w:sz="0" w:space="0" w:color="auto"/>
            <w:right w:val="none" w:sz="0" w:space="0" w:color="auto"/>
          </w:divBdr>
        </w:div>
        <w:div w:id="936327181">
          <w:marLeft w:val="0"/>
          <w:marRight w:val="0"/>
          <w:marTop w:val="0"/>
          <w:marBottom w:val="0"/>
          <w:divBdr>
            <w:top w:val="none" w:sz="0" w:space="0" w:color="auto"/>
            <w:left w:val="none" w:sz="0" w:space="0" w:color="auto"/>
            <w:bottom w:val="none" w:sz="0" w:space="0" w:color="auto"/>
            <w:right w:val="none" w:sz="0" w:space="0" w:color="auto"/>
          </w:divBdr>
        </w:div>
        <w:div w:id="947153905">
          <w:marLeft w:val="0"/>
          <w:marRight w:val="0"/>
          <w:marTop w:val="0"/>
          <w:marBottom w:val="0"/>
          <w:divBdr>
            <w:top w:val="none" w:sz="0" w:space="0" w:color="auto"/>
            <w:left w:val="none" w:sz="0" w:space="0" w:color="auto"/>
            <w:bottom w:val="none" w:sz="0" w:space="0" w:color="auto"/>
            <w:right w:val="none" w:sz="0" w:space="0" w:color="auto"/>
          </w:divBdr>
        </w:div>
        <w:div w:id="982197085">
          <w:marLeft w:val="0"/>
          <w:marRight w:val="0"/>
          <w:marTop w:val="0"/>
          <w:marBottom w:val="0"/>
          <w:divBdr>
            <w:top w:val="none" w:sz="0" w:space="0" w:color="auto"/>
            <w:left w:val="none" w:sz="0" w:space="0" w:color="auto"/>
            <w:bottom w:val="none" w:sz="0" w:space="0" w:color="auto"/>
            <w:right w:val="none" w:sz="0" w:space="0" w:color="auto"/>
          </w:divBdr>
        </w:div>
        <w:div w:id="985205854">
          <w:marLeft w:val="0"/>
          <w:marRight w:val="0"/>
          <w:marTop w:val="0"/>
          <w:marBottom w:val="0"/>
          <w:divBdr>
            <w:top w:val="none" w:sz="0" w:space="0" w:color="auto"/>
            <w:left w:val="none" w:sz="0" w:space="0" w:color="auto"/>
            <w:bottom w:val="none" w:sz="0" w:space="0" w:color="auto"/>
            <w:right w:val="none" w:sz="0" w:space="0" w:color="auto"/>
          </w:divBdr>
        </w:div>
        <w:div w:id="985860698">
          <w:marLeft w:val="0"/>
          <w:marRight w:val="0"/>
          <w:marTop w:val="0"/>
          <w:marBottom w:val="0"/>
          <w:divBdr>
            <w:top w:val="none" w:sz="0" w:space="0" w:color="auto"/>
            <w:left w:val="none" w:sz="0" w:space="0" w:color="auto"/>
            <w:bottom w:val="none" w:sz="0" w:space="0" w:color="auto"/>
            <w:right w:val="none" w:sz="0" w:space="0" w:color="auto"/>
          </w:divBdr>
        </w:div>
        <w:div w:id="986477511">
          <w:marLeft w:val="0"/>
          <w:marRight w:val="0"/>
          <w:marTop w:val="0"/>
          <w:marBottom w:val="0"/>
          <w:divBdr>
            <w:top w:val="none" w:sz="0" w:space="0" w:color="auto"/>
            <w:left w:val="none" w:sz="0" w:space="0" w:color="auto"/>
            <w:bottom w:val="none" w:sz="0" w:space="0" w:color="auto"/>
            <w:right w:val="none" w:sz="0" w:space="0" w:color="auto"/>
          </w:divBdr>
        </w:div>
        <w:div w:id="988680026">
          <w:marLeft w:val="0"/>
          <w:marRight w:val="0"/>
          <w:marTop w:val="0"/>
          <w:marBottom w:val="0"/>
          <w:divBdr>
            <w:top w:val="none" w:sz="0" w:space="0" w:color="auto"/>
            <w:left w:val="none" w:sz="0" w:space="0" w:color="auto"/>
            <w:bottom w:val="none" w:sz="0" w:space="0" w:color="auto"/>
            <w:right w:val="none" w:sz="0" w:space="0" w:color="auto"/>
          </w:divBdr>
        </w:div>
        <w:div w:id="988703951">
          <w:marLeft w:val="0"/>
          <w:marRight w:val="0"/>
          <w:marTop w:val="0"/>
          <w:marBottom w:val="0"/>
          <w:divBdr>
            <w:top w:val="none" w:sz="0" w:space="0" w:color="auto"/>
            <w:left w:val="none" w:sz="0" w:space="0" w:color="auto"/>
            <w:bottom w:val="none" w:sz="0" w:space="0" w:color="auto"/>
            <w:right w:val="none" w:sz="0" w:space="0" w:color="auto"/>
          </w:divBdr>
        </w:div>
        <w:div w:id="1003631067">
          <w:marLeft w:val="0"/>
          <w:marRight w:val="0"/>
          <w:marTop w:val="0"/>
          <w:marBottom w:val="0"/>
          <w:divBdr>
            <w:top w:val="none" w:sz="0" w:space="0" w:color="auto"/>
            <w:left w:val="none" w:sz="0" w:space="0" w:color="auto"/>
            <w:bottom w:val="none" w:sz="0" w:space="0" w:color="auto"/>
            <w:right w:val="none" w:sz="0" w:space="0" w:color="auto"/>
          </w:divBdr>
        </w:div>
        <w:div w:id="1017344760">
          <w:marLeft w:val="0"/>
          <w:marRight w:val="0"/>
          <w:marTop w:val="0"/>
          <w:marBottom w:val="0"/>
          <w:divBdr>
            <w:top w:val="none" w:sz="0" w:space="0" w:color="auto"/>
            <w:left w:val="none" w:sz="0" w:space="0" w:color="auto"/>
            <w:bottom w:val="none" w:sz="0" w:space="0" w:color="auto"/>
            <w:right w:val="none" w:sz="0" w:space="0" w:color="auto"/>
          </w:divBdr>
        </w:div>
        <w:div w:id="1063331145">
          <w:marLeft w:val="0"/>
          <w:marRight w:val="0"/>
          <w:marTop w:val="0"/>
          <w:marBottom w:val="0"/>
          <w:divBdr>
            <w:top w:val="none" w:sz="0" w:space="0" w:color="auto"/>
            <w:left w:val="none" w:sz="0" w:space="0" w:color="auto"/>
            <w:bottom w:val="none" w:sz="0" w:space="0" w:color="auto"/>
            <w:right w:val="none" w:sz="0" w:space="0" w:color="auto"/>
          </w:divBdr>
        </w:div>
        <w:div w:id="1071775882">
          <w:marLeft w:val="0"/>
          <w:marRight w:val="0"/>
          <w:marTop w:val="0"/>
          <w:marBottom w:val="0"/>
          <w:divBdr>
            <w:top w:val="none" w:sz="0" w:space="0" w:color="auto"/>
            <w:left w:val="none" w:sz="0" w:space="0" w:color="auto"/>
            <w:bottom w:val="none" w:sz="0" w:space="0" w:color="auto"/>
            <w:right w:val="none" w:sz="0" w:space="0" w:color="auto"/>
          </w:divBdr>
        </w:div>
        <w:div w:id="1084492409">
          <w:marLeft w:val="0"/>
          <w:marRight w:val="0"/>
          <w:marTop w:val="0"/>
          <w:marBottom w:val="0"/>
          <w:divBdr>
            <w:top w:val="none" w:sz="0" w:space="0" w:color="auto"/>
            <w:left w:val="none" w:sz="0" w:space="0" w:color="auto"/>
            <w:bottom w:val="none" w:sz="0" w:space="0" w:color="auto"/>
            <w:right w:val="none" w:sz="0" w:space="0" w:color="auto"/>
          </w:divBdr>
        </w:div>
        <w:div w:id="1091043985">
          <w:marLeft w:val="0"/>
          <w:marRight w:val="0"/>
          <w:marTop w:val="0"/>
          <w:marBottom w:val="0"/>
          <w:divBdr>
            <w:top w:val="none" w:sz="0" w:space="0" w:color="auto"/>
            <w:left w:val="none" w:sz="0" w:space="0" w:color="auto"/>
            <w:bottom w:val="none" w:sz="0" w:space="0" w:color="auto"/>
            <w:right w:val="none" w:sz="0" w:space="0" w:color="auto"/>
          </w:divBdr>
        </w:div>
        <w:div w:id="1095249215">
          <w:marLeft w:val="0"/>
          <w:marRight w:val="0"/>
          <w:marTop w:val="0"/>
          <w:marBottom w:val="0"/>
          <w:divBdr>
            <w:top w:val="none" w:sz="0" w:space="0" w:color="auto"/>
            <w:left w:val="none" w:sz="0" w:space="0" w:color="auto"/>
            <w:bottom w:val="none" w:sz="0" w:space="0" w:color="auto"/>
            <w:right w:val="none" w:sz="0" w:space="0" w:color="auto"/>
          </w:divBdr>
        </w:div>
        <w:div w:id="1106849130">
          <w:marLeft w:val="0"/>
          <w:marRight w:val="0"/>
          <w:marTop w:val="0"/>
          <w:marBottom w:val="0"/>
          <w:divBdr>
            <w:top w:val="none" w:sz="0" w:space="0" w:color="auto"/>
            <w:left w:val="none" w:sz="0" w:space="0" w:color="auto"/>
            <w:bottom w:val="none" w:sz="0" w:space="0" w:color="auto"/>
            <w:right w:val="none" w:sz="0" w:space="0" w:color="auto"/>
          </w:divBdr>
        </w:div>
        <w:div w:id="1115520599">
          <w:marLeft w:val="0"/>
          <w:marRight w:val="0"/>
          <w:marTop w:val="0"/>
          <w:marBottom w:val="0"/>
          <w:divBdr>
            <w:top w:val="none" w:sz="0" w:space="0" w:color="auto"/>
            <w:left w:val="none" w:sz="0" w:space="0" w:color="auto"/>
            <w:bottom w:val="none" w:sz="0" w:space="0" w:color="auto"/>
            <w:right w:val="none" w:sz="0" w:space="0" w:color="auto"/>
          </w:divBdr>
        </w:div>
        <w:div w:id="1121457279">
          <w:marLeft w:val="0"/>
          <w:marRight w:val="0"/>
          <w:marTop w:val="0"/>
          <w:marBottom w:val="0"/>
          <w:divBdr>
            <w:top w:val="none" w:sz="0" w:space="0" w:color="auto"/>
            <w:left w:val="none" w:sz="0" w:space="0" w:color="auto"/>
            <w:bottom w:val="none" w:sz="0" w:space="0" w:color="auto"/>
            <w:right w:val="none" w:sz="0" w:space="0" w:color="auto"/>
          </w:divBdr>
        </w:div>
        <w:div w:id="1149321324">
          <w:marLeft w:val="0"/>
          <w:marRight w:val="0"/>
          <w:marTop w:val="0"/>
          <w:marBottom w:val="0"/>
          <w:divBdr>
            <w:top w:val="none" w:sz="0" w:space="0" w:color="auto"/>
            <w:left w:val="none" w:sz="0" w:space="0" w:color="auto"/>
            <w:bottom w:val="none" w:sz="0" w:space="0" w:color="auto"/>
            <w:right w:val="none" w:sz="0" w:space="0" w:color="auto"/>
          </w:divBdr>
        </w:div>
        <w:div w:id="1153182916">
          <w:marLeft w:val="0"/>
          <w:marRight w:val="0"/>
          <w:marTop w:val="0"/>
          <w:marBottom w:val="0"/>
          <w:divBdr>
            <w:top w:val="none" w:sz="0" w:space="0" w:color="auto"/>
            <w:left w:val="none" w:sz="0" w:space="0" w:color="auto"/>
            <w:bottom w:val="none" w:sz="0" w:space="0" w:color="auto"/>
            <w:right w:val="none" w:sz="0" w:space="0" w:color="auto"/>
          </w:divBdr>
        </w:div>
        <w:div w:id="1155343301">
          <w:marLeft w:val="0"/>
          <w:marRight w:val="0"/>
          <w:marTop w:val="0"/>
          <w:marBottom w:val="0"/>
          <w:divBdr>
            <w:top w:val="none" w:sz="0" w:space="0" w:color="auto"/>
            <w:left w:val="none" w:sz="0" w:space="0" w:color="auto"/>
            <w:bottom w:val="none" w:sz="0" w:space="0" w:color="auto"/>
            <w:right w:val="none" w:sz="0" w:space="0" w:color="auto"/>
          </w:divBdr>
        </w:div>
        <w:div w:id="1155604288">
          <w:marLeft w:val="0"/>
          <w:marRight w:val="0"/>
          <w:marTop w:val="0"/>
          <w:marBottom w:val="0"/>
          <w:divBdr>
            <w:top w:val="none" w:sz="0" w:space="0" w:color="auto"/>
            <w:left w:val="none" w:sz="0" w:space="0" w:color="auto"/>
            <w:bottom w:val="none" w:sz="0" w:space="0" w:color="auto"/>
            <w:right w:val="none" w:sz="0" w:space="0" w:color="auto"/>
          </w:divBdr>
        </w:div>
        <w:div w:id="1166434381">
          <w:marLeft w:val="0"/>
          <w:marRight w:val="0"/>
          <w:marTop w:val="0"/>
          <w:marBottom w:val="0"/>
          <w:divBdr>
            <w:top w:val="none" w:sz="0" w:space="0" w:color="auto"/>
            <w:left w:val="none" w:sz="0" w:space="0" w:color="auto"/>
            <w:bottom w:val="none" w:sz="0" w:space="0" w:color="auto"/>
            <w:right w:val="none" w:sz="0" w:space="0" w:color="auto"/>
          </w:divBdr>
        </w:div>
        <w:div w:id="1203052735">
          <w:marLeft w:val="0"/>
          <w:marRight w:val="0"/>
          <w:marTop w:val="0"/>
          <w:marBottom w:val="0"/>
          <w:divBdr>
            <w:top w:val="none" w:sz="0" w:space="0" w:color="auto"/>
            <w:left w:val="none" w:sz="0" w:space="0" w:color="auto"/>
            <w:bottom w:val="none" w:sz="0" w:space="0" w:color="auto"/>
            <w:right w:val="none" w:sz="0" w:space="0" w:color="auto"/>
          </w:divBdr>
        </w:div>
        <w:div w:id="1203177450">
          <w:marLeft w:val="0"/>
          <w:marRight w:val="0"/>
          <w:marTop w:val="0"/>
          <w:marBottom w:val="0"/>
          <w:divBdr>
            <w:top w:val="none" w:sz="0" w:space="0" w:color="auto"/>
            <w:left w:val="none" w:sz="0" w:space="0" w:color="auto"/>
            <w:bottom w:val="none" w:sz="0" w:space="0" w:color="auto"/>
            <w:right w:val="none" w:sz="0" w:space="0" w:color="auto"/>
          </w:divBdr>
        </w:div>
        <w:div w:id="1224635875">
          <w:marLeft w:val="0"/>
          <w:marRight w:val="0"/>
          <w:marTop w:val="0"/>
          <w:marBottom w:val="0"/>
          <w:divBdr>
            <w:top w:val="none" w:sz="0" w:space="0" w:color="auto"/>
            <w:left w:val="none" w:sz="0" w:space="0" w:color="auto"/>
            <w:bottom w:val="none" w:sz="0" w:space="0" w:color="auto"/>
            <w:right w:val="none" w:sz="0" w:space="0" w:color="auto"/>
          </w:divBdr>
        </w:div>
        <w:div w:id="1255941871">
          <w:marLeft w:val="0"/>
          <w:marRight w:val="0"/>
          <w:marTop w:val="0"/>
          <w:marBottom w:val="0"/>
          <w:divBdr>
            <w:top w:val="none" w:sz="0" w:space="0" w:color="auto"/>
            <w:left w:val="none" w:sz="0" w:space="0" w:color="auto"/>
            <w:bottom w:val="none" w:sz="0" w:space="0" w:color="auto"/>
            <w:right w:val="none" w:sz="0" w:space="0" w:color="auto"/>
          </w:divBdr>
        </w:div>
        <w:div w:id="1269236091">
          <w:marLeft w:val="0"/>
          <w:marRight w:val="0"/>
          <w:marTop w:val="0"/>
          <w:marBottom w:val="0"/>
          <w:divBdr>
            <w:top w:val="none" w:sz="0" w:space="0" w:color="auto"/>
            <w:left w:val="none" w:sz="0" w:space="0" w:color="auto"/>
            <w:bottom w:val="none" w:sz="0" w:space="0" w:color="auto"/>
            <w:right w:val="none" w:sz="0" w:space="0" w:color="auto"/>
          </w:divBdr>
        </w:div>
        <w:div w:id="1280574288">
          <w:marLeft w:val="0"/>
          <w:marRight w:val="0"/>
          <w:marTop w:val="0"/>
          <w:marBottom w:val="0"/>
          <w:divBdr>
            <w:top w:val="none" w:sz="0" w:space="0" w:color="auto"/>
            <w:left w:val="none" w:sz="0" w:space="0" w:color="auto"/>
            <w:bottom w:val="none" w:sz="0" w:space="0" w:color="auto"/>
            <w:right w:val="none" w:sz="0" w:space="0" w:color="auto"/>
          </w:divBdr>
        </w:div>
        <w:div w:id="1281451434">
          <w:marLeft w:val="0"/>
          <w:marRight w:val="0"/>
          <w:marTop w:val="0"/>
          <w:marBottom w:val="0"/>
          <w:divBdr>
            <w:top w:val="none" w:sz="0" w:space="0" w:color="auto"/>
            <w:left w:val="none" w:sz="0" w:space="0" w:color="auto"/>
            <w:bottom w:val="none" w:sz="0" w:space="0" w:color="auto"/>
            <w:right w:val="none" w:sz="0" w:space="0" w:color="auto"/>
          </w:divBdr>
        </w:div>
        <w:div w:id="1281913455">
          <w:marLeft w:val="0"/>
          <w:marRight w:val="0"/>
          <w:marTop w:val="0"/>
          <w:marBottom w:val="0"/>
          <w:divBdr>
            <w:top w:val="none" w:sz="0" w:space="0" w:color="auto"/>
            <w:left w:val="none" w:sz="0" w:space="0" w:color="auto"/>
            <w:bottom w:val="none" w:sz="0" w:space="0" w:color="auto"/>
            <w:right w:val="none" w:sz="0" w:space="0" w:color="auto"/>
          </w:divBdr>
        </w:div>
        <w:div w:id="1288389120">
          <w:marLeft w:val="0"/>
          <w:marRight w:val="0"/>
          <w:marTop w:val="0"/>
          <w:marBottom w:val="0"/>
          <w:divBdr>
            <w:top w:val="none" w:sz="0" w:space="0" w:color="auto"/>
            <w:left w:val="none" w:sz="0" w:space="0" w:color="auto"/>
            <w:bottom w:val="none" w:sz="0" w:space="0" w:color="auto"/>
            <w:right w:val="none" w:sz="0" w:space="0" w:color="auto"/>
          </w:divBdr>
        </w:div>
        <w:div w:id="1290281581">
          <w:marLeft w:val="0"/>
          <w:marRight w:val="0"/>
          <w:marTop w:val="0"/>
          <w:marBottom w:val="0"/>
          <w:divBdr>
            <w:top w:val="none" w:sz="0" w:space="0" w:color="auto"/>
            <w:left w:val="none" w:sz="0" w:space="0" w:color="auto"/>
            <w:bottom w:val="none" w:sz="0" w:space="0" w:color="auto"/>
            <w:right w:val="none" w:sz="0" w:space="0" w:color="auto"/>
          </w:divBdr>
        </w:div>
        <w:div w:id="1295677135">
          <w:marLeft w:val="0"/>
          <w:marRight w:val="0"/>
          <w:marTop w:val="0"/>
          <w:marBottom w:val="0"/>
          <w:divBdr>
            <w:top w:val="none" w:sz="0" w:space="0" w:color="auto"/>
            <w:left w:val="none" w:sz="0" w:space="0" w:color="auto"/>
            <w:bottom w:val="none" w:sz="0" w:space="0" w:color="auto"/>
            <w:right w:val="none" w:sz="0" w:space="0" w:color="auto"/>
          </w:divBdr>
        </w:div>
        <w:div w:id="1304970136">
          <w:marLeft w:val="0"/>
          <w:marRight w:val="0"/>
          <w:marTop w:val="0"/>
          <w:marBottom w:val="0"/>
          <w:divBdr>
            <w:top w:val="none" w:sz="0" w:space="0" w:color="auto"/>
            <w:left w:val="none" w:sz="0" w:space="0" w:color="auto"/>
            <w:bottom w:val="none" w:sz="0" w:space="0" w:color="auto"/>
            <w:right w:val="none" w:sz="0" w:space="0" w:color="auto"/>
          </w:divBdr>
        </w:div>
        <w:div w:id="1321620075">
          <w:marLeft w:val="0"/>
          <w:marRight w:val="0"/>
          <w:marTop w:val="0"/>
          <w:marBottom w:val="0"/>
          <w:divBdr>
            <w:top w:val="none" w:sz="0" w:space="0" w:color="auto"/>
            <w:left w:val="none" w:sz="0" w:space="0" w:color="auto"/>
            <w:bottom w:val="none" w:sz="0" w:space="0" w:color="auto"/>
            <w:right w:val="none" w:sz="0" w:space="0" w:color="auto"/>
          </w:divBdr>
        </w:div>
        <w:div w:id="1343388431">
          <w:marLeft w:val="0"/>
          <w:marRight w:val="0"/>
          <w:marTop w:val="0"/>
          <w:marBottom w:val="0"/>
          <w:divBdr>
            <w:top w:val="none" w:sz="0" w:space="0" w:color="auto"/>
            <w:left w:val="none" w:sz="0" w:space="0" w:color="auto"/>
            <w:bottom w:val="none" w:sz="0" w:space="0" w:color="auto"/>
            <w:right w:val="none" w:sz="0" w:space="0" w:color="auto"/>
          </w:divBdr>
        </w:div>
        <w:div w:id="1344169397">
          <w:marLeft w:val="0"/>
          <w:marRight w:val="0"/>
          <w:marTop w:val="0"/>
          <w:marBottom w:val="0"/>
          <w:divBdr>
            <w:top w:val="none" w:sz="0" w:space="0" w:color="auto"/>
            <w:left w:val="none" w:sz="0" w:space="0" w:color="auto"/>
            <w:bottom w:val="none" w:sz="0" w:space="0" w:color="auto"/>
            <w:right w:val="none" w:sz="0" w:space="0" w:color="auto"/>
          </w:divBdr>
        </w:div>
        <w:div w:id="1349218558">
          <w:marLeft w:val="0"/>
          <w:marRight w:val="0"/>
          <w:marTop w:val="0"/>
          <w:marBottom w:val="0"/>
          <w:divBdr>
            <w:top w:val="none" w:sz="0" w:space="0" w:color="auto"/>
            <w:left w:val="none" w:sz="0" w:space="0" w:color="auto"/>
            <w:bottom w:val="none" w:sz="0" w:space="0" w:color="auto"/>
            <w:right w:val="none" w:sz="0" w:space="0" w:color="auto"/>
          </w:divBdr>
        </w:div>
        <w:div w:id="1349528793">
          <w:marLeft w:val="0"/>
          <w:marRight w:val="0"/>
          <w:marTop w:val="0"/>
          <w:marBottom w:val="0"/>
          <w:divBdr>
            <w:top w:val="none" w:sz="0" w:space="0" w:color="auto"/>
            <w:left w:val="none" w:sz="0" w:space="0" w:color="auto"/>
            <w:bottom w:val="none" w:sz="0" w:space="0" w:color="auto"/>
            <w:right w:val="none" w:sz="0" w:space="0" w:color="auto"/>
          </w:divBdr>
        </w:div>
        <w:div w:id="1378163751">
          <w:marLeft w:val="0"/>
          <w:marRight w:val="0"/>
          <w:marTop w:val="0"/>
          <w:marBottom w:val="0"/>
          <w:divBdr>
            <w:top w:val="none" w:sz="0" w:space="0" w:color="auto"/>
            <w:left w:val="none" w:sz="0" w:space="0" w:color="auto"/>
            <w:bottom w:val="none" w:sz="0" w:space="0" w:color="auto"/>
            <w:right w:val="none" w:sz="0" w:space="0" w:color="auto"/>
          </w:divBdr>
        </w:div>
        <w:div w:id="1384795503">
          <w:marLeft w:val="0"/>
          <w:marRight w:val="0"/>
          <w:marTop w:val="0"/>
          <w:marBottom w:val="0"/>
          <w:divBdr>
            <w:top w:val="none" w:sz="0" w:space="0" w:color="auto"/>
            <w:left w:val="none" w:sz="0" w:space="0" w:color="auto"/>
            <w:bottom w:val="none" w:sz="0" w:space="0" w:color="auto"/>
            <w:right w:val="none" w:sz="0" w:space="0" w:color="auto"/>
          </w:divBdr>
        </w:div>
        <w:div w:id="1387338348">
          <w:marLeft w:val="0"/>
          <w:marRight w:val="0"/>
          <w:marTop w:val="0"/>
          <w:marBottom w:val="0"/>
          <w:divBdr>
            <w:top w:val="none" w:sz="0" w:space="0" w:color="auto"/>
            <w:left w:val="none" w:sz="0" w:space="0" w:color="auto"/>
            <w:bottom w:val="none" w:sz="0" w:space="0" w:color="auto"/>
            <w:right w:val="none" w:sz="0" w:space="0" w:color="auto"/>
          </w:divBdr>
        </w:div>
        <w:div w:id="1402361485">
          <w:marLeft w:val="0"/>
          <w:marRight w:val="0"/>
          <w:marTop w:val="0"/>
          <w:marBottom w:val="0"/>
          <w:divBdr>
            <w:top w:val="none" w:sz="0" w:space="0" w:color="auto"/>
            <w:left w:val="none" w:sz="0" w:space="0" w:color="auto"/>
            <w:bottom w:val="none" w:sz="0" w:space="0" w:color="auto"/>
            <w:right w:val="none" w:sz="0" w:space="0" w:color="auto"/>
          </w:divBdr>
        </w:div>
        <w:div w:id="1402875343">
          <w:marLeft w:val="0"/>
          <w:marRight w:val="0"/>
          <w:marTop w:val="0"/>
          <w:marBottom w:val="0"/>
          <w:divBdr>
            <w:top w:val="none" w:sz="0" w:space="0" w:color="auto"/>
            <w:left w:val="none" w:sz="0" w:space="0" w:color="auto"/>
            <w:bottom w:val="none" w:sz="0" w:space="0" w:color="auto"/>
            <w:right w:val="none" w:sz="0" w:space="0" w:color="auto"/>
          </w:divBdr>
        </w:div>
        <w:div w:id="1408914035">
          <w:marLeft w:val="0"/>
          <w:marRight w:val="0"/>
          <w:marTop w:val="0"/>
          <w:marBottom w:val="0"/>
          <w:divBdr>
            <w:top w:val="none" w:sz="0" w:space="0" w:color="auto"/>
            <w:left w:val="none" w:sz="0" w:space="0" w:color="auto"/>
            <w:bottom w:val="none" w:sz="0" w:space="0" w:color="auto"/>
            <w:right w:val="none" w:sz="0" w:space="0" w:color="auto"/>
          </w:divBdr>
        </w:div>
        <w:div w:id="1423646064">
          <w:marLeft w:val="0"/>
          <w:marRight w:val="0"/>
          <w:marTop w:val="0"/>
          <w:marBottom w:val="0"/>
          <w:divBdr>
            <w:top w:val="none" w:sz="0" w:space="0" w:color="auto"/>
            <w:left w:val="none" w:sz="0" w:space="0" w:color="auto"/>
            <w:bottom w:val="none" w:sz="0" w:space="0" w:color="auto"/>
            <w:right w:val="none" w:sz="0" w:space="0" w:color="auto"/>
          </w:divBdr>
        </w:div>
        <w:div w:id="1492673550">
          <w:marLeft w:val="0"/>
          <w:marRight w:val="0"/>
          <w:marTop w:val="0"/>
          <w:marBottom w:val="0"/>
          <w:divBdr>
            <w:top w:val="none" w:sz="0" w:space="0" w:color="auto"/>
            <w:left w:val="none" w:sz="0" w:space="0" w:color="auto"/>
            <w:bottom w:val="none" w:sz="0" w:space="0" w:color="auto"/>
            <w:right w:val="none" w:sz="0" w:space="0" w:color="auto"/>
          </w:divBdr>
        </w:div>
        <w:div w:id="1500079599">
          <w:marLeft w:val="0"/>
          <w:marRight w:val="0"/>
          <w:marTop w:val="0"/>
          <w:marBottom w:val="0"/>
          <w:divBdr>
            <w:top w:val="none" w:sz="0" w:space="0" w:color="auto"/>
            <w:left w:val="none" w:sz="0" w:space="0" w:color="auto"/>
            <w:bottom w:val="none" w:sz="0" w:space="0" w:color="auto"/>
            <w:right w:val="none" w:sz="0" w:space="0" w:color="auto"/>
          </w:divBdr>
        </w:div>
        <w:div w:id="1518732097">
          <w:marLeft w:val="0"/>
          <w:marRight w:val="0"/>
          <w:marTop w:val="0"/>
          <w:marBottom w:val="0"/>
          <w:divBdr>
            <w:top w:val="none" w:sz="0" w:space="0" w:color="auto"/>
            <w:left w:val="none" w:sz="0" w:space="0" w:color="auto"/>
            <w:bottom w:val="none" w:sz="0" w:space="0" w:color="auto"/>
            <w:right w:val="none" w:sz="0" w:space="0" w:color="auto"/>
          </w:divBdr>
        </w:div>
        <w:div w:id="1584097473">
          <w:marLeft w:val="0"/>
          <w:marRight w:val="0"/>
          <w:marTop w:val="0"/>
          <w:marBottom w:val="0"/>
          <w:divBdr>
            <w:top w:val="none" w:sz="0" w:space="0" w:color="auto"/>
            <w:left w:val="none" w:sz="0" w:space="0" w:color="auto"/>
            <w:bottom w:val="none" w:sz="0" w:space="0" w:color="auto"/>
            <w:right w:val="none" w:sz="0" w:space="0" w:color="auto"/>
          </w:divBdr>
        </w:div>
        <w:div w:id="1589656301">
          <w:marLeft w:val="0"/>
          <w:marRight w:val="0"/>
          <w:marTop w:val="0"/>
          <w:marBottom w:val="0"/>
          <w:divBdr>
            <w:top w:val="none" w:sz="0" w:space="0" w:color="auto"/>
            <w:left w:val="none" w:sz="0" w:space="0" w:color="auto"/>
            <w:bottom w:val="none" w:sz="0" w:space="0" w:color="auto"/>
            <w:right w:val="none" w:sz="0" w:space="0" w:color="auto"/>
          </w:divBdr>
        </w:div>
        <w:div w:id="1600016763">
          <w:marLeft w:val="0"/>
          <w:marRight w:val="0"/>
          <w:marTop w:val="0"/>
          <w:marBottom w:val="0"/>
          <w:divBdr>
            <w:top w:val="none" w:sz="0" w:space="0" w:color="auto"/>
            <w:left w:val="none" w:sz="0" w:space="0" w:color="auto"/>
            <w:bottom w:val="none" w:sz="0" w:space="0" w:color="auto"/>
            <w:right w:val="none" w:sz="0" w:space="0" w:color="auto"/>
          </w:divBdr>
        </w:div>
        <w:div w:id="1657756038">
          <w:marLeft w:val="0"/>
          <w:marRight w:val="0"/>
          <w:marTop w:val="0"/>
          <w:marBottom w:val="0"/>
          <w:divBdr>
            <w:top w:val="none" w:sz="0" w:space="0" w:color="auto"/>
            <w:left w:val="none" w:sz="0" w:space="0" w:color="auto"/>
            <w:bottom w:val="none" w:sz="0" w:space="0" w:color="auto"/>
            <w:right w:val="none" w:sz="0" w:space="0" w:color="auto"/>
          </w:divBdr>
        </w:div>
        <w:div w:id="1701053811">
          <w:marLeft w:val="0"/>
          <w:marRight w:val="0"/>
          <w:marTop w:val="0"/>
          <w:marBottom w:val="0"/>
          <w:divBdr>
            <w:top w:val="none" w:sz="0" w:space="0" w:color="auto"/>
            <w:left w:val="none" w:sz="0" w:space="0" w:color="auto"/>
            <w:bottom w:val="none" w:sz="0" w:space="0" w:color="auto"/>
            <w:right w:val="none" w:sz="0" w:space="0" w:color="auto"/>
          </w:divBdr>
        </w:div>
        <w:div w:id="1704407360">
          <w:marLeft w:val="0"/>
          <w:marRight w:val="0"/>
          <w:marTop w:val="0"/>
          <w:marBottom w:val="0"/>
          <w:divBdr>
            <w:top w:val="none" w:sz="0" w:space="0" w:color="auto"/>
            <w:left w:val="none" w:sz="0" w:space="0" w:color="auto"/>
            <w:bottom w:val="none" w:sz="0" w:space="0" w:color="auto"/>
            <w:right w:val="none" w:sz="0" w:space="0" w:color="auto"/>
          </w:divBdr>
        </w:div>
        <w:div w:id="1715276514">
          <w:marLeft w:val="0"/>
          <w:marRight w:val="0"/>
          <w:marTop w:val="0"/>
          <w:marBottom w:val="0"/>
          <w:divBdr>
            <w:top w:val="none" w:sz="0" w:space="0" w:color="auto"/>
            <w:left w:val="none" w:sz="0" w:space="0" w:color="auto"/>
            <w:bottom w:val="none" w:sz="0" w:space="0" w:color="auto"/>
            <w:right w:val="none" w:sz="0" w:space="0" w:color="auto"/>
          </w:divBdr>
        </w:div>
        <w:div w:id="1729642916">
          <w:marLeft w:val="0"/>
          <w:marRight w:val="0"/>
          <w:marTop w:val="0"/>
          <w:marBottom w:val="0"/>
          <w:divBdr>
            <w:top w:val="none" w:sz="0" w:space="0" w:color="auto"/>
            <w:left w:val="none" w:sz="0" w:space="0" w:color="auto"/>
            <w:bottom w:val="none" w:sz="0" w:space="0" w:color="auto"/>
            <w:right w:val="none" w:sz="0" w:space="0" w:color="auto"/>
          </w:divBdr>
        </w:div>
        <w:div w:id="1755928899">
          <w:marLeft w:val="0"/>
          <w:marRight w:val="0"/>
          <w:marTop w:val="0"/>
          <w:marBottom w:val="0"/>
          <w:divBdr>
            <w:top w:val="none" w:sz="0" w:space="0" w:color="auto"/>
            <w:left w:val="none" w:sz="0" w:space="0" w:color="auto"/>
            <w:bottom w:val="none" w:sz="0" w:space="0" w:color="auto"/>
            <w:right w:val="none" w:sz="0" w:space="0" w:color="auto"/>
          </w:divBdr>
        </w:div>
        <w:div w:id="1789351764">
          <w:marLeft w:val="0"/>
          <w:marRight w:val="0"/>
          <w:marTop w:val="0"/>
          <w:marBottom w:val="0"/>
          <w:divBdr>
            <w:top w:val="none" w:sz="0" w:space="0" w:color="auto"/>
            <w:left w:val="none" w:sz="0" w:space="0" w:color="auto"/>
            <w:bottom w:val="none" w:sz="0" w:space="0" w:color="auto"/>
            <w:right w:val="none" w:sz="0" w:space="0" w:color="auto"/>
          </w:divBdr>
        </w:div>
        <w:div w:id="1793475626">
          <w:marLeft w:val="0"/>
          <w:marRight w:val="0"/>
          <w:marTop w:val="0"/>
          <w:marBottom w:val="0"/>
          <w:divBdr>
            <w:top w:val="none" w:sz="0" w:space="0" w:color="auto"/>
            <w:left w:val="none" w:sz="0" w:space="0" w:color="auto"/>
            <w:bottom w:val="none" w:sz="0" w:space="0" w:color="auto"/>
            <w:right w:val="none" w:sz="0" w:space="0" w:color="auto"/>
          </w:divBdr>
        </w:div>
        <w:div w:id="1824656213">
          <w:marLeft w:val="0"/>
          <w:marRight w:val="0"/>
          <w:marTop w:val="0"/>
          <w:marBottom w:val="0"/>
          <w:divBdr>
            <w:top w:val="none" w:sz="0" w:space="0" w:color="auto"/>
            <w:left w:val="none" w:sz="0" w:space="0" w:color="auto"/>
            <w:bottom w:val="none" w:sz="0" w:space="0" w:color="auto"/>
            <w:right w:val="none" w:sz="0" w:space="0" w:color="auto"/>
          </w:divBdr>
        </w:div>
        <w:div w:id="1849901184">
          <w:marLeft w:val="0"/>
          <w:marRight w:val="0"/>
          <w:marTop w:val="0"/>
          <w:marBottom w:val="0"/>
          <w:divBdr>
            <w:top w:val="none" w:sz="0" w:space="0" w:color="auto"/>
            <w:left w:val="none" w:sz="0" w:space="0" w:color="auto"/>
            <w:bottom w:val="none" w:sz="0" w:space="0" w:color="auto"/>
            <w:right w:val="none" w:sz="0" w:space="0" w:color="auto"/>
          </w:divBdr>
        </w:div>
        <w:div w:id="1855074042">
          <w:marLeft w:val="0"/>
          <w:marRight w:val="0"/>
          <w:marTop w:val="0"/>
          <w:marBottom w:val="0"/>
          <w:divBdr>
            <w:top w:val="none" w:sz="0" w:space="0" w:color="auto"/>
            <w:left w:val="none" w:sz="0" w:space="0" w:color="auto"/>
            <w:bottom w:val="none" w:sz="0" w:space="0" w:color="auto"/>
            <w:right w:val="none" w:sz="0" w:space="0" w:color="auto"/>
          </w:divBdr>
        </w:div>
        <w:div w:id="1870410635">
          <w:marLeft w:val="0"/>
          <w:marRight w:val="0"/>
          <w:marTop w:val="0"/>
          <w:marBottom w:val="0"/>
          <w:divBdr>
            <w:top w:val="none" w:sz="0" w:space="0" w:color="auto"/>
            <w:left w:val="none" w:sz="0" w:space="0" w:color="auto"/>
            <w:bottom w:val="none" w:sz="0" w:space="0" w:color="auto"/>
            <w:right w:val="none" w:sz="0" w:space="0" w:color="auto"/>
          </w:divBdr>
        </w:div>
        <w:div w:id="1871797365">
          <w:marLeft w:val="0"/>
          <w:marRight w:val="0"/>
          <w:marTop w:val="0"/>
          <w:marBottom w:val="0"/>
          <w:divBdr>
            <w:top w:val="none" w:sz="0" w:space="0" w:color="auto"/>
            <w:left w:val="none" w:sz="0" w:space="0" w:color="auto"/>
            <w:bottom w:val="none" w:sz="0" w:space="0" w:color="auto"/>
            <w:right w:val="none" w:sz="0" w:space="0" w:color="auto"/>
          </w:divBdr>
        </w:div>
        <w:div w:id="1872835562">
          <w:marLeft w:val="0"/>
          <w:marRight w:val="0"/>
          <w:marTop w:val="0"/>
          <w:marBottom w:val="0"/>
          <w:divBdr>
            <w:top w:val="none" w:sz="0" w:space="0" w:color="auto"/>
            <w:left w:val="none" w:sz="0" w:space="0" w:color="auto"/>
            <w:bottom w:val="none" w:sz="0" w:space="0" w:color="auto"/>
            <w:right w:val="none" w:sz="0" w:space="0" w:color="auto"/>
          </w:divBdr>
        </w:div>
        <w:div w:id="1892302235">
          <w:marLeft w:val="0"/>
          <w:marRight w:val="0"/>
          <w:marTop w:val="0"/>
          <w:marBottom w:val="0"/>
          <w:divBdr>
            <w:top w:val="none" w:sz="0" w:space="0" w:color="auto"/>
            <w:left w:val="none" w:sz="0" w:space="0" w:color="auto"/>
            <w:bottom w:val="none" w:sz="0" w:space="0" w:color="auto"/>
            <w:right w:val="none" w:sz="0" w:space="0" w:color="auto"/>
          </w:divBdr>
        </w:div>
        <w:div w:id="1894078217">
          <w:marLeft w:val="0"/>
          <w:marRight w:val="0"/>
          <w:marTop w:val="0"/>
          <w:marBottom w:val="0"/>
          <w:divBdr>
            <w:top w:val="none" w:sz="0" w:space="0" w:color="auto"/>
            <w:left w:val="none" w:sz="0" w:space="0" w:color="auto"/>
            <w:bottom w:val="none" w:sz="0" w:space="0" w:color="auto"/>
            <w:right w:val="none" w:sz="0" w:space="0" w:color="auto"/>
          </w:divBdr>
        </w:div>
        <w:div w:id="1925145213">
          <w:marLeft w:val="0"/>
          <w:marRight w:val="0"/>
          <w:marTop w:val="0"/>
          <w:marBottom w:val="0"/>
          <w:divBdr>
            <w:top w:val="none" w:sz="0" w:space="0" w:color="auto"/>
            <w:left w:val="none" w:sz="0" w:space="0" w:color="auto"/>
            <w:bottom w:val="none" w:sz="0" w:space="0" w:color="auto"/>
            <w:right w:val="none" w:sz="0" w:space="0" w:color="auto"/>
          </w:divBdr>
        </w:div>
        <w:div w:id="1944992913">
          <w:marLeft w:val="0"/>
          <w:marRight w:val="0"/>
          <w:marTop w:val="0"/>
          <w:marBottom w:val="0"/>
          <w:divBdr>
            <w:top w:val="none" w:sz="0" w:space="0" w:color="auto"/>
            <w:left w:val="none" w:sz="0" w:space="0" w:color="auto"/>
            <w:bottom w:val="none" w:sz="0" w:space="0" w:color="auto"/>
            <w:right w:val="none" w:sz="0" w:space="0" w:color="auto"/>
          </w:divBdr>
        </w:div>
        <w:div w:id="1947886696">
          <w:marLeft w:val="0"/>
          <w:marRight w:val="0"/>
          <w:marTop w:val="0"/>
          <w:marBottom w:val="0"/>
          <w:divBdr>
            <w:top w:val="none" w:sz="0" w:space="0" w:color="auto"/>
            <w:left w:val="none" w:sz="0" w:space="0" w:color="auto"/>
            <w:bottom w:val="none" w:sz="0" w:space="0" w:color="auto"/>
            <w:right w:val="none" w:sz="0" w:space="0" w:color="auto"/>
          </w:divBdr>
        </w:div>
        <w:div w:id="1963294539">
          <w:marLeft w:val="0"/>
          <w:marRight w:val="0"/>
          <w:marTop w:val="0"/>
          <w:marBottom w:val="0"/>
          <w:divBdr>
            <w:top w:val="none" w:sz="0" w:space="0" w:color="auto"/>
            <w:left w:val="none" w:sz="0" w:space="0" w:color="auto"/>
            <w:bottom w:val="none" w:sz="0" w:space="0" w:color="auto"/>
            <w:right w:val="none" w:sz="0" w:space="0" w:color="auto"/>
          </w:divBdr>
        </w:div>
        <w:div w:id="1973437155">
          <w:marLeft w:val="0"/>
          <w:marRight w:val="0"/>
          <w:marTop w:val="0"/>
          <w:marBottom w:val="0"/>
          <w:divBdr>
            <w:top w:val="none" w:sz="0" w:space="0" w:color="auto"/>
            <w:left w:val="none" w:sz="0" w:space="0" w:color="auto"/>
            <w:bottom w:val="none" w:sz="0" w:space="0" w:color="auto"/>
            <w:right w:val="none" w:sz="0" w:space="0" w:color="auto"/>
          </w:divBdr>
        </w:div>
        <w:div w:id="1974169985">
          <w:marLeft w:val="0"/>
          <w:marRight w:val="0"/>
          <w:marTop w:val="0"/>
          <w:marBottom w:val="0"/>
          <w:divBdr>
            <w:top w:val="none" w:sz="0" w:space="0" w:color="auto"/>
            <w:left w:val="none" w:sz="0" w:space="0" w:color="auto"/>
            <w:bottom w:val="none" w:sz="0" w:space="0" w:color="auto"/>
            <w:right w:val="none" w:sz="0" w:space="0" w:color="auto"/>
          </w:divBdr>
        </w:div>
        <w:div w:id="1981836508">
          <w:marLeft w:val="0"/>
          <w:marRight w:val="0"/>
          <w:marTop w:val="0"/>
          <w:marBottom w:val="0"/>
          <w:divBdr>
            <w:top w:val="none" w:sz="0" w:space="0" w:color="auto"/>
            <w:left w:val="none" w:sz="0" w:space="0" w:color="auto"/>
            <w:bottom w:val="none" w:sz="0" w:space="0" w:color="auto"/>
            <w:right w:val="none" w:sz="0" w:space="0" w:color="auto"/>
          </w:divBdr>
        </w:div>
        <w:div w:id="1985236478">
          <w:marLeft w:val="0"/>
          <w:marRight w:val="0"/>
          <w:marTop w:val="0"/>
          <w:marBottom w:val="0"/>
          <w:divBdr>
            <w:top w:val="none" w:sz="0" w:space="0" w:color="auto"/>
            <w:left w:val="none" w:sz="0" w:space="0" w:color="auto"/>
            <w:bottom w:val="none" w:sz="0" w:space="0" w:color="auto"/>
            <w:right w:val="none" w:sz="0" w:space="0" w:color="auto"/>
          </w:divBdr>
        </w:div>
        <w:div w:id="2011785606">
          <w:marLeft w:val="0"/>
          <w:marRight w:val="0"/>
          <w:marTop w:val="0"/>
          <w:marBottom w:val="0"/>
          <w:divBdr>
            <w:top w:val="none" w:sz="0" w:space="0" w:color="auto"/>
            <w:left w:val="none" w:sz="0" w:space="0" w:color="auto"/>
            <w:bottom w:val="none" w:sz="0" w:space="0" w:color="auto"/>
            <w:right w:val="none" w:sz="0" w:space="0" w:color="auto"/>
          </w:divBdr>
        </w:div>
        <w:div w:id="2018771632">
          <w:marLeft w:val="0"/>
          <w:marRight w:val="0"/>
          <w:marTop w:val="0"/>
          <w:marBottom w:val="0"/>
          <w:divBdr>
            <w:top w:val="none" w:sz="0" w:space="0" w:color="auto"/>
            <w:left w:val="none" w:sz="0" w:space="0" w:color="auto"/>
            <w:bottom w:val="none" w:sz="0" w:space="0" w:color="auto"/>
            <w:right w:val="none" w:sz="0" w:space="0" w:color="auto"/>
          </w:divBdr>
        </w:div>
        <w:div w:id="2027636258">
          <w:marLeft w:val="0"/>
          <w:marRight w:val="0"/>
          <w:marTop w:val="0"/>
          <w:marBottom w:val="0"/>
          <w:divBdr>
            <w:top w:val="none" w:sz="0" w:space="0" w:color="auto"/>
            <w:left w:val="none" w:sz="0" w:space="0" w:color="auto"/>
            <w:bottom w:val="none" w:sz="0" w:space="0" w:color="auto"/>
            <w:right w:val="none" w:sz="0" w:space="0" w:color="auto"/>
          </w:divBdr>
        </w:div>
        <w:div w:id="2052680600">
          <w:marLeft w:val="0"/>
          <w:marRight w:val="0"/>
          <w:marTop w:val="0"/>
          <w:marBottom w:val="0"/>
          <w:divBdr>
            <w:top w:val="none" w:sz="0" w:space="0" w:color="auto"/>
            <w:left w:val="none" w:sz="0" w:space="0" w:color="auto"/>
            <w:bottom w:val="none" w:sz="0" w:space="0" w:color="auto"/>
            <w:right w:val="none" w:sz="0" w:space="0" w:color="auto"/>
          </w:divBdr>
        </w:div>
        <w:div w:id="2066097949">
          <w:marLeft w:val="0"/>
          <w:marRight w:val="0"/>
          <w:marTop w:val="0"/>
          <w:marBottom w:val="0"/>
          <w:divBdr>
            <w:top w:val="none" w:sz="0" w:space="0" w:color="auto"/>
            <w:left w:val="none" w:sz="0" w:space="0" w:color="auto"/>
            <w:bottom w:val="none" w:sz="0" w:space="0" w:color="auto"/>
            <w:right w:val="none" w:sz="0" w:space="0" w:color="auto"/>
          </w:divBdr>
        </w:div>
        <w:div w:id="2075077090">
          <w:marLeft w:val="0"/>
          <w:marRight w:val="0"/>
          <w:marTop w:val="0"/>
          <w:marBottom w:val="0"/>
          <w:divBdr>
            <w:top w:val="none" w:sz="0" w:space="0" w:color="auto"/>
            <w:left w:val="none" w:sz="0" w:space="0" w:color="auto"/>
            <w:bottom w:val="none" w:sz="0" w:space="0" w:color="auto"/>
            <w:right w:val="none" w:sz="0" w:space="0" w:color="auto"/>
          </w:divBdr>
        </w:div>
        <w:div w:id="2078555958">
          <w:marLeft w:val="0"/>
          <w:marRight w:val="0"/>
          <w:marTop w:val="0"/>
          <w:marBottom w:val="0"/>
          <w:divBdr>
            <w:top w:val="none" w:sz="0" w:space="0" w:color="auto"/>
            <w:left w:val="none" w:sz="0" w:space="0" w:color="auto"/>
            <w:bottom w:val="none" w:sz="0" w:space="0" w:color="auto"/>
            <w:right w:val="none" w:sz="0" w:space="0" w:color="auto"/>
          </w:divBdr>
        </w:div>
        <w:div w:id="2084138288">
          <w:marLeft w:val="0"/>
          <w:marRight w:val="0"/>
          <w:marTop w:val="0"/>
          <w:marBottom w:val="0"/>
          <w:divBdr>
            <w:top w:val="none" w:sz="0" w:space="0" w:color="auto"/>
            <w:left w:val="none" w:sz="0" w:space="0" w:color="auto"/>
            <w:bottom w:val="none" w:sz="0" w:space="0" w:color="auto"/>
            <w:right w:val="none" w:sz="0" w:space="0" w:color="auto"/>
          </w:divBdr>
        </w:div>
        <w:div w:id="2102293830">
          <w:marLeft w:val="0"/>
          <w:marRight w:val="0"/>
          <w:marTop w:val="0"/>
          <w:marBottom w:val="0"/>
          <w:divBdr>
            <w:top w:val="none" w:sz="0" w:space="0" w:color="auto"/>
            <w:left w:val="none" w:sz="0" w:space="0" w:color="auto"/>
            <w:bottom w:val="none" w:sz="0" w:space="0" w:color="auto"/>
            <w:right w:val="none" w:sz="0" w:space="0" w:color="auto"/>
          </w:divBdr>
        </w:div>
        <w:div w:id="2117021232">
          <w:marLeft w:val="0"/>
          <w:marRight w:val="0"/>
          <w:marTop w:val="0"/>
          <w:marBottom w:val="0"/>
          <w:divBdr>
            <w:top w:val="none" w:sz="0" w:space="0" w:color="auto"/>
            <w:left w:val="none" w:sz="0" w:space="0" w:color="auto"/>
            <w:bottom w:val="none" w:sz="0" w:space="0" w:color="auto"/>
            <w:right w:val="none" w:sz="0" w:space="0" w:color="auto"/>
          </w:divBdr>
        </w:div>
        <w:div w:id="2130665685">
          <w:marLeft w:val="0"/>
          <w:marRight w:val="0"/>
          <w:marTop w:val="0"/>
          <w:marBottom w:val="0"/>
          <w:divBdr>
            <w:top w:val="none" w:sz="0" w:space="0" w:color="auto"/>
            <w:left w:val="none" w:sz="0" w:space="0" w:color="auto"/>
            <w:bottom w:val="none" w:sz="0" w:space="0" w:color="auto"/>
            <w:right w:val="none" w:sz="0" w:space="0" w:color="auto"/>
          </w:divBdr>
        </w:div>
      </w:divsChild>
    </w:div>
    <w:div w:id="43217986">
      <w:bodyDiv w:val="1"/>
      <w:marLeft w:val="0"/>
      <w:marRight w:val="0"/>
      <w:marTop w:val="0"/>
      <w:marBottom w:val="0"/>
      <w:divBdr>
        <w:top w:val="none" w:sz="0" w:space="0" w:color="auto"/>
        <w:left w:val="none" w:sz="0" w:space="0" w:color="auto"/>
        <w:bottom w:val="none" w:sz="0" w:space="0" w:color="auto"/>
        <w:right w:val="none" w:sz="0" w:space="0" w:color="auto"/>
      </w:divBdr>
      <w:divsChild>
        <w:div w:id="182978320">
          <w:marLeft w:val="0"/>
          <w:marRight w:val="0"/>
          <w:marTop w:val="0"/>
          <w:marBottom w:val="105"/>
          <w:divBdr>
            <w:top w:val="none" w:sz="0" w:space="0" w:color="auto"/>
            <w:left w:val="none" w:sz="0" w:space="0" w:color="auto"/>
            <w:bottom w:val="none" w:sz="0" w:space="0" w:color="auto"/>
            <w:right w:val="none" w:sz="0" w:space="0" w:color="auto"/>
          </w:divBdr>
          <w:divsChild>
            <w:div w:id="514148748">
              <w:marLeft w:val="0"/>
              <w:marRight w:val="0"/>
              <w:marTop w:val="0"/>
              <w:marBottom w:val="0"/>
              <w:divBdr>
                <w:top w:val="none" w:sz="0" w:space="0" w:color="auto"/>
                <w:left w:val="none" w:sz="0" w:space="0" w:color="auto"/>
                <w:bottom w:val="none" w:sz="0" w:space="0" w:color="auto"/>
                <w:right w:val="none" w:sz="0" w:space="0" w:color="auto"/>
              </w:divBdr>
            </w:div>
          </w:divsChild>
        </w:div>
        <w:div w:id="1211501279">
          <w:marLeft w:val="0"/>
          <w:marRight w:val="0"/>
          <w:marTop w:val="0"/>
          <w:marBottom w:val="0"/>
          <w:divBdr>
            <w:top w:val="none" w:sz="0" w:space="0" w:color="auto"/>
            <w:left w:val="none" w:sz="0" w:space="0" w:color="auto"/>
            <w:bottom w:val="none" w:sz="0" w:space="0" w:color="auto"/>
            <w:right w:val="none" w:sz="0" w:space="0" w:color="auto"/>
          </w:divBdr>
          <w:divsChild>
            <w:div w:id="1616011724">
              <w:marLeft w:val="0"/>
              <w:marRight w:val="0"/>
              <w:marTop w:val="0"/>
              <w:marBottom w:val="330"/>
              <w:divBdr>
                <w:top w:val="none" w:sz="0" w:space="0" w:color="auto"/>
                <w:left w:val="none" w:sz="0" w:space="0" w:color="auto"/>
                <w:bottom w:val="none" w:sz="0" w:space="0" w:color="auto"/>
                <w:right w:val="none" w:sz="0" w:space="0" w:color="auto"/>
              </w:divBdr>
            </w:div>
            <w:div w:id="17439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4812">
      <w:bodyDiv w:val="1"/>
      <w:marLeft w:val="0"/>
      <w:marRight w:val="0"/>
      <w:marTop w:val="0"/>
      <w:marBottom w:val="0"/>
      <w:divBdr>
        <w:top w:val="none" w:sz="0" w:space="0" w:color="auto"/>
        <w:left w:val="none" w:sz="0" w:space="0" w:color="auto"/>
        <w:bottom w:val="none" w:sz="0" w:space="0" w:color="auto"/>
        <w:right w:val="none" w:sz="0" w:space="0" w:color="auto"/>
      </w:divBdr>
    </w:div>
    <w:div w:id="554662135">
      <w:bodyDiv w:val="1"/>
      <w:marLeft w:val="0"/>
      <w:marRight w:val="0"/>
      <w:marTop w:val="0"/>
      <w:marBottom w:val="0"/>
      <w:divBdr>
        <w:top w:val="none" w:sz="0" w:space="0" w:color="auto"/>
        <w:left w:val="none" w:sz="0" w:space="0" w:color="auto"/>
        <w:bottom w:val="none" w:sz="0" w:space="0" w:color="auto"/>
        <w:right w:val="none" w:sz="0" w:space="0" w:color="auto"/>
      </w:divBdr>
      <w:divsChild>
        <w:div w:id="590628059">
          <w:marLeft w:val="0"/>
          <w:marRight w:val="0"/>
          <w:marTop w:val="0"/>
          <w:marBottom w:val="0"/>
          <w:divBdr>
            <w:top w:val="none" w:sz="0" w:space="0" w:color="auto"/>
            <w:left w:val="none" w:sz="0" w:space="0" w:color="auto"/>
            <w:bottom w:val="none" w:sz="0" w:space="0" w:color="auto"/>
            <w:right w:val="none" w:sz="0" w:space="0" w:color="auto"/>
          </w:divBdr>
          <w:divsChild>
            <w:div w:id="895701062">
              <w:marLeft w:val="0"/>
              <w:marRight w:val="0"/>
              <w:marTop w:val="0"/>
              <w:marBottom w:val="0"/>
              <w:divBdr>
                <w:top w:val="none" w:sz="0" w:space="0" w:color="auto"/>
                <w:left w:val="none" w:sz="0" w:space="0" w:color="auto"/>
                <w:bottom w:val="none" w:sz="0" w:space="0" w:color="auto"/>
                <w:right w:val="none" w:sz="0" w:space="0" w:color="auto"/>
              </w:divBdr>
              <w:divsChild>
                <w:div w:id="35280410">
                  <w:marLeft w:val="0"/>
                  <w:marRight w:val="0"/>
                  <w:marTop w:val="0"/>
                  <w:marBottom w:val="0"/>
                  <w:divBdr>
                    <w:top w:val="none" w:sz="0" w:space="0" w:color="auto"/>
                    <w:left w:val="none" w:sz="0" w:space="0" w:color="auto"/>
                    <w:bottom w:val="none" w:sz="0" w:space="0" w:color="auto"/>
                    <w:right w:val="none" w:sz="0" w:space="0" w:color="auto"/>
                  </w:divBdr>
                  <w:divsChild>
                    <w:div w:id="1524316634">
                      <w:marLeft w:val="0"/>
                      <w:marRight w:val="0"/>
                      <w:marTop w:val="0"/>
                      <w:marBottom w:val="0"/>
                      <w:divBdr>
                        <w:top w:val="none" w:sz="0" w:space="0" w:color="auto"/>
                        <w:left w:val="none" w:sz="0" w:space="0" w:color="auto"/>
                        <w:bottom w:val="none" w:sz="0" w:space="0" w:color="auto"/>
                        <w:right w:val="none" w:sz="0" w:space="0" w:color="auto"/>
                      </w:divBdr>
                      <w:divsChild>
                        <w:div w:id="1538619673">
                          <w:marLeft w:val="0"/>
                          <w:marRight w:val="0"/>
                          <w:marTop w:val="0"/>
                          <w:marBottom w:val="0"/>
                          <w:divBdr>
                            <w:top w:val="none" w:sz="0" w:space="0" w:color="auto"/>
                            <w:left w:val="none" w:sz="0" w:space="0" w:color="auto"/>
                            <w:bottom w:val="none" w:sz="0" w:space="0" w:color="auto"/>
                            <w:right w:val="none" w:sz="0" w:space="0" w:color="auto"/>
                          </w:divBdr>
                          <w:divsChild>
                            <w:div w:id="12479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49650">
      <w:bodyDiv w:val="1"/>
      <w:marLeft w:val="0"/>
      <w:marRight w:val="0"/>
      <w:marTop w:val="0"/>
      <w:marBottom w:val="0"/>
      <w:divBdr>
        <w:top w:val="none" w:sz="0" w:space="0" w:color="auto"/>
        <w:left w:val="none" w:sz="0" w:space="0" w:color="auto"/>
        <w:bottom w:val="none" w:sz="0" w:space="0" w:color="auto"/>
        <w:right w:val="none" w:sz="0" w:space="0" w:color="auto"/>
      </w:divBdr>
      <w:divsChild>
        <w:div w:id="756826531">
          <w:marLeft w:val="0"/>
          <w:marRight w:val="0"/>
          <w:marTop w:val="0"/>
          <w:marBottom w:val="0"/>
          <w:divBdr>
            <w:top w:val="none" w:sz="0" w:space="0" w:color="auto"/>
            <w:left w:val="none" w:sz="0" w:space="0" w:color="auto"/>
            <w:bottom w:val="none" w:sz="0" w:space="0" w:color="auto"/>
            <w:right w:val="none" w:sz="0" w:space="0" w:color="auto"/>
          </w:divBdr>
          <w:divsChild>
            <w:div w:id="480122009">
              <w:marLeft w:val="0"/>
              <w:marRight w:val="0"/>
              <w:marTop w:val="0"/>
              <w:marBottom w:val="0"/>
              <w:divBdr>
                <w:top w:val="none" w:sz="0" w:space="0" w:color="auto"/>
                <w:left w:val="none" w:sz="0" w:space="0" w:color="auto"/>
                <w:bottom w:val="none" w:sz="0" w:space="0" w:color="auto"/>
                <w:right w:val="none" w:sz="0" w:space="0" w:color="auto"/>
              </w:divBdr>
              <w:divsChild>
                <w:div w:id="373699985">
                  <w:marLeft w:val="0"/>
                  <w:marRight w:val="0"/>
                  <w:marTop w:val="0"/>
                  <w:marBottom w:val="0"/>
                  <w:divBdr>
                    <w:top w:val="none" w:sz="0" w:space="0" w:color="auto"/>
                    <w:left w:val="none" w:sz="0" w:space="0" w:color="auto"/>
                    <w:bottom w:val="none" w:sz="0" w:space="0" w:color="auto"/>
                    <w:right w:val="none" w:sz="0" w:space="0" w:color="auto"/>
                  </w:divBdr>
                  <w:divsChild>
                    <w:div w:id="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3246">
      <w:bodyDiv w:val="1"/>
      <w:marLeft w:val="0"/>
      <w:marRight w:val="0"/>
      <w:marTop w:val="0"/>
      <w:marBottom w:val="0"/>
      <w:divBdr>
        <w:top w:val="none" w:sz="0" w:space="0" w:color="auto"/>
        <w:left w:val="none" w:sz="0" w:space="0" w:color="auto"/>
        <w:bottom w:val="none" w:sz="0" w:space="0" w:color="auto"/>
        <w:right w:val="none" w:sz="0" w:space="0" w:color="auto"/>
      </w:divBdr>
      <w:divsChild>
        <w:div w:id="847795874">
          <w:marLeft w:val="0"/>
          <w:marRight w:val="0"/>
          <w:marTop w:val="0"/>
          <w:marBottom w:val="0"/>
          <w:divBdr>
            <w:top w:val="none" w:sz="0" w:space="0" w:color="auto"/>
            <w:left w:val="none" w:sz="0" w:space="0" w:color="auto"/>
            <w:bottom w:val="none" w:sz="0" w:space="0" w:color="auto"/>
            <w:right w:val="none" w:sz="0" w:space="0" w:color="auto"/>
          </w:divBdr>
          <w:divsChild>
            <w:div w:id="1475831783">
              <w:marLeft w:val="0"/>
              <w:marRight w:val="0"/>
              <w:marTop w:val="0"/>
              <w:marBottom w:val="0"/>
              <w:divBdr>
                <w:top w:val="none" w:sz="0" w:space="0" w:color="auto"/>
                <w:left w:val="none" w:sz="0" w:space="0" w:color="auto"/>
                <w:bottom w:val="none" w:sz="0" w:space="0" w:color="auto"/>
                <w:right w:val="none" w:sz="0" w:space="0" w:color="auto"/>
              </w:divBdr>
              <w:divsChild>
                <w:div w:id="2051491951">
                  <w:marLeft w:val="0"/>
                  <w:marRight w:val="0"/>
                  <w:marTop w:val="0"/>
                  <w:marBottom w:val="0"/>
                  <w:divBdr>
                    <w:top w:val="none" w:sz="0" w:space="0" w:color="auto"/>
                    <w:left w:val="none" w:sz="0" w:space="0" w:color="auto"/>
                    <w:bottom w:val="none" w:sz="0" w:space="0" w:color="auto"/>
                    <w:right w:val="none" w:sz="0" w:space="0" w:color="auto"/>
                  </w:divBdr>
                  <w:divsChild>
                    <w:div w:id="1523471906">
                      <w:marLeft w:val="0"/>
                      <w:marRight w:val="0"/>
                      <w:marTop w:val="0"/>
                      <w:marBottom w:val="0"/>
                      <w:divBdr>
                        <w:top w:val="single" w:sz="48" w:space="0" w:color="auto"/>
                        <w:left w:val="single" w:sz="48" w:space="0" w:color="auto"/>
                        <w:bottom w:val="single" w:sz="48" w:space="0" w:color="auto"/>
                        <w:right w:val="single" w:sz="48" w:space="0" w:color="auto"/>
                      </w:divBdr>
                      <w:divsChild>
                        <w:div w:id="1042093490">
                          <w:marLeft w:val="0"/>
                          <w:marRight w:val="0"/>
                          <w:marTop w:val="0"/>
                          <w:marBottom w:val="0"/>
                          <w:divBdr>
                            <w:top w:val="none" w:sz="0" w:space="0" w:color="auto"/>
                            <w:left w:val="none" w:sz="0" w:space="0" w:color="auto"/>
                            <w:bottom w:val="none" w:sz="0" w:space="0" w:color="auto"/>
                            <w:right w:val="none" w:sz="0" w:space="0" w:color="auto"/>
                          </w:divBdr>
                          <w:divsChild>
                            <w:div w:id="660694952">
                              <w:marLeft w:val="0"/>
                              <w:marRight w:val="0"/>
                              <w:marTop w:val="0"/>
                              <w:marBottom w:val="0"/>
                              <w:divBdr>
                                <w:top w:val="none" w:sz="0" w:space="0" w:color="auto"/>
                                <w:left w:val="none" w:sz="0" w:space="0" w:color="auto"/>
                                <w:bottom w:val="none" w:sz="0" w:space="0" w:color="auto"/>
                                <w:right w:val="none" w:sz="0" w:space="0" w:color="auto"/>
                              </w:divBdr>
                            </w:div>
                            <w:div w:id="2053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6565">
      <w:bodyDiv w:val="1"/>
      <w:marLeft w:val="0"/>
      <w:marRight w:val="0"/>
      <w:marTop w:val="0"/>
      <w:marBottom w:val="0"/>
      <w:divBdr>
        <w:top w:val="none" w:sz="0" w:space="0" w:color="auto"/>
        <w:left w:val="none" w:sz="0" w:space="0" w:color="auto"/>
        <w:bottom w:val="none" w:sz="0" w:space="0" w:color="auto"/>
        <w:right w:val="none" w:sz="0" w:space="0" w:color="auto"/>
      </w:divBdr>
      <w:divsChild>
        <w:div w:id="2127505462">
          <w:marLeft w:val="0"/>
          <w:marRight w:val="0"/>
          <w:marTop w:val="0"/>
          <w:marBottom w:val="0"/>
          <w:divBdr>
            <w:top w:val="none" w:sz="0" w:space="0" w:color="auto"/>
            <w:left w:val="none" w:sz="0" w:space="0" w:color="auto"/>
            <w:bottom w:val="none" w:sz="0" w:space="0" w:color="auto"/>
            <w:right w:val="none" w:sz="0" w:space="0" w:color="auto"/>
          </w:divBdr>
          <w:divsChild>
            <w:div w:id="641348111">
              <w:marLeft w:val="0"/>
              <w:marRight w:val="0"/>
              <w:marTop w:val="0"/>
              <w:marBottom w:val="0"/>
              <w:divBdr>
                <w:top w:val="none" w:sz="0" w:space="0" w:color="auto"/>
                <w:left w:val="none" w:sz="0" w:space="0" w:color="auto"/>
                <w:bottom w:val="none" w:sz="0" w:space="0" w:color="auto"/>
                <w:right w:val="none" w:sz="0" w:space="0" w:color="auto"/>
              </w:divBdr>
              <w:divsChild>
                <w:div w:id="14115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18578">
      <w:bodyDiv w:val="1"/>
      <w:marLeft w:val="0"/>
      <w:marRight w:val="0"/>
      <w:marTop w:val="0"/>
      <w:marBottom w:val="0"/>
      <w:divBdr>
        <w:top w:val="none" w:sz="0" w:space="0" w:color="auto"/>
        <w:left w:val="none" w:sz="0" w:space="0" w:color="auto"/>
        <w:bottom w:val="none" w:sz="0" w:space="0" w:color="auto"/>
        <w:right w:val="none" w:sz="0" w:space="0" w:color="auto"/>
      </w:divBdr>
      <w:divsChild>
        <w:div w:id="890723950">
          <w:marLeft w:val="0"/>
          <w:marRight w:val="0"/>
          <w:marTop w:val="0"/>
          <w:marBottom w:val="0"/>
          <w:divBdr>
            <w:top w:val="none" w:sz="0" w:space="0" w:color="auto"/>
            <w:left w:val="none" w:sz="0" w:space="0" w:color="auto"/>
            <w:bottom w:val="none" w:sz="0" w:space="0" w:color="auto"/>
            <w:right w:val="none" w:sz="0" w:space="0" w:color="auto"/>
          </w:divBdr>
          <w:divsChild>
            <w:div w:id="240797472">
              <w:marLeft w:val="0"/>
              <w:marRight w:val="0"/>
              <w:marTop w:val="0"/>
              <w:marBottom w:val="0"/>
              <w:divBdr>
                <w:top w:val="none" w:sz="0" w:space="0" w:color="auto"/>
                <w:left w:val="none" w:sz="0" w:space="0" w:color="auto"/>
                <w:bottom w:val="none" w:sz="0" w:space="0" w:color="auto"/>
                <w:right w:val="none" w:sz="0" w:space="0" w:color="auto"/>
              </w:divBdr>
              <w:divsChild>
                <w:div w:id="1643390759">
                  <w:marLeft w:val="0"/>
                  <w:marRight w:val="0"/>
                  <w:marTop w:val="0"/>
                  <w:marBottom w:val="0"/>
                  <w:divBdr>
                    <w:top w:val="none" w:sz="0" w:space="0" w:color="auto"/>
                    <w:left w:val="none" w:sz="0" w:space="0" w:color="auto"/>
                    <w:bottom w:val="none" w:sz="0" w:space="0" w:color="auto"/>
                    <w:right w:val="none" w:sz="0" w:space="0" w:color="auto"/>
                  </w:divBdr>
                  <w:divsChild>
                    <w:div w:id="1012563372">
                      <w:marLeft w:val="0"/>
                      <w:marRight w:val="0"/>
                      <w:marTop w:val="0"/>
                      <w:marBottom w:val="0"/>
                      <w:divBdr>
                        <w:top w:val="single" w:sz="48" w:space="0" w:color="auto"/>
                        <w:left w:val="single" w:sz="48" w:space="0" w:color="auto"/>
                        <w:bottom w:val="single" w:sz="48" w:space="0" w:color="auto"/>
                        <w:right w:val="single" w:sz="48" w:space="0" w:color="auto"/>
                      </w:divBdr>
                      <w:divsChild>
                        <w:div w:id="1581673514">
                          <w:marLeft w:val="0"/>
                          <w:marRight w:val="0"/>
                          <w:marTop w:val="0"/>
                          <w:marBottom w:val="0"/>
                          <w:divBdr>
                            <w:top w:val="none" w:sz="0" w:space="0" w:color="auto"/>
                            <w:left w:val="none" w:sz="0" w:space="0" w:color="auto"/>
                            <w:bottom w:val="none" w:sz="0" w:space="0" w:color="auto"/>
                            <w:right w:val="none" w:sz="0" w:space="0" w:color="auto"/>
                          </w:divBdr>
                          <w:divsChild>
                            <w:div w:id="423570567">
                              <w:marLeft w:val="0"/>
                              <w:marRight w:val="0"/>
                              <w:marTop w:val="0"/>
                              <w:marBottom w:val="0"/>
                              <w:divBdr>
                                <w:top w:val="none" w:sz="0" w:space="0" w:color="auto"/>
                                <w:left w:val="none" w:sz="0" w:space="0" w:color="auto"/>
                                <w:bottom w:val="none" w:sz="0" w:space="0" w:color="auto"/>
                                <w:right w:val="none" w:sz="0" w:space="0" w:color="auto"/>
                              </w:divBdr>
                            </w:div>
                            <w:div w:id="15768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6264">
      <w:bodyDiv w:val="1"/>
      <w:marLeft w:val="0"/>
      <w:marRight w:val="0"/>
      <w:marTop w:val="0"/>
      <w:marBottom w:val="0"/>
      <w:divBdr>
        <w:top w:val="none" w:sz="0" w:space="0" w:color="auto"/>
        <w:left w:val="none" w:sz="0" w:space="0" w:color="auto"/>
        <w:bottom w:val="none" w:sz="0" w:space="0" w:color="auto"/>
        <w:right w:val="none" w:sz="0" w:space="0" w:color="auto"/>
      </w:divBdr>
      <w:divsChild>
        <w:div w:id="1748264368">
          <w:marLeft w:val="0"/>
          <w:marRight w:val="0"/>
          <w:marTop w:val="0"/>
          <w:marBottom w:val="0"/>
          <w:divBdr>
            <w:top w:val="none" w:sz="0" w:space="0" w:color="auto"/>
            <w:left w:val="none" w:sz="0" w:space="0" w:color="auto"/>
            <w:bottom w:val="none" w:sz="0" w:space="0" w:color="auto"/>
            <w:right w:val="none" w:sz="0" w:space="0" w:color="auto"/>
          </w:divBdr>
          <w:divsChild>
            <w:div w:id="1938556280">
              <w:marLeft w:val="0"/>
              <w:marRight w:val="0"/>
              <w:marTop w:val="0"/>
              <w:marBottom w:val="0"/>
              <w:divBdr>
                <w:top w:val="none" w:sz="0" w:space="0" w:color="auto"/>
                <w:left w:val="none" w:sz="0" w:space="0" w:color="auto"/>
                <w:bottom w:val="none" w:sz="0" w:space="0" w:color="auto"/>
                <w:right w:val="none" w:sz="0" w:space="0" w:color="auto"/>
              </w:divBdr>
              <w:divsChild>
                <w:div w:id="6066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7103">
      <w:bodyDiv w:val="1"/>
      <w:marLeft w:val="0"/>
      <w:marRight w:val="0"/>
      <w:marTop w:val="0"/>
      <w:marBottom w:val="0"/>
      <w:divBdr>
        <w:top w:val="none" w:sz="0" w:space="0" w:color="auto"/>
        <w:left w:val="none" w:sz="0" w:space="0" w:color="auto"/>
        <w:bottom w:val="none" w:sz="0" w:space="0" w:color="auto"/>
        <w:right w:val="none" w:sz="0" w:space="0" w:color="auto"/>
      </w:divBdr>
      <w:divsChild>
        <w:div w:id="1986741414">
          <w:marLeft w:val="0"/>
          <w:marRight w:val="0"/>
          <w:marTop w:val="0"/>
          <w:marBottom w:val="0"/>
          <w:divBdr>
            <w:top w:val="none" w:sz="0" w:space="0" w:color="auto"/>
            <w:left w:val="none" w:sz="0" w:space="0" w:color="auto"/>
            <w:bottom w:val="none" w:sz="0" w:space="0" w:color="auto"/>
            <w:right w:val="none" w:sz="0" w:space="0" w:color="auto"/>
          </w:divBdr>
          <w:divsChild>
            <w:div w:id="276915123">
              <w:marLeft w:val="-225"/>
              <w:marRight w:val="-225"/>
              <w:marTop w:val="0"/>
              <w:marBottom w:val="0"/>
              <w:divBdr>
                <w:top w:val="none" w:sz="0" w:space="0" w:color="auto"/>
                <w:left w:val="none" w:sz="0" w:space="0" w:color="auto"/>
                <w:bottom w:val="none" w:sz="0" w:space="0" w:color="auto"/>
                <w:right w:val="none" w:sz="0" w:space="0" w:color="auto"/>
              </w:divBdr>
              <w:divsChild>
                <w:div w:id="557325351">
                  <w:marLeft w:val="0"/>
                  <w:marRight w:val="0"/>
                  <w:marTop w:val="0"/>
                  <w:marBottom w:val="0"/>
                  <w:divBdr>
                    <w:top w:val="none" w:sz="0" w:space="0" w:color="auto"/>
                    <w:left w:val="none" w:sz="0" w:space="0" w:color="auto"/>
                    <w:bottom w:val="none" w:sz="0" w:space="0" w:color="auto"/>
                    <w:right w:val="none" w:sz="0" w:space="0" w:color="auto"/>
                  </w:divBdr>
                  <w:divsChild>
                    <w:div w:id="1654488938">
                      <w:marLeft w:val="0"/>
                      <w:marRight w:val="0"/>
                      <w:marTop w:val="0"/>
                      <w:marBottom w:val="0"/>
                      <w:divBdr>
                        <w:top w:val="none" w:sz="0" w:space="0" w:color="auto"/>
                        <w:left w:val="none" w:sz="0" w:space="0" w:color="auto"/>
                        <w:bottom w:val="none" w:sz="0" w:space="0" w:color="auto"/>
                        <w:right w:val="none" w:sz="0" w:space="0" w:color="auto"/>
                      </w:divBdr>
                      <w:divsChild>
                        <w:div w:id="548804879">
                          <w:marLeft w:val="-225"/>
                          <w:marRight w:val="-225"/>
                          <w:marTop w:val="0"/>
                          <w:marBottom w:val="0"/>
                          <w:divBdr>
                            <w:top w:val="none" w:sz="0" w:space="0" w:color="auto"/>
                            <w:left w:val="none" w:sz="0" w:space="0" w:color="auto"/>
                            <w:bottom w:val="none" w:sz="0" w:space="0" w:color="auto"/>
                            <w:right w:val="none" w:sz="0" w:space="0" w:color="auto"/>
                          </w:divBdr>
                          <w:divsChild>
                            <w:div w:id="132451963">
                              <w:marLeft w:val="0"/>
                              <w:marRight w:val="0"/>
                              <w:marTop w:val="0"/>
                              <w:marBottom w:val="0"/>
                              <w:divBdr>
                                <w:top w:val="none" w:sz="0" w:space="0" w:color="auto"/>
                                <w:left w:val="none" w:sz="0" w:space="0" w:color="auto"/>
                                <w:bottom w:val="none" w:sz="0" w:space="0" w:color="auto"/>
                                <w:right w:val="none" w:sz="0" w:space="0" w:color="auto"/>
                              </w:divBdr>
                              <w:divsChild>
                                <w:div w:id="1451120469">
                                  <w:marLeft w:val="0"/>
                                  <w:marRight w:val="0"/>
                                  <w:marTop w:val="0"/>
                                  <w:marBottom w:val="0"/>
                                  <w:divBdr>
                                    <w:top w:val="none" w:sz="0" w:space="0" w:color="auto"/>
                                    <w:left w:val="none" w:sz="0" w:space="0" w:color="auto"/>
                                    <w:bottom w:val="none" w:sz="0" w:space="0" w:color="auto"/>
                                    <w:right w:val="none" w:sz="0" w:space="0" w:color="auto"/>
                                  </w:divBdr>
                                  <w:divsChild>
                                    <w:div w:id="437725663">
                                      <w:marLeft w:val="0"/>
                                      <w:marRight w:val="0"/>
                                      <w:marTop w:val="0"/>
                                      <w:marBottom w:val="0"/>
                                      <w:divBdr>
                                        <w:top w:val="none" w:sz="0" w:space="0" w:color="auto"/>
                                        <w:left w:val="none" w:sz="0" w:space="0" w:color="auto"/>
                                        <w:bottom w:val="none" w:sz="0" w:space="0" w:color="auto"/>
                                        <w:right w:val="none" w:sz="0" w:space="0" w:color="auto"/>
                                      </w:divBdr>
                                      <w:divsChild>
                                        <w:div w:id="850686614">
                                          <w:marLeft w:val="0"/>
                                          <w:marRight w:val="0"/>
                                          <w:marTop w:val="0"/>
                                          <w:marBottom w:val="0"/>
                                          <w:divBdr>
                                            <w:top w:val="none" w:sz="0" w:space="0" w:color="auto"/>
                                            <w:left w:val="none" w:sz="0" w:space="0" w:color="auto"/>
                                            <w:bottom w:val="none" w:sz="0" w:space="0" w:color="auto"/>
                                            <w:right w:val="none" w:sz="0" w:space="0" w:color="auto"/>
                                          </w:divBdr>
                                          <w:divsChild>
                                            <w:div w:id="510294823">
                                              <w:marLeft w:val="0"/>
                                              <w:marRight w:val="0"/>
                                              <w:marTop w:val="0"/>
                                              <w:marBottom w:val="0"/>
                                              <w:divBdr>
                                                <w:top w:val="none" w:sz="0" w:space="0" w:color="auto"/>
                                                <w:left w:val="none" w:sz="0" w:space="0" w:color="auto"/>
                                                <w:bottom w:val="none" w:sz="0" w:space="0" w:color="auto"/>
                                                <w:right w:val="none" w:sz="0" w:space="0" w:color="auto"/>
                                              </w:divBdr>
                                              <w:divsChild>
                                                <w:div w:id="1520385339">
                                                  <w:marLeft w:val="0"/>
                                                  <w:marRight w:val="0"/>
                                                  <w:marTop w:val="0"/>
                                                  <w:marBottom w:val="0"/>
                                                  <w:divBdr>
                                                    <w:top w:val="none" w:sz="0" w:space="0" w:color="auto"/>
                                                    <w:left w:val="none" w:sz="0" w:space="0" w:color="auto"/>
                                                    <w:bottom w:val="none" w:sz="0" w:space="0" w:color="auto"/>
                                                    <w:right w:val="none" w:sz="0" w:space="0" w:color="auto"/>
                                                  </w:divBdr>
                                                  <w:divsChild>
                                                    <w:div w:id="174462219">
                                                      <w:marLeft w:val="0"/>
                                                      <w:marRight w:val="0"/>
                                                      <w:marTop w:val="0"/>
                                                      <w:marBottom w:val="0"/>
                                                      <w:divBdr>
                                                        <w:top w:val="none" w:sz="0" w:space="0" w:color="auto"/>
                                                        <w:left w:val="none" w:sz="0" w:space="0" w:color="auto"/>
                                                        <w:bottom w:val="none" w:sz="0" w:space="0" w:color="auto"/>
                                                        <w:right w:val="none" w:sz="0" w:space="0" w:color="auto"/>
                                                      </w:divBdr>
                                                      <w:divsChild>
                                                        <w:div w:id="20428549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791100">
      <w:bodyDiv w:val="1"/>
      <w:marLeft w:val="0"/>
      <w:marRight w:val="0"/>
      <w:marTop w:val="0"/>
      <w:marBottom w:val="0"/>
      <w:divBdr>
        <w:top w:val="none" w:sz="0" w:space="0" w:color="auto"/>
        <w:left w:val="none" w:sz="0" w:space="0" w:color="auto"/>
        <w:bottom w:val="none" w:sz="0" w:space="0" w:color="auto"/>
        <w:right w:val="none" w:sz="0" w:space="0" w:color="auto"/>
      </w:divBdr>
    </w:div>
    <w:div w:id="1732928062">
      <w:bodyDiv w:val="1"/>
      <w:marLeft w:val="0"/>
      <w:marRight w:val="0"/>
      <w:marTop w:val="0"/>
      <w:marBottom w:val="0"/>
      <w:divBdr>
        <w:top w:val="none" w:sz="0" w:space="0" w:color="auto"/>
        <w:left w:val="none" w:sz="0" w:space="0" w:color="auto"/>
        <w:bottom w:val="none" w:sz="0" w:space="0" w:color="auto"/>
        <w:right w:val="none" w:sz="0" w:space="0" w:color="auto"/>
      </w:divBdr>
      <w:divsChild>
        <w:div w:id="19862703">
          <w:marLeft w:val="0"/>
          <w:marRight w:val="0"/>
          <w:marTop w:val="0"/>
          <w:marBottom w:val="0"/>
          <w:divBdr>
            <w:top w:val="none" w:sz="0" w:space="0" w:color="auto"/>
            <w:left w:val="none" w:sz="0" w:space="0" w:color="auto"/>
            <w:bottom w:val="none" w:sz="0" w:space="0" w:color="auto"/>
            <w:right w:val="none" w:sz="0" w:space="0" w:color="auto"/>
          </w:divBdr>
        </w:div>
        <w:div w:id="37510539">
          <w:marLeft w:val="0"/>
          <w:marRight w:val="0"/>
          <w:marTop w:val="0"/>
          <w:marBottom w:val="0"/>
          <w:divBdr>
            <w:top w:val="none" w:sz="0" w:space="0" w:color="auto"/>
            <w:left w:val="none" w:sz="0" w:space="0" w:color="auto"/>
            <w:bottom w:val="none" w:sz="0" w:space="0" w:color="auto"/>
            <w:right w:val="none" w:sz="0" w:space="0" w:color="auto"/>
          </w:divBdr>
        </w:div>
        <w:div w:id="39747509">
          <w:marLeft w:val="0"/>
          <w:marRight w:val="0"/>
          <w:marTop w:val="0"/>
          <w:marBottom w:val="0"/>
          <w:divBdr>
            <w:top w:val="none" w:sz="0" w:space="0" w:color="auto"/>
            <w:left w:val="none" w:sz="0" w:space="0" w:color="auto"/>
            <w:bottom w:val="none" w:sz="0" w:space="0" w:color="auto"/>
            <w:right w:val="none" w:sz="0" w:space="0" w:color="auto"/>
          </w:divBdr>
        </w:div>
        <w:div w:id="44304171">
          <w:marLeft w:val="0"/>
          <w:marRight w:val="0"/>
          <w:marTop w:val="0"/>
          <w:marBottom w:val="0"/>
          <w:divBdr>
            <w:top w:val="none" w:sz="0" w:space="0" w:color="auto"/>
            <w:left w:val="none" w:sz="0" w:space="0" w:color="auto"/>
            <w:bottom w:val="none" w:sz="0" w:space="0" w:color="auto"/>
            <w:right w:val="none" w:sz="0" w:space="0" w:color="auto"/>
          </w:divBdr>
        </w:div>
        <w:div w:id="48237196">
          <w:marLeft w:val="0"/>
          <w:marRight w:val="0"/>
          <w:marTop w:val="0"/>
          <w:marBottom w:val="0"/>
          <w:divBdr>
            <w:top w:val="none" w:sz="0" w:space="0" w:color="auto"/>
            <w:left w:val="none" w:sz="0" w:space="0" w:color="auto"/>
            <w:bottom w:val="none" w:sz="0" w:space="0" w:color="auto"/>
            <w:right w:val="none" w:sz="0" w:space="0" w:color="auto"/>
          </w:divBdr>
        </w:div>
        <w:div w:id="67658734">
          <w:marLeft w:val="0"/>
          <w:marRight w:val="0"/>
          <w:marTop w:val="0"/>
          <w:marBottom w:val="0"/>
          <w:divBdr>
            <w:top w:val="none" w:sz="0" w:space="0" w:color="auto"/>
            <w:left w:val="none" w:sz="0" w:space="0" w:color="auto"/>
            <w:bottom w:val="none" w:sz="0" w:space="0" w:color="auto"/>
            <w:right w:val="none" w:sz="0" w:space="0" w:color="auto"/>
          </w:divBdr>
        </w:div>
        <w:div w:id="80178931">
          <w:marLeft w:val="0"/>
          <w:marRight w:val="0"/>
          <w:marTop w:val="0"/>
          <w:marBottom w:val="0"/>
          <w:divBdr>
            <w:top w:val="none" w:sz="0" w:space="0" w:color="auto"/>
            <w:left w:val="none" w:sz="0" w:space="0" w:color="auto"/>
            <w:bottom w:val="none" w:sz="0" w:space="0" w:color="auto"/>
            <w:right w:val="none" w:sz="0" w:space="0" w:color="auto"/>
          </w:divBdr>
        </w:div>
        <w:div w:id="82798589">
          <w:marLeft w:val="0"/>
          <w:marRight w:val="0"/>
          <w:marTop w:val="0"/>
          <w:marBottom w:val="0"/>
          <w:divBdr>
            <w:top w:val="none" w:sz="0" w:space="0" w:color="auto"/>
            <w:left w:val="none" w:sz="0" w:space="0" w:color="auto"/>
            <w:bottom w:val="none" w:sz="0" w:space="0" w:color="auto"/>
            <w:right w:val="none" w:sz="0" w:space="0" w:color="auto"/>
          </w:divBdr>
        </w:div>
        <w:div w:id="86198474">
          <w:marLeft w:val="0"/>
          <w:marRight w:val="0"/>
          <w:marTop w:val="0"/>
          <w:marBottom w:val="0"/>
          <w:divBdr>
            <w:top w:val="none" w:sz="0" w:space="0" w:color="auto"/>
            <w:left w:val="none" w:sz="0" w:space="0" w:color="auto"/>
            <w:bottom w:val="none" w:sz="0" w:space="0" w:color="auto"/>
            <w:right w:val="none" w:sz="0" w:space="0" w:color="auto"/>
          </w:divBdr>
        </w:div>
        <w:div w:id="89008367">
          <w:marLeft w:val="0"/>
          <w:marRight w:val="0"/>
          <w:marTop w:val="0"/>
          <w:marBottom w:val="0"/>
          <w:divBdr>
            <w:top w:val="none" w:sz="0" w:space="0" w:color="auto"/>
            <w:left w:val="none" w:sz="0" w:space="0" w:color="auto"/>
            <w:bottom w:val="none" w:sz="0" w:space="0" w:color="auto"/>
            <w:right w:val="none" w:sz="0" w:space="0" w:color="auto"/>
          </w:divBdr>
        </w:div>
        <w:div w:id="89278062">
          <w:marLeft w:val="0"/>
          <w:marRight w:val="0"/>
          <w:marTop w:val="0"/>
          <w:marBottom w:val="0"/>
          <w:divBdr>
            <w:top w:val="none" w:sz="0" w:space="0" w:color="auto"/>
            <w:left w:val="none" w:sz="0" w:space="0" w:color="auto"/>
            <w:bottom w:val="none" w:sz="0" w:space="0" w:color="auto"/>
            <w:right w:val="none" w:sz="0" w:space="0" w:color="auto"/>
          </w:divBdr>
        </w:div>
        <w:div w:id="101849341">
          <w:marLeft w:val="0"/>
          <w:marRight w:val="0"/>
          <w:marTop w:val="0"/>
          <w:marBottom w:val="0"/>
          <w:divBdr>
            <w:top w:val="none" w:sz="0" w:space="0" w:color="auto"/>
            <w:left w:val="none" w:sz="0" w:space="0" w:color="auto"/>
            <w:bottom w:val="none" w:sz="0" w:space="0" w:color="auto"/>
            <w:right w:val="none" w:sz="0" w:space="0" w:color="auto"/>
          </w:divBdr>
        </w:div>
        <w:div w:id="103499328">
          <w:marLeft w:val="0"/>
          <w:marRight w:val="0"/>
          <w:marTop w:val="0"/>
          <w:marBottom w:val="0"/>
          <w:divBdr>
            <w:top w:val="none" w:sz="0" w:space="0" w:color="auto"/>
            <w:left w:val="none" w:sz="0" w:space="0" w:color="auto"/>
            <w:bottom w:val="none" w:sz="0" w:space="0" w:color="auto"/>
            <w:right w:val="none" w:sz="0" w:space="0" w:color="auto"/>
          </w:divBdr>
        </w:div>
        <w:div w:id="109588113">
          <w:marLeft w:val="0"/>
          <w:marRight w:val="0"/>
          <w:marTop w:val="0"/>
          <w:marBottom w:val="0"/>
          <w:divBdr>
            <w:top w:val="none" w:sz="0" w:space="0" w:color="auto"/>
            <w:left w:val="none" w:sz="0" w:space="0" w:color="auto"/>
            <w:bottom w:val="none" w:sz="0" w:space="0" w:color="auto"/>
            <w:right w:val="none" w:sz="0" w:space="0" w:color="auto"/>
          </w:divBdr>
        </w:div>
        <w:div w:id="121312563">
          <w:marLeft w:val="0"/>
          <w:marRight w:val="0"/>
          <w:marTop w:val="0"/>
          <w:marBottom w:val="0"/>
          <w:divBdr>
            <w:top w:val="none" w:sz="0" w:space="0" w:color="auto"/>
            <w:left w:val="none" w:sz="0" w:space="0" w:color="auto"/>
            <w:bottom w:val="none" w:sz="0" w:space="0" w:color="auto"/>
            <w:right w:val="none" w:sz="0" w:space="0" w:color="auto"/>
          </w:divBdr>
        </w:div>
        <w:div w:id="135799488">
          <w:marLeft w:val="0"/>
          <w:marRight w:val="0"/>
          <w:marTop w:val="0"/>
          <w:marBottom w:val="0"/>
          <w:divBdr>
            <w:top w:val="none" w:sz="0" w:space="0" w:color="auto"/>
            <w:left w:val="none" w:sz="0" w:space="0" w:color="auto"/>
            <w:bottom w:val="none" w:sz="0" w:space="0" w:color="auto"/>
            <w:right w:val="none" w:sz="0" w:space="0" w:color="auto"/>
          </w:divBdr>
        </w:div>
        <w:div w:id="140736863">
          <w:marLeft w:val="0"/>
          <w:marRight w:val="0"/>
          <w:marTop w:val="0"/>
          <w:marBottom w:val="0"/>
          <w:divBdr>
            <w:top w:val="none" w:sz="0" w:space="0" w:color="auto"/>
            <w:left w:val="none" w:sz="0" w:space="0" w:color="auto"/>
            <w:bottom w:val="none" w:sz="0" w:space="0" w:color="auto"/>
            <w:right w:val="none" w:sz="0" w:space="0" w:color="auto"/>
          </w:divBdr>
        </w:div>
        <w:div w:id="141894844">
          <w:marLeft w:val="0"/>
          <w:marRight w:val="0"/>
          <w:marTop w:val="0"/>
          <w:marBottom w:val="0"/>
          <w:divBdr>
            <w:top w:val="none" w:sz="0" w:space="0" w:color="auto"/>
            <w:left w:val="none" w:sz="0" w:space="0" w:color="auto"/>
            <w:bottom w:val="none" w:sz="0" w:space="0" w:color="auto"/>
            <w:right w:val="none" w:sz="0" w:space="0" w:color="auto"/>
          </w:divBdr>
        </w:div>
        <w:div w:id="153375024">
          <w:marLeft w:val="0"/>
          <w:marRight w:val="0"/>
          <w:marTop w:val="0"/>
          <w:marBottom w:val="0"/>
          <w:divBdr>
            <w:top w:val="none" w:sz="0" w:space="0" w:color="auto"/>
            <w:left w:val="none" w:sz="0" w:space="0" w:color="auto"/>
            <w:bottom w:val="none" w:sz="0" w:space="0" w:color="auto"/>
            <w:right w:val="none" w:sz="0" w:space="0" w:color="auto"/>
          </w:divBdr>
        </w:div>
        <w:div w:id="158037021">
          <w:marLeft w:val="0"/>
          <w:marRight w:val="0"/>
          <w:marTop w:val="0"/>
          <w:marBottom w:val="0"/>
          <w:divBdr>
            <w:top w:val="none" w:sz="0" w:space="0" w:color="auto"/>
            <w:left w:val="none" w:sz="0" w:space="0" w:color="auto"/>
            <w:bottom w:val="none" w:sz="0" w:space="0" w:color="auto"/>
            <w:right w:val="none" w:sz="0" w:space="0" w:color="auto"/>
          </w:divBdr>
        </w:div>
        <w:div w:id="164132904">
          <w:marLeft w:val="0"/>
          <w:marRight w:val="0"/>
          <w:marTop w:val="0"/>
          <w:marBottom w:val="0"/>
          <w:divBdr>
            <w:top w:val="none" w:sz="0" w:space="0" w:color="auto"/>
            <w:left w:val="none" w:sz="0" w:space="0" w:color="auto"/>
            <w:bottom w:val="none" w:sz="0" w:space="0" w:color="auto"/>
            <w:right w:val="none" w:sz="0" w:space="0" w:color="auto"/>
          </w:divBdr>
        </w:div>
        <w:div w:id="164168333">
          <w:marLeft w:val="0"/>
          <w:marRight w:val="0"/>
          <w:marTop w:val="0"/>
          <w:marBottom w:val="0"/>
          <w:divBdr>
            <w:top w:val="none" w:sz="0" w:space="0" w:color="auto"/>
            <w:left w:val="none" w:sz="0" w:space="0" w:color="auto"/>
            <w:bottom w:val="none" w:sz="0" w:space="0" w:color="auto"/>
            <w:right w:val="none" w:sz="0" w:space="0" w:color="auto"/>
          </w:divBdr>
        </w:div>
        <w:div w:id="169219073">
          <w:marLeft w:val="0"/>
          <w:marRight w:val="0"/>
          <w:marTop w:val="0"/>
          <w:marBottom w:val="0"/>
          <w:divBdr>
            <w:top w:val="none" w:sz="0" w:space="0" w:color="auto"/>
            <w:left w:val="none" w:sz="0" w:space="0" w:color="auto"/>
            <w:bottom w:val="none" w:sz="0" w:space="0" w:color="auto"/>
            <w:right w:val="none" w:sz="0" w:space="0" w:color="auto"/>
          </w:divBdr>
        </w:div>
        <w:div w:id="170267716">
          <w:marLeft w:val="0"/>
          <w:marRight w:val="0"/>
          <w:marTop w:val="0"/>
          <w:marBottom w:val="0"/>
          <w:divBdr>
            <w:top w:val="none" w:sz="0" w:space="0" w:color="auto"/>
            <w:left w:val="none" w:sz="0" w:space="0" w:color="auto"/>
            <w:bottom w:val="none" w:sz="0" w:space="0" w:color="auto"/>
            <w:right w:val="none" w:sz="0" w:space="0" w:color="auto"/>
          </w:divBdr>
        </w:div>
        <w:div w:id="192161273">
          <w:marLeft w:val="0"/>
          <w:marRight w:val="0"/>
          <w:marTop w:val="0"/>
          <w:marBottom w:val="0"/>
          <w:divBdr>
            <w:top w:val="none" w:sz="0" w:space="0" w:color="auto"/>
            <w:left w:val="none" w:sz="0" w:space="0" w:color="auto"/>
            <w:bottom w:val="none" w:sz="0" w:space="0" w:color="auto"/>
            <w:right w:val="none" w:sz="0" w:space="0" w:color="auto"/>
          </w:divBdr>
        </w:div>
        <w:div w:id="218522197">
          <w:marLeft w:val="0"/>
          <w:marRight w:val="0"/>
          <w:marTop w:val="0"/>
          <w:marBottom w:val="0"/>
          <w:divBdr>
            <w:top w:val="none" w:sz="0" w:space="0" w:color="auto"/>
            <w:left w:val="none" w:sz="0" w:space="0" w:color="auto"/>
            <w:bottom w:val="none" w:sz="0" w:space="0" w:color="auto"/>
            <w:right w:val="none" w:sz="0" w:space="0" w:color="auto"/>
          </w:divBdr>
        </w:div>
        <w:div w:id="232744461">
          <w:marLeft w:val="0"/>
          <w:marRight w:val="0"/>
          <w:marTop w:val="0"/>
          <w:marBottom w:val="0"/>
          <w:divBdr>
            <w:top w:val="none" w:sz="0" w:space="0" w:color="auto"/>
            <w:left w:val="none" w:sz="0" w:space="0" w:color="auto"/>
            <w:bottom w:val="none" w:sz="0" w:space="0" w:color="auto"/>
            <w:right w:val="none" w:sz="0" w:space="0" w:color="auto"/>
          </w:divBdr>
        </w:div>
        <w:div w:id="247663023">
          <w:marLeft w:val="0"/>
          <w:marRight w:val="0"/>
          <w:marTop w:val="0"/>
          <w:marBottom w:val="0"/>
          <w:divBdr>
            <w:top w:val="none" w:sz="0" w:space="0" w:color="auto"/>
            <w:left w:val="none" w:sz="0" w:space="0" w:color="auto"/>
            <w:bottom w:val="none" w:sz="0" w:space="0" w:color="auto"/>
            <w:right w:val="none" w:sz="0" w:space="0" w:color="auto"/>
          </w:divBdr>
        </w:div>
        <w:div w:id="249168568">
          <w:marLeft w:val="0"/>
          <w:marRight w:val="0"/>
          <w:marTop w:val="0"/>
          <w:marBottom w:val="0"/>
          <w:divBdr>
            <w:top w:val="none" w:sz="0" w:space="0" w:color="auto"/>
            <w:left w:val="none" w:sz="0" w:space="0" w:color="auto"/>
            <w:bottom w:val="none" w:sz="0" w:space="0" w:color="auto"/>
            <w:right w:val="none" w:sz="0" w:space="0" w:color="auto"/>
          </w:divBdr>
        </w:div>
        <w:div w:id="257760380">
          <w:marLeft w:val="0"/>
          <w:marRight w:val="0"/>
          <w:marTop w:val="0"/>
          <w:marBottom w:val="0"/>
          <w:divBdr>
            <w:top w:val="none" w:sz="0" w:space="0" w:color="auto"/>
            <w:left w:val="none" w:sz="0" w:space="0" w:color="auto"/>
            <w:bottom w:val="none" w:sz="0" w:space="0" w:color="auto"/>
            <w:right w:val="none" w:sz="0" w:space="0" w:color="auto"/>
          </w:divBdr>
        </w:div>
        <w:div w:id="271984528">
          <w:marLeft w:val="0"/>
          <w:marRight w:val="0"/>
          <w:marTop w:val="0"/>
          <w:marBottom w:val="0"/>
          <w:divBdr>
            <w:top w:val="none" w:sz="0" w:space="0" w:color="auto"/>
            <w:left w:val="none" w:sz="0" w:space="0" w:color="auto"/>
            <w:bottom w:val="none" w:sz="0" w:space="0" w:color="auto"/>
            <w:right w:val="none" w:sz="0" w:space="0" w:color="auto"/>
          </w:divBdr>
        </w:div>
        <w:div w:id="282081932">
          <w:marLeft w:val="0"/>
          <w:marRight w:val="0"/>
          <w:marTop w:val="0"/>
          <w:marBottom w:val="0"/>
          <w:divBdr>
            <w:top w:val="none" w:sz="0" w:space="0" w:color="auto"/>
            <w:left w:val="none" w:sz="0" w:space="0" w:color="auto"/>
            <w:bottom w:val="none" w:sz="0" w:space="0" w:color="auto"/>
            <w:right w:val="none" w:sz="0" w:space="0" w:color="auto"/>
          </w:divBdr>
        </w:div>
        <w:div w:id="290139640">
          <w:marLeft w:val="0"/>
          <w:marRight w:val="0"/>
          <w:marTop w:val="0"/>
          <w:marBottom w:val="0"/>
          <w:divBdr>
            <w:top w:val="none" w:sz="0" w:space="0" w:color="auto"/>
            <w:left w:val="none" w:sz="0" w:space="0" w:color="auto"/>
            <w:bottom w:val="none" w:sz="0" w:space="0" w:color="auto"/>
            <w:right w:val="none" w:sz="0" w:space="0" w:color="auto"/>
          </w:divBdr>
        </w:div>
        <w:div w:id="300431044">
          <w:marLeft w:val="0"/>
          <w:marRight w:val="0"/>
          <w:marTop w:val="0"/>
          <w:marBottom w:val="0"/>
          <w:divBdr>
            <w:top w:val="none" w:sz="0" w:space="0" w:color="auto"/>
            <w:left w:val="none" w:sz="0" w:space="0" w:color="auto"/>
            <w:bottom w:val="none" w:sz="0" w:space="0" w:color="auto"/>
            <w:right w:val="none" w:sz="0" w:space="0" w:color="auto"/>
          </w:divBdr>
        </w:div>
        <w:div w:id="316958978">
          <w:marLeft w:val="0"/>
          <w:marRight w:val="0"/>
          <w:marTop w:val="0"/>
          <w:marBottom w:val="0"/>
          <w:divBdr>
            <w:top w:val="none" w:sz="0" w:space="0" w:color="auto"/>
            <w:left w:val="none" w:sz="0" w:space="0" w:color="auto"/>
            <w:bottom w:val="none" w:sz="0" w:space="0" w:color="auto"/>
            <w:right w:val="none" w:sz="0" w:space="0" w:color="auto"/>
          </w:divBdr>
        </w:div>
        <w:div w:id="328992717">
          <w:marLeft w:val="0"/>
          <w:marRight w:val="0"/>
          <w:marTop w:val="0"/>
          <w:marBottom w:val="0"/>
          <w:divBdr>
            <w:top w:val="none" w:sz="0" w:space="0" w:color="auto"/>
            <w:left w:val="none" w:sz="0" w:space="0" w:color="auto"/>
            <w:bottom w:val="none" w:sz="0" w:space="0" w:color="auto"/>
            <w:right w:val="none" w:sz="0" w:space="0" w:color="auto"/>
          </w:divBdr>
        </w:div>
        <w:div w:id="334193167">
          <w:marLeft w:val="0"/>
          <w:marRight w:val="0"/>
          <w:marTop w:val="0"/>
          <w:marBottom w:val="0"/>
          <w:divBdr>
            <w:top w:val="none" w:sz="0" w:space="0" w:color="auto"/>
            <w:left w:val="none" w:sz="0" w:space="0" w:color="auto"/>
            <w:bottom w:val="none" w:sz="0" w:space="0" w:color="auto"/>
            <w:right w:val="none" w:sz="0" w:space="0" w:color="auto"/>
          </w:divBdr>
        </w:div>
        <w:div w:id="334647969">
          <w:marLeft w:val="0"/>
          <w:marRight w:val="0"/>
          <w:marTop w:val="0"/>
          <w:marBottom w:val="0"/>
          <w:divBdr>
            <w:top w:val="none" w:sz="0" w:space="0" w:color="auto"/>
            <w:left w:val="none" w:sz="0" w:space="0" w:color="auto"/>
            <w:bottom w:val="none" w:sz="0" w:space="0" w:color="auto"/>
            <w:right w:val="none" w:sz="0" w:space="0" w:color="auto"/>
          </w:divBdr>
        </w:div>
        <w:div w:id="335303917">
          <w:marLeft w:val="0"/>
          <w:marRight w:val="0"/>
          <w:marTop w:val="0"/>
          <w:marBottom w:val="0"/>
          <w:divBdr>
            <w:top w:val="none" w:sz="0" w:space="0" w:color="auto"/>
            <w:left w:val="none" w:sz="0" w:space="0" w:color="auto"/>
            <w:bottom w:val="none" w:sz="0" w:space="0" w:color="auto"/>
            <w:right w:val="none" w:sz="0" w:space="0" w:color="auto"/>
          </w:divBdr>
        </w:div>
        <w:div w:id="336855621">
          <w:marLeft w:val="0"/>
          <w:marRight w:val="0"/>
          <w:marTop w:val="0"/>
          <w:marBottom w:val="0"/>
          <w:divBdr>
            <w:top w:val="none" w:sz="0" w:space="0" w:color="auto"/>
            <w:left w:val="none" w:sz="0" w:space="0" w:color="auto"/>
            <w:bottom w:val="none" w:sz="0" w:space="0" w:color="auto"/>
            <w:right w:val="none" w:sz="0" w:space="0" w:color="auto"/>
          </w:divBdr>
        </w:div>
        <w:div w:id="339088958">
          <w:marLeft w:val="0"/>
          <w:marRight w:val="0"/>
          <w:marTop w:val="0"/>
          <w:marBottom w:val="0"/>
          <w:divBdr>
            <w:top w:val="none" w:sz="0" w:space="0" w:color="auto"/>
            <w:left w:val="none" w:sz="0" w:space="0" w:color="auto"/>
            <w:bottom w:val="none" w:sz="0" w:space="0" w:color="auto"/>
            <w:right w:val="none" w:sz="0" w:space="0" w:color="auto"/>
          </w:divBdr>
        </w:div>
        <w:div w:id="348989399">
          <w:marLeft w:val="0"/>
          <w:marRight w:val="0"/>
          <w:marTop w:val="0"/>
          <w:marBottom w:val="0"/>
          <w:divBdr>
            <w:top w:val="none" w:sz="0" w:space="0" w:color="auto"/>
            <w:left w:val="none" w:sz="0" w:space="0" w:color="auto"/>
            <w:bottom w:val="none" w:sz="0" w:space="0" w:color="auto"/>
            <w:right w:val="none" w:sz="0" w:space="0" w:color="auto"/>
          </w:divBdr>
        </w:div>
        <w:div w:id="354697755">
          <w:marLeft w:val="0"/>
          <w:marRight w:val="0"/>
          <w:marTop w:val="0"/>
          <w:marBottom w:val="0"/>
          <w:divBdr>
            <w:top w:val="none" w:sz="0" w:space="0" w:color="auto"/>
            <w:left w:val="none" w:sz="0" w:space="0" w:color="auto"/>
            <w:bottom w:val="none" w:sz="0" w:space="0" w:color="auto"/>
            <w:right w:val="none" w:sz="0" w:space="0" w:color="auto"/>
          </w:divBdr>
        </w:div>
        <w:div w:id="361825319">
          <w:marLeft w:val="0"/>
          <w:marRight w:val="0"/>
          <w:marTop w:val="0"/>
          <w:marBottom w:val="0"/>
          <w:divBdr>
            <w:top w:val="none" w:sz="0" w:space="0" w:color="auto"/>
            <w:left w:val="none" w:sz="0" w:space="0" w:color="auto"/>
            <w:bottom w:val="none" w:sz="0" w:space="0" w:color="auto"/>
            <w:right w:val="none" w:sz="0" w:space="0" w:color="auto"/>
          </w:divBdr>
        </w:div>
        <w:div w:id="363604366">
          <w:marLeft w:val="0"/>
          <w:marRight w:val="0"/>
          <w:marTop w:val="0"/>
          <w:marBottom w:val="0"/>
          <w:divBdr>
            <w:top w:val="none" w:sz="0" w:space="0" w:color="auto"/>
            <w:left w:val="none" w:sz="0" w:space="0" w:color="auto"/>
            <w:bottom w:val="none" w:sz="0" w:space="0" w:color="auto"/>
            <w:right w:val="none" w:sz="0" w:space="0" w:color="auto"/>
          </w:divBdr>
        </w:div>
        <w:div w:id="368651875">
          <w:marLeft w:val="0"/>
          <w:marRight w:val="0"/>
          <w:marTop w:val="0"/>
          <w:marBottom w:val="0"/>
          <w:divBdr>
            <w:top w:val="none" w:sz="0" w:space="0" w:color="auto"/>
            <w:left w:val="none" w:sz="0" w:space="0" w:color="auto"/>
            <w:bottom w:val="none" w:sz="0" w:space="0" w:color="auto"/>
            <w:right w:val="none" w:sz="0" w:space="0" w:color="auto"/>
          </w:divBdr>
        </w:div>
        <w:div w:id="387075232">
          <w:marLeft w:val="0"/>
          <w:marRight w:val="0"/>
          <w:marTop w:val="0"/>
          <w:marBottom w:val="0"/>
          <w:divBdr>
            <w:top w:val="none" w:sz="0" w:space="0" w:color="auto"/>
            <w:left w:val="none" w:sz="0" w:space="0" w:color="auto"/>
            <w:bottom w:val="none" w:sz="0" w:space="0" w:color="auto"/>
            <w:right w:val="none" w:sz="0" w:space="0" w:color="auto"/>
          </w:divBdr>
        </w:div>
        <w:div w:id="395663375">
          <w:marLeft w:val="0"/>
          <w:marRight w:val="0"/>
          <w:marTop w:val="0"/>
          <w:marBottom w:val="0"/>
          <w:divBdr>
            <w:top w:val="none" w:sz="0" w:space="0" w:color="auto"/>
            <w:left w:val="none" w:sz="0" w:space="0" w:color="auto"/>
            <w:bottom w:val="none" w:sz="0" w:space="0" w:color="auto"/>
            <w:right w:val="none" w:sz="0" w:space="0" w:color="auto"/>
          </w:divBdr>
        </w:div>
        <w:div w:id="401879341">
          <w:marLeft w:val="0"/>
          <w:marRight w:val="0"/>
          <w:marTop w:val="0"/>
          <w:marBottom w:val="0"/>
          <w:divBdr>
            <w:top w:val="none" w:sz="0" w:space="0" w:color="auto"/>
            <w:left w:val="none" w:sz="0" w:space="0" w:color="auto"/>
            <w:bottom w:val="none" w:sz="0" w:space="0" w:color="auto"/>
            <w:right w:val="none" w:sz="0" w:space="0" w:color="auto"/>
          </w:divBdr>
        </w:div>
        <w:div w:id="414085993">
          <w:marLeft w:val="0"/>
          <w:marRight w:val="0"/>
          <w:marTop w:val="0"/>
          <w:marBottom w:val="0"/>
          <w:divBdr>
            <w:top w:val="none" w:sz="0" w:space="0" w:color="auto"/>
            <w:left w:val="none" w:sz="0" w:space="0" w:color="auto"/>
            <w:bottom w:val="none" w:sz="0" w:space="0" w:color="auto"/>
            <w:right w:val="none" w:sz="0" w:space="0" w:color="auto"/>
          </w:divBdr>
        </w:div>
        <w:div w:id="419185655">
          <w:marLeft w:val="0"/>
          <w:marRight w:val="0"/>
          <w:marTop w:val="0"/>
          <w:marBottom w:val="0"/>
          <w:divBdr>
            <w:top w:val="none" w:sz="0" w:space="0" w:color="auto"/>
            <w:left w:val="none" w:sz="0" w:space="0" w:color="auto"/>
            <w:bottom w:val="none" w:sz="0" w:space="0" w:color="auto"/>
            <w:right w:val="none" w:sz="0" w:space="0" w:color="auto"/>
          </w:divBdr>
        </w:div>
        <w:div w:id="423307789">
          <w:marLeft w:val="0"/>
          <w:marRight w:val="0"/>
          <w:marTop w:val="0"/>
          <w:marBottom w:val="0"/>
          <w:divBdr>
            <w:top w:val="none" w:sz="0" w:space="0" w:color="auto"/>
            <w:left w:val="none" w:sz="0" w:space="0" w:color="auto"/>
            <w:bottom w:val="none" w:sz="0" w:space="0" w:color="auto"/>
            <w:right w:val="none" w:sz="0" w:space="0" w:color="auto"/>
          </w:divBdr>
        </w:div>
        <w:div w:id="431974609">
          <w:marLeft w:val="0"/>
          <w:marRight w:val="0"/>
          <w:marTop w:val="0"/>
          <w:marBottom w:val="0"/>
          <w:divBdr>
            <w:top w:val="none" w:sz="0" w:space="0" w:color="auto"/>
            <w:left w:val="none" w:sz="0" w:space="0" w:color="auto"/>
            <w:bottom w:val="none" w:sz="0" w:space="0" w:color="auto"/>
            <w:right w:val="none" w:sz="0" w:space="0" w:color="auto"/>
          </w:divBdr>
        </w:div>
        <w:div w:id="446046503">
          <w:marLeft w:val="0"/>
          <w:marRight w:val="0"/>
          <w:marTop w:val="0"/>
          <w:marBottom w:val="0"/>
          <w:divBdr>
            <w:top w:val="none" w:sz="0" w:space="0" w:color="auto"/>
            <w:left w:val="none" w:sz="0" w:space="0" w:color="auto"/>
            <w:bottom w:val="none" w:sz="0" w:space="0" w:color="auto"/>
            <w:right w:val="none" w:sz="0" w:space="0" w:color="auto"/>
          </w:divBdr>
        </w:div>
        <w:div w:id="446697403">
          <w:marLeft w:val="0"/>
          <w:marRight w:val="0"/>
          <w:marTop w:val="0"/>
          <w:marBottom w:val="0"/>
          <w:divBdr>
            <w:top w:val="none" w:sz="0" w:space="0" w:color="auto"/>
            <w:left w:val="none" w:sz="0" w:space="0" w:color="auto"/>
            <w:bottom w:val="none" w:sz="0" w:space="0" w:color="auto"/>
            <w:right w:val="none" w:sz="0" w:space="0" w:color="auto"/>
          </w:divBdr>
        </w:div>
        <w:div w:id="451025006">
          <w:marLeft w:val="0"/>
          <w:marRight w:val="0"/>
          <w:marTop w:val="0"/>
          <w:marBottom w:val="0"/>
          <w:divBdr>
            <w:top w:val="none" w:sz="0" w:space="0" w:color="auto"/>
            <w:left w:val="none" w:sz="0" w:space="0" w:color="auto"/>
            <w:bottom w:val="none" w:sz="0" w:space="0" w:color="auto"/>
            <w:right w:val="none" w:sz="0" w:space="0" w:color="auto"/>
          </w:divBdr>
        </w:div>
        <w:div w:id="453910202">
          <w:marLeft w:val="0"/>
          <w:marRight w:val="0"/>
          <w:marTop w:val="0"/>
          <w:marBottom w:val="0"/>
          <w:divBdr>
            <w:top w:val="none" w:sz="0" w:space="0" w:color="auto"/>
            <w:left w:val="none" w:sz="0" w:space="0" w:color="auto"/>
            <w:bottom w:val="none" w:sz="0" w:space="0" w:color="auto"/>
            <w:right w:val="none" w:sz="0" w:space="0" w:color="auto"/>
          </w:divBdr>
        </w:div>
        <w:div w:id="458500797">
          <w:marLeft w:val="0"/>
          <w:marRight w:val="0"/>
          <w:marTop w:val="0"/>
          <w:marBottom w:val="0"/>
          <w:divBdr>
            <w:top w:val="none" w:sz="0" w:space="0" w:color="auto"/>
            <w:left w:val="none" w:sz="0" w:space="0" w:color="auto"/>
            <w:bottom w:val="none" w:sz="0" w:space="0" w:color="auto"/>
            <w:right w:val="none" w:sz="0" w:space="0" w:color="auto"/>
          </w:divBdr>
        </w:div>
        <w:div w:id="461271273">
          <w:marLeft w:val="0"/>
          <w:marRight w:val="0"/>
          <w:marTop w:val="0"/>
          <w:marBottom w:val="0"/>
          <w:divBdr>
            <w:top w:val="none" w:sz="0" w:space="0" w:color="auto"/>
            <w:left w:val="none" w:sz="0" w:space="0" w:color="auto"/>
            <w:bottom w:val="none" w:sz="0" w:space="0" w:color="auto"/>
            <w:right w:val="none" w:sz="0" w:space="0" w:color="auto"/>
          </w:divBdr>
        </w:div>
        <w:div w:id="464197310">
          <w:marLeft w:val="0"/>
          <w:marRight w:val="0"/>
          <w:marTop w:val="0"/>
          <w:marBottom w:val="0"/>
          <w:divBdr>
            <w:top w:val="none" w:sz="0" w:space="0" w:color="auto"/>
            <w:left w:val="none" w:sz="0" w:space="0" w:color="auto"/>
            <w:bottom w:val="none" w:sz="0" w:space="0" w:color="auto"/>
            <w:right w:val="none" w:sz="0" w:space="0" w:color="auto"/>
          </w:divBdr>
        </w:div>
        <w:div w:id="465927010">
          <w:marLeft w:val="0"/>
          <w:marRight w:val="0"/>
          <w:marTop w:val="0"/>
          <w:marBottom w:val="0"/>
          <w:divBdr>
            <w:top w:val="none" w:sz="0" w:space="0" w:color="auto"/>
            <w:left w:val="none" w:sz="0" w:space="0" w:color="auto"/>
            <w:bottom w:val="none" w:sz="0" w:space="0" w:color="auto"/>
            <w:right w:val="none" w:sz="0" w:space="0" w:color="auto"/>
          </w:divBdr>
        </w:div>
        <w:div w:id="474839585">
          <w:marLeft w:val="0"/>
          <w:marRight w:val="0"/>
          <w:marTop w:val="0"/>
          <w:marBottom w:val="0"/>
          <w:divBdr>
            <w:top w:val="none" w:sz="0" w:space="0" w:color="auto"/>
            <w:left w:val="none" w:sz="0" w:space="0" w:color="auto"/>
            <w:bottom w:val="none" w:sz="0" w:space="0" w:color="auto"/>
            <w:right w:val="none" w:sz="0" w:space="0" w:color="auto"/>
          </w:divBdr>
        </w:div>
        <w:div w:id="504445243">
          <w:marLeft w:val="0"/>
          <w:marRight w:val="0"/>
          <w:marTop w:val="0"/>
          <w:marBottom w:val="0"/>
          <w:divBdr>
            <w:top w:val="none" w:sz="0" w:space="0" w:color="auto"/>
            <w:left w:val="none" w:sz="0" w:space="0" w:color="auto"/>
            <w:bottom w:val="none" w:sz="0" w:space="0" w:color="auto"/>
            <w:right w:val="none" w:sz="0" w:space="0" w:color="auto"/>
          </w:divBdr>
        </w:div>
        <w:div w:id="521747858">
          <w:marLeft w:val="0"/>
          <w:marRight w:val="0"/>
          <w:marTop w:val="0"/>
          <w:marBottom w:val="0"/>
          <w:divBdr>
            <w:top w:val="none" w:sz="0" w:space="0" w:color="auto"/>
            <w:left w:val="none" w:sz="0" w:space="0" w:color="auto"/>
            <w:bottom w:val="none" w:sz="0" w:space="0" w:color="auto"/>
            <w:right w:val="none" w:sz="0" w:space="0" w:color="auto"/>
          </w:divBdr>
        </w:div>
        <w:div w:id="523133495">
          <w:marLeft w:val="0"/>
          <w:marRight w:val="0"/>
          <w:marTop w:val="0"/>
          <w:marBottom w:val="0"/>
          <w:divBdr>
            <w:top w:val="none" w:sz="0" w:space="0" w:color="auto"/>
            <w:left w:val="none" w:sz="0" w:space="0" w:color="auto"/>
            <w:bottom w:val="none" w:sz="0" w:space="0" w:color="auto"/>
            <w:right w:val="none" w:sz="0" w:space="0" w:color="auto"/>
          </w:divBdr>
        </w:div>
        <w:div w:id="530186957">
          <w:marLeft w:val="0"/>
          <w:marRight w:val="0"/>
          <w:marTop w:val="0"/>
          <w:marBottom w:val="0"/>
          <w:divBdr>
            <w:top w:val="none" w:sz="0" w:space="0" w:color="auto"/>
            <w:left w:val="none" w:sz="0" w:space="0" w:color="auto"/>
            <w:bottom w:val="none" w:sz="0" w:space="0" w:color="auto"/>
            <w:right w:val="none" w:sz="0" w:space="0" w:color="auto"/>
          </w:divBdr>
        </w:div>
        <w:div w:id="535778709">
          <w:marLeft w:val="0"/>
          <w:marRight w:val="0"/>
          <w:marTop w:val="0"/>
          <w:marBottom w:val="0"/>
          <w:divBdr>
            <w:top w:val="none" w:sz="0" w:space="0" w:color="auto"/>
            <w:left w:val="none" w:sz="0" w:space="0" w:color="auto"/>
            <w:bottom w:val="none" w:sz="0" w:space="0" w:color="auto"/>
            <w:right w:val="none" w:sz="0" w:space="0" w:color="auto"/>
          </w:divBdr>
        </w:div>
        <w:div w:id="535894938">
          <w:marLeft w:val="0"/>
          <w:marRight w:val="0"/>
          <w:marTop w:val="0"/>
          <w:marBottom w:val="0"/>
          <w:divBdr>
            <w:top w:val="none" w:sz="0" w:space="0" w:color="auto"/>
            <w:left w:val="none" w:sz="0" w:space="0" w:color="auto"/>
            <w:bottom w:val="none" w:sz="0" w:space="0" w:color="auto"/>
            <w:right w:val="none" w:sz="0" w:space="0" w:color="auto"/>
          </w:divBdr>
        </w:div>
        <w:div w:id="563176981">
          <w:marLeft w:val="0"/>
          <w:marRight w:val="0"/>
          <w:marTop w:val="0"/>
          <w:marBottom w:val="0"/>
          <w:divBdr>
            <w:top w:val="none" w:sz="0" w:space="0" w:color="auto"/>
            <w:left w:val="none" w:sz="0" w:space="0" w:color="auto"/>
            <w:bottom w:val="none" w:sz="0" w:space="0" w:color="auto"/>
            <w:right w:val="none" w:sz="0" w:space="0" w:color="auto"/>
          </w:divBdr>
        </w:div>
        <w:div w:id="568270287">
          <w:marLeft w:val="0"/>
          <w:marRight w:val="0"/>
          <w:marTop w:val="0"/>
          <w:marBottom w:val="0"/>
          <w:divBdr>
            <w:top w:val="none" w:sz="0" w:space="0" w:color="auto"/>
            <w:left w:val="none" w:sz="0" w:space="0" w:color="auto"/>
            <w:bottom w:val="none" w:sz="0" w:space="0" w:color="auto"/>
            <w:right w:val="none" w:sz="0" w:space="0" w:color="auto"/>
          </w:divBdr>
        </w:div>
        <w:div w:id="572543771">
          <w:marLeft w:val="0"/>
          <w:marRight w:val="0"/>
          <w:marTop w:val="0"/>
          <w:marBottom w:val="0"/>
          <w:divBdr>
            <w:top w:val="none" w:sz="0" w:space="0" w:color="auto"/>
            <w:left w:val="none" w:sz="0" w:space="0" w:color="auto"/>
            <w:bottom w:val="none" w:sz="0" w:space="0" w:color="auto"/>
            <w:right w:val="none" w:sz="0" w:space="0" w:color="auto"/>
          </w:divBdr>
        </w:div>
        <w:div w:id="582566925">
          <w:marLeft w:val="0"/>
          <w:marRight w:val="0"/>
          <w:marTop w:val="0"/>
          <w:marBottom w:val="0"/>
          <w:divBdr>
            <w:top w:val="none" w:sz="0" w:space="0" w:color="auto"/>
            <w:left w:val="none" w:sz="0" w:space="0" w:color="auto"/>
            <w:bottom w:val="none" w:sz="0" w:space="0" w:color="auto"/>
            <w:right w:val="none" w:sz="0" w:space="0" w:color="auto"/>
          </w:divBdr>
        </w:div>
        <w:div w:id="596986239">
          <w:marLeft w:val="0"/>
          <w:marRight w:val="0"/>
          <w:marTop w:val="0"/>
          <w:marBottom w:val="0"/>
          <w:divBdr>
            <w:top w:val="none" w:sz="0" w:space="0" w:color="auto"/>
            <w:left w:val="none" w:sz="0" w:space="0" w:color="auto"/>
            <w:bottom w:val="none" w:sz="0" w:space="0" w:color="auto"/>
            <w:right w:val="none" w:sz="0" w:space="0" w:color="auto"/>
          </w:divBdr>
        </w:div>
        <w:div w:id="616761762">
          <w:marLeft w:val="0"/>
          <w:marRight w:val="0"/>
          <w:marTop w:val="0"/>
          <w:marBottom w:val="0"/>
          <w:divBdr>
            <w:top w:val="none" w:sz="0" w:space="0" w:color="auto"/>
            <w:left w:val="none" w:sz="0" w:space="0" w:color="auto"/>
            <w:bottom w:val="none" w:sz="0" w:space="0" w:color="auto"/>
            <w:right w:val="none" w:sz="0" w:space="0" w:color="auto"/>
          </w:divBdr>
        </w:div>
        <w:div w:id="619456905">
          <w:marLeft w:val="0"/>
          <w:marRight w:val="0"/>
          <w:marTop w:val="0"/>
          <w:marBottom w:val="0"/>
          <w:divBdr>
            <w:top w:val="none" w:sz="0" w:space="0" w:color="auto"/>
            <w:left w:val="none" w:sz="0" w:space="0" w:color="auto"/>
            <w:bottom w:val="none" w:sz="0" w:space="0" w:color="auto"/>
            <w:right w:val="none" w:sz="0" w:space="0" w:color="auto"/>
          </w:divBdr>
        </w:div>
        <w:div w:id="626007099">
          <w:marLeft w:val="0"/>
          <w:marRight w:val="0"/>
          <w:marTop w:val="0"/>
          <w:marBottom w:val="0"/>
          <w:divBdr>
            <w:top w:val="none" w:sz="0" w:space="0" w:color="auto"/>
            <w:left w:val="none" w:sz="0" w:space="0" w:color="auto"/>
            <w:bottom w:val="none" w:sz="0" w:space="0" w:color="auto"/>
            <w:right w:val="none" w:sz="0" w:space="0" w:color="auto"/>
          </w:divBdr>
        </w:div>
        <w:div w:id="626860937">
          <w:marLeft w:val="0"/>
          <w:marRight w:val="0"/>
          <w:marTop w:val="0"/>
          <w:marBottom w:val="0"/>
          <w:divBdr>
            <w:top w:val="none" w:sz="0" w:space="0" w:color="auto"/>
            <w:left w:val="none" w:sz="0" w:space="0" w:color="auto"/>
            <w:bottom w:val="none" w:sz="0" w:space="0" w:color="auto"/>
            <w:right w:val="none" w:sz="0" w:space="0" w:color="auto"/>
          </w:divBdr>
        </w:div>
        <w:div w:id="634289332">
          <w:marLeft w:val="0"/>
          <w:marRight w:val="0"/>
          <w:marTop w:val="0"/>
          <w:marBottom w:val="0"/>
          <w:divBdr>
            <w:top w:val="none" w:sz="0" w:space="0" w:color="auto"/>
            <w:left w:val="none" w:sz="0" w:space="0" w:color="auto"/>
            <w:bottom w:val="none" w:sz="0" w:space="0" w:color="auto"/>
            <w:right w:val="none" w:sz="0" w:space="0" w:color="auto"/>
          </w:divBdr>
        </w:div>
        <w:div w:id="653265444">
          <w:marLeft w:val="0"/>
          <w:marRight w:val="0"/>
          <w:marTop w:val="0"/>
          <w:marBottom w:val="0"/>
          <w:divBdr>
            <w:top w:val="none" w:sz="0" w:space="0" w:color="auto"/>
            <w:left w:val="none" w:sz="0" w:space="0" w:color="auto"/>
            <w:bottom w:val="none" w:sz="0" w:space="0" w:color="auto"/>
            <w:right w:val="none" w:sz="0" w:space="0" w:color="auto"/>
          </w:divBdr>
        </w:div>
        <w:div w:id="664286783">
          <w:marLeft w:val="0"/>
          <w:marRight w:val="0"/>
          <w:marTop w:val="0"/>
          <w:marBottom w:val="0"/>
          <w:divBdr>
            <w:top w:val="none" w:sz="0" w:space="0" w:color="auto"/>
            <w:left w:val="none" w:sz="0" w:space="0" w:color="auto"/>
            <w:bottom w:val="none" w:sz="0" w:space="0" w:color="auto"/>
            <w:right w:val="none" w:sz="0" w:space="0" w:color="auto"/>
          </w:divBdr>
        </w:div>
        <w:div w:id="676614939">
          <w:marLeft w:val="0"/>
          <w:marRight w:val="0"/>
          <w:marTop w:val="0"/>
          <w:marBottom w:val="0"/>
          <w:divBdr>
            <w:top w:val="none" w:sz="0" w:space="0" w:color="auto"/>
            <w:left w:val="none" w:sz="0" w:space="0" w:color="auto"/>
            <w:bottom w:val="none" w:sz="0" w:space="0" w:color="auto"/>
            <w:right w:val="none" w:sz="0" w:space="0" w:color="auto"/>
          </w:divBdr>
        </w:div>
        <w:div w:id="682053607">
          <w:marLeft w:val="0"/>
          <w:marRight w:val="0"/>
          <w:marTop w:val="0"/>
          <w:marBottom w:val="0"/>
          <w:divBdr>
            <w:top w:val="none" w:sz="0" w:space="0" w:color="auto"/>
            <w:left w:val="none" w:sz="0" w:space="0" w:color="auto"/>
            <w:bottom w:val="none" w:sz="0" w:space="0" w:color="auto"/>
            <w:right w:val="none" w:sz="0" w:space="0" w:color="auto"/>
          </w:divBdr>
        </w:div>
        <w:div w:id="689575486">
          <w:marLeft w:val="0"/>
          <w:marRight w:val="0"/>
          <w:marTop w:val="0"/>
          <w:marBottom w:val="0"/>
          <w:divBdr>
            <w:top w:val="none" w:sz="0" w:space="0" w:color="auto"/>
            <w:left w:val="none" w:sz="0" w:space="0" w:color="auto"/>
            <w:bottom w:val="none" w:sz="0" w:space="0" w:color="auto"/>
            <w:right w:val="none" w:sz="0" w:space="0" w:color="auto"/>
          </w:divBdr>
        </w:div>
        <w:div w:id="704140574">
          <w:marLeft w:val="0"/>
          <w:marRight w:val="0"/>
          <w:marTop w:val="0"/>
          <w:marBottom w:val="0"/>
          <w:divBdr>
            <w:top w:val="none" w:sz="0" w:space="0" w:color="auto"/>
            <w:left w:val="none" w:sz="0" w:space="0" w:color="auto"/>
            <w:bottom w:val="none" w:sz="0" w:space="0" w:color="auto"/>
            <w:right w:val="none" w:sz="0" w:space="0" w:color="auto"/>
          </w:divBdr>
        </w:div>
        <w:div w:id="709109207">
          <w:marLeft w:val="0"/>
          <w:marRight w:val="0"/>
          <w:marTop w:val="0"/>
          <w:marBottom w:val="0"/>
          <w:divBdr>
            <w:top w:val="none" w:sz="0" w:space="0" w:color="auto"/>
            <w:left w:val="none" w:sz="0" w:space="0" w:color="auto"/>
            <w:bottom w:val="none" w:sz="0" w:space="0" w:color="auto"/>
            <w:right w:val="none" w:sz="0" w:space="0" w:color="auto"/>
          </w:divBdr>
        </w:div>
        <w:div w:id="712460018">
          <w:marLeft w:val="0"/>
          <w:marRight w:val="0"/>
          <w:marTop w:val="0"/>
          <w:marBottom w:val="0"/>
          <w:divBdr>
            <w:top w:val="none" w:sz="0" w:space="0" w:color="auto"/>
            <w:left w:val="none" w:sz="0" w:space="0" w:color="auto"/>
            <w:bottom w:val="none" w:sz="0" w:space="0" w:color="auto"/>
            <w:right w:val="none" w:sz="0" w:space="0" w:color="auto"/>
          </w:divBdr>
        </w:div>
        <w:div w:id="714622663">
          <w:marLeft w:val="0"/>
          <w:marRight w:val="0"/>
          <w:marTop w:val="0"/>
          <w:marBottom w:val="0"/>
          <w:divBdr>
            <w:top w:val="none" w:sz="0" w:space="0" w:color="auto"/>
            <w:left w:val="none" w:sz="0" w:space="0" w:color="auto"/>
            <w:bottom w:val="none" w:sz="0" w:space="0" w:color="auto"/>
            <w:right w:val="none" w:sz="0" w:space="0" w:color="auto"/>
          </w:divBdr>
        </w:div>
        <w:div w:id="715547566">
          <w:marLeft w:val="0"/>
          <w:marRight w:val="0"/>
          <w:marTop w:val="0"/>
          <w:marBottom w:val="0"/>
          <w:divBdr>
            <w:top w:val="none" w:sz="0" w:space="0" w:color="auto"/>
            <w:left w:val="none" w:sz="0" w:space="0" w:color="auto"/>
            <w:bottom w:val="none" w:sz="0" w:space="0" w:color="auto"/>
            <w:right w:val="none" w:sz="0" w:space="0" w:color="auto"/>
          </w:divBdr>
        </w:div>
        <w:div w:id="718893254">
          <w:marLeft w:val="0"/>
          <w:marRight w:val="0"/>
          <w:marTop w:val="0"/>
          <w:marBottom w:val="0"/>
          <w:divBdr>
            <w:top w:val="none" w:sz="0" w:space="0" w:color="auto"/>
            <w:left w:val="none" w:sz="0" w:space="0" w:color="auto"/>
            <w:bottom w:val="none" w:sz="0" w:space="0" w:color="auto"/>
            <w:right w:val="none" w:sz="0" w:space="0" w:color="auto"/>
          </w:divBdr>
        </w:div>
        <w:div w:id="724059553">
          <w:marLeft w:val="0"/>
          <w:marRight w:val="0"/>
          <w:marTop w:val="0"/>
          <w:marBottom w:val="0"/>
          <w:divBdr>
            <w:top w:val="none" w:sz="0" w:space="0" w:color="auto"/>
            <w:left w:val="none" w:sz="0" w:space="0" w:color="auto"/>
            <w:bottom w:val="none" w:sz="0" w:space="0" w:color="auto"/>
            <w:right w:val="none" w:sz="0" w:space="0" w:color="auto"/>
          </w:divBdr>
        </w:div>
        <w:div w:id="741021536">
          <w:marLeft w:val="0"/>
          <w:marRight w:val="0"/>
          <w:marTop w:val="0"/>
          <w:marBottom w:val="0"/>
          <w:divBdr>
            <w:top w:val="none" w:sz="0" w:space="0" w:color="auto"/>
            <w:left w:val="none" w:sz="0" w:space="0" w:color="auto"/>
            <w:bottom w:val="none" w:sz="0" w:space="0" w:color="auto"/>
            <w:right w:val="none" w:sz="0" w:space="0" w:color="auto"/>
          </w:divBdr>
        </w:div>
        <w:div w:id="742145955">
          <w:marLeft w:val="0"/>
          <w:marRight w:val="0"/>
          <w:marTop w:val="0"/>
          <w:marBottom w:val="0"/>
          <w:divBdr>
            <w:top w:val="none" w:sz="0" w:space="0" w:color="auto"/>
            <w:left w:val="none" w:sz="0" w:space="0" w:color="auto"/>
            <w:bottom w:val="none" w:sz="0" w:space="0" w:color="auto"/>
            <w:right w:val="none" w:sz="0" w:space="0" w:color="auto"/>
          </w:divBdr>
        </w:div>
        <w:div w:id="742265293">
          <w:marLeft w:val="0"/>
          <w:marRight w:val="0"/>
          <w:marTop w:val="0"/>
          <w:marBottom w:val="0"/>
          <w:divBdr>
            <w:top w:val="none" w:sz="0" w:space="0" w:color="auto"/>
            <w:left w:val="none" w:sz="0" w:space="0" w:color="auto"/>
            <w:bottom w:val="none" w:sz="0" w:space="0" w:color="auto"/>
            <w:right w:val="none" w:sz="0" w:space="0" w:color="auto"/>
          </w:divBdr>
        </w:div>
        <w:div w:id="753554409">
          <w:marLeft w:val="0"/>
          <w:marRight w:val="0"/>
          <w:marTop w:val="0"/>
          <w:marBottom w:val="0"/>
          <w:divBdr>
            <w:top w:val="none" w:sz="0" w:space="0" w:color="auto"/>
            <w:left w:val="none" w:sz="0" w:space="0" w:color="auto"/>
            <w:bottom w:val="none" w:sz="0" w:space="0" w:color="auto"/>
            <w:right w:val="none" w:sz="0" w:space="0" w:color="auto"/>
          </w:divBdr>
        </w:div>
        <w:div w:id="754087858">
          <w:marLeft w:val="0"/>
          <w:marRight w:val="0"/>
          <w:marTop w:val="0"/>
          <w:marBottom w:val="0"/>
          <w:divBdr>
            <w:top w:val="none" w:sz="0" w:space="0" w:color="auto"/>
            <w:left w:val="none" w:sz="0" w:space="0" w:color="auto"/>
            <w:bottom w:val="none" w:sz="0" w:space="0" w:color="auto"/>
            <w:right w:val="none" w:sz="0" w:space="0" w:color="auto"/>
          </w:divBdr>
        </w:div>
        <w:div w:id="756098967">
          <w:marLeft w:val="0"/>
          <w:marRight w:val="0"/>
          <w:marTop w:val="0"/>
          <w:marBottom w:val="0"/>
          <w:divBdr>
            <w:top w:val="none" w:sz="0" w:space="0" w:color="auto"/>
            <w:left w:val="none" w:sz="0" w:space="0" w:color="auto"/>
            <w:bottom w:val="none" w:sz="0" w:space="0" w:color="auto"/>
            <w:right w:val="none" w:sz="0" w:space="0" w:color="auto"/>
          </w:divBdr>
        </w:div>
        <w:div w:id="762729650">
          <w:marLeft w:val="0"/>
          <w:marRight w:val="0"/>
          <w:marTop w:val="0"/>
          <w:marBottom w:val="0"/>
          <w:divBdr>
            <w:top w:val="none" w:sz="0" w:space="0" w:color="auto"/>
            <w:left w:val="none" w:sz="0" w:space="0" w:color="auto"/>
            <w:bottom w:val="none" w:sz="0" w:space="0" w:color="auto"/>
            <w:right w:val="none" w:sz="0" w:space="0" w:color="auto"/>
          </w:divBdr>
        </w:div>
        <w:div w:id="765271456">
          <w:marLeft w:val="0"/>
          <w:marRight w:val="0"/>
          <w:marTop w:val="0"/>
          <w:marBottom w:val="0"/>
          <w:divBdr>
            <w:top w:val="none" w:sz="0" w:space="0" w:color="auto"/>
            <w:left w:val="none" w:sz="0" w:space="0" w:color="auto"/>
            <w:bottom w:val="none" w:sz="0" w:space="0" w:color="auto"/>
            <w:right w:val="none" w:sz="0" w:space="0" w:color="auto"/>
          </w:divBdr>
        </w:div>
        <w:div w:id="765923234">
          <w:marLeft w:val="0"/>
          <w:marRight w:val="0"/>
          <w:marTop w:val="0"/>
          <w:marBottom w:val="0"/>
          <w:divBdr>
            <w:top w:val="none" w:sz="0" w:space="0" w:color="auto"/>
            <w:left w:val="none" w:sz="0" w:space="0" w:color="auto"/>
            <w:bottom w:val="none" w:sz="0" w:space="0" w:color="auto"/>
            <w:right w:val="none" w:sz="0" w:space="0" w:color="auto"/>
          </w:divBdr>
        </w:div>
        <w:div w:id="767191202">
          <w:marLeft w:val="0"/>
          <w:marRight w:val="0"/>
          <w:marTop w:val="0"/>
          <w:marBottom w:val="0"/>
          <w:divBdr>
            <w:top w:val="none" w:sz="0" w:space="0" w:color="auto"/>
            <w:left w:val="none" w:sz="0" w:space="0" w:color="auto"/>
            <w:bottom w:val="none" w:sz="0" w:space="0" w:color="auto"/>
            <w:right w:val="none" w:sz="0" w:space="0" w:color="auto"/>
          </w:divBdr>
        </w:div>
        <w:div w:id="769088931">
          <w:marLeft w:val="0"/>
          <w:marRight w:val="0"/>
          <w:marTop w:val="0"/>
          <w:marBottom w:val="0"/>
          <w:divBdr>
            <w:top w:val="none" w:sz="0" w:space="0" w:color="auto"/>
            <w:left w:val="none" w:sz="0" w:space="0" w:color="auto"/>
            <w:bottom w:val="none" w:sz="0" w:space="0" w:color="auto"/>
            <w:right w:val="none" w:sz="0" w:space="0" w:color="auto"/>
          </w:divBdr>
        </w:div>
        <w:div w:id="779182199">
          <w:marLeft w:val="0"/>
          <w:marRight w:val="0"/>
          <w:marTop w:val="0"/>
          <w:marBottom w:val="0"/>
          <w:divBdr>
            <w:top w:val="none" w:sz="0" w:space="0" w:color="auto"/>
            <w:left w:val="none" w:sz="0" w:space="0" w:color="auto"/>
            <w:bottom w:val="none" w:sz="0" w:space="0" w:color="auto"/>
            <w:right w:val="none" w:sz="0" w:space="0" w:color="auto"/>
          </w:divBdr>
        </w:div>
        <w:div w:id="789251138">
          <w:marLeft w:val="0"/>
          <w:marRight w:val="0"/>
          <w:marTop w:val="0"/>
          <w:marBottom w:val="0"/>
          <w:divBdr>
            <w:top w:val="none" w:sz="0" w:space="0" w:color="auto"/>
            <w:left w:val="none" w:sz="0" w:space="0" w:color="auto"/>
            <w:bottom w:val="none" w:sz="0" w:space="0" w:color="auto"/>
            <w:right w:val="none" w:sz="0" w:space="0" w:color="auto"/>
          </w:divBdr>
        </w:div>
        <w:div w:id="792404462">
          <w:marLeft w:val="0"/>
          <w:marRight w:val="0"/>
          <w:marTop w:val="0"/>
          <w:marBottom w:val="0"/>
          <w:divBdr>
            <w:top w:val="none" w:sz="0" w:space="0" w:color="auto"/>
            <w:left w:val="none" w:sz="0" w:space="0" w:color="auto"/>
            <w:bottom w:val="none" w:sz="0" w:space="0" w:color="auto"/>
            <w:right w:val="none" w:sz="0" w:space="0" w:color="auto"/>
          </w:divBdr>
        </w:div>
        <w:div w:id="796531489">
          <w:marLeft w:val="0"/>
          <w:marRight w:val="0"/>
          <w:marTop w:val="0"/>
          <w:marBottom w:val="0"/>
          <w:divBdr>
            <w:top w:val="none" w:sz="0" w:space="0" w:color="auto"/>
            <w:left w:val="none" w:sz="0" w:space="0" w:color="auto"/>
            <w:bottom w:val="none" w:sz="0" w:space="0" w:color="auto"/>
            <w:right w:val="none" w:sz="0" w:space="0" w:color="auto"/>
          </w:divBdr>
        </w:div>
        <w:div w:id="805313250">
          <w:marLeft w:val="0"/>
          <w:marRight w:val="0"/>
          <w:marTop w:val="0"/>
          <w:marBottom w:val="0"/>
          <w:divBdr>
            <w:top w:val="none" w:sz="0" w:space="0" w:color="auto"/>
            <w:left w:val="none" w:sz="0" w:space="0" w:color="auto"/>
            <w:bottom w:val="none" w:sz="0" w:space="0" w:color="auto"/>
            <w:right w:val="none" w:sz="0" w:space="0" w:color="auto"/>
          </w:divBdr>
        </w:div>
        <w:div w:id="809709984">
          <w:marLeft w:val="0"/>
          <w:marRight w:val="0"/>
          <w:marTop w:val="0"/>
          <w:marBottom w:val="0"/>
          <w:divBdr>
            <w:top w:val="none" w:sz="0" w:space="0" w:color="auto"/>
            <w:left w:val="none" w:sz="0" w:space="0" w:color="auto"/>
            <w:bottom w:val="none" w:sz="0" w:space="0" w:color="auto"/>
            <w:right w:val="none" w:sz="0" w:space="0" w:color="auto"/>
          </w:divBdr>
        </w:div>
        <w:div w:id="814957945">
          <w:marLeft w:val="0"/>
          <w:marRight w:val="0"/>
          <w:marTop w:val="0"/>
          <w:marBottom w:val="0"/>
          <w:divBdr>
            <w:top w:val="none" w:sz="0" w:space="0" w:color="auto"/>
            <w:left w:val="none" w:sz="0" w:space="0" w:color="auto"/>
            <w:bottom w:val="none" w:sz="0" w:space="0" w:color="auto"/>
            <w:right w:val="none" w:sz="0" w:space="0" w:color="auto"/>
          </w:divBdr>
        </w:div>
        <w:div w:id="819157876">
          <w:marLeft w:val="0"/>
          <w:marRight w:val="0"/>
          <w:marTop w:val="0"/>
          <w:marBottom w:val="0"/>
          <w:divBdr>
            <w:top w:val="none" w:sz="0" w:space="0" w:color="auto"/>
            <w:left w:val="none" w:sz="0" w:space="0" w:color="auto"/>
            <w:bottom w:val="none" w:sz="0" w:space="0" w:color="auto"/>
            <w:right w:val="none" w:sz="0" w:space="0" w:color="auto"/>
          </w:divBdr>
        </w:div>
        <w:div w:id="837427558">
          <w:marLeft w:val="0"/>
          <w:marRight w:val="0"/>
          <w:marTop w:val="0"/>
          <w:marBottom w:val="0"/>
          <w:divBdr>
            <w:top w:val="none" w:sz="0" w:space="0" w:color="auto"/>
            <w:left w:val="none" w:sz="0" w:space="0" w:color="auto"/>
            <w:bottom w:val="none" w:sz="0" w:space="0" w:color="auto"/>
            <w:right w:val="none" w:sz="0" w:space="0" w:color="auto"/>
          </w:divBdr>
        </w:div>
        <w:div w:id="842210758">
          <w:marLeft w:val="0"/>
          <w:marRight w:val="0"/>
          <w:marTop w:val="0"/>
          <w:marBottom w:val="0"/>
          <w:divBdr>
            <w:top w:val="none" w:sz="0" w:space="0" w:color="auto"/>
            <w:left w:val="none" w:sz="0" w:space="0" w:color="auto"/>
            <w:bottom w:val="none" w:sz="0" w:space="0" w:color="auto"/>
            <w:right w:val="none" w:sz="0" w:space="0" w:color="auto"/>
          </w:divBdr>
        </w:div>
        <w:div w:id="842738846">
          <w:marLeft w:val="0"/>
          <w:marRight w:val="0"/>
          <w:marTop w:val="0"/>
          <w:marBottom w:val="0"/>
          <w:divBdr>
            <w:top w:val="none" w:sz="0" w:space="0" w:color="auto"/>
            <w:left w:val="none" w:sz="0" w:space="0" w:color="auto"/>
            <w:bottom w:val="none" w:sz="0" w:space="0" w:color="auto"/>
            <w:right w:val="none" w:sz="0" w:space="0" w:color="auto"/>
          </w:divBdr>
        </w:div>
        <w:div w:id="844317998">
          <w:marLeft w:val="0"/>
          <w:marRight w:val="0"/>
          <w:marTop w:val="0"/>
          <w:marBottom w:val="0"/>
          <w:divBdr>
            <w:top w:val="none" w:sz="0" w:space="0" w:color="auto"/>
            <w:left w:val="none" w:sz="0" w:space="0" w:color="auto"/>
            <w:bottom w:val="none" w:sz="0" w:space="0" w:color="auto"/>
            <w:right w:val="none" w:sz="0" w:space="0" w:color="auto"/>
          </w:divBdr>
        </w:div>
        <w:div w:id="855459269">
          <w:marLeft w:val="0"/>
          <w:marRight w:val="0"/>
          <w:marTop w:val="0"/>
          <w:marBottom w:val="0"/>
          <w:divBdr>
            <w:top w:val="none" w:sz="0" w:space="0" w:color="auto"/>
            <w:left w:val="none" w:sz="0" w:space="0" w:color="auto"/>
            <w:bottom w:val="none" w:sz="0" w:space="0" w:color="auto"/>
            <w:right w:val="none" w:sz="0" w:space="0" w:color="auto"/>
          </w:divBdr>
        </w:div>
        <w:div w:id="872422999">
          <w:marLeft w:val="0"/>
          <w:marRight w:val="0"/>
          <w:marTop w:val="0"/>
          <w:marBottom w:val="0"/>
          <w:divBdr>
            <w:top w:val="none" w:sz="0" w:space="0" w:color="auto"/>
            <w:left w:val="none" w:sz="0" w:space="0" w:color="auto"/>
            <w:bottom w:val="none" w:sz="0" w:space="0" w:color="auto"/>
            <w:right w:val="none" w:sz="0" w:space="0" w:color="auto"/>
          </w:divBdr>
        </w:div>
        <w:div w:id="886796609">
          <w:marLeft w:val="0"/>
          <w:marRight w:val="0"/>
          <w:marTop w:val="0"/>
          <w:marBottom w:val="0"/>
          <w:divBdr>
            <w:top w:val="none" w:sz="0" w:space="0" w:color="auto"/>
            <w:left w:val="none" w:sz="0" w:space="0" w:color="auto"/>
            <w:bottom w:val="none" w:sz="0" w:space="0" w:color="auto"/>
            <w:right w:val="none" w:sz="0" w:space="0" w:color="auto"/>
          </w:divBdr>
        </w:div>
        <w:div w:id="888614083">
          <w:marLeft w:val="0"/>
          <w:marRight w:val="0"/>
          <w:marTop w:val="0"/>
          <w:marBottom w:val="0"/>
          <w:divBdr>
            <w:top w:val="none" w:sz="0" w:space="0" w:color="auto"/>
            <w:left w:val="none" w:sz="0" w:space="0" w:color="auto"/>
            <w:bottom w:val="none" w:sz="0" w:space="0" w:color="auto"/>
            <w:right w:val="none" w:sz="0" w:space="0" w:color="auto"/>
          </w:divBdr>
        </w:div>
        <w:div w:id="890191568">
          <w:marLeft w:val="0"/>
          <w:marRight w:val="0"/>
          <w:marTop w:val="0"/>
          <w:marBottom w:val="0"/>
          <w:divBdr>
            <w:top w:val="none" w:sz="0" w:space="0" w:color="auto"/>
            <w:left w:val="none" w:sz="0" w:space="0" w:color="auto"/>
            <w:bottom w:val="none" w:sz="0" w:space="0" w:color="auto"/>
            <w:right w:val="none" w:sz="0" w:space="0" w:color="auto"/>
          </w:divBdr>
        </w:div>
        <w:div w:id="913196566">
          <w:marLeft w:val="0"/>
          <w:marRight w:val="0"/>
          <w:marTop w:val="0"/>
          <w:marBottom w:val="0"/>
          <w:divBdr>
            <w:top w:val="none" w:sz="0" w:space="0" w:color="auto"/>
            <w:left w:val="none" w:sz="0" w:space="0" w:color="auto"/>
            <w:bottom w:val="none" w:sz="0" w:space="0" w:color="auto"/>
            <w:right w:val="none" w:sz="0" w:space="0" w:color="auto"/>
          </w:divBdr>
        </w:div>
        <w:div w:id="918952646">
          <w:marLeft w:val="0"/>
          <w:marRight w:val="0"/>
          <w:marTop w:val="0"/>
          <w:marBottom w:val="0"/>
          <w:divBdr>
            <w:top w:val="none" w:sz="0" w:space="0" w:color="auto"/>
            <w:left w:val="none" w:sz="0" w:space="0" w:color="auto"/>
            <w:bottom w:val="none" w:sz="0" w:space="0" w:color="auto"/>
            <w:right w:val="none" w:sz="0" w:space="0" w:color="auto"/>
          </w:divBdr>
        </w:div>
        <w:div w:id="924845830">
          <w:marLeft w:val="0"/>
          <w:marRight w:val="0"/>
          <w:marTop w:val="0"/>
          <w:marBottom w:val="0"/>
          <w:divBdr>
            <w:top w:val="none" w:sz="0" w:space="0" w:color="auto"/>
            <w:left w:val="none" w:sz="0" w:space="0" w:color="auto"/>
            <w:bottom w:val="none" w:sz="0" w:space="0" w:color="auto"/>
            <w:right w:val="none" w:sz="0" w:space="0" w:color="auto"/>
          </w:divBdr>
        </w:div>
        <w:div w:id="938441359">
          <w:marLeft w:val="0"/>
          <w:marRight w:val="0"/>
          <w:marTop w:val="0"/>
          <w:marBottom w:val="0"/>
          <w:divBdr>
            <w:top w:val="none" w:sz="0" w:space="0" w:color="auto"/>
            <w:left w:val="none" w:sz="0" w:space="0" w:color="auto"/>
            <w:bottom w:val="none" w:sz="0" w:space="0" w:color="auto"/>
            <w:right w:val="none" w:sz="0" w:space="0" w:color="auto"/>
          </w:divBdr>
        </w:div>
        <w:div w:id="955258498">
          <w:marLeft w:val="0"/>
          <w:marRight w:val="0"/>
          <w:marTop w:val="0"/>
          <w:marBottom w:val="0"/>
          <w:divBdr>
            <w:top w:val="none" w:sz="0" w:space="0" w:color="auto"/>
            <w:left w:val="none" w:sz="0" w:space="0" w:color="auto"/>
            <w:bottom w:val="none" w:sz="0" w:space="0" w:color="auto"/>
            <w:right w:val="none" w:sz="0" w:space="0" w:color="auto"/>
          </w:divBdr>
        </w:div>
        <w:div w:id="960650064">
          <w:marLeft w:val="0"/>
          <w:marRight w:val="0"/>
          <w:marTop w:val="0"/>
          <w:marBottom w:val="0"/>
          <w:divBdr>
            <w:top w:val="none" w:sz="0" w:space="0" w:color="auto"/>
            <w:left w:val="none" w:sz="0" w:space="0" w:color="auto"/>
            <w:bottom w:val="none" w:sz="0" w:space="0" w:color="auto"/>
            <w:right w:val="none" w:sz="0" w:space="0" w:color="auto"/>
          </w:divBdr>
        </w:div>
        <w:div w:id="972171167">
          <w:marLeft w:val="0"/>
          <w:marRight w:val="0"/>
          <w:marTop w:val="0"/>
          <w:marBottom w:val="0"/>
          <w:divBdr>
            <w:top w:val="none" w:sz="0" w:space="0" w:color="auto"/>
            <w:left w:val="none" w:sz="0" w:space="0" w:color="auto"/>
            <w:bottom w:val="none" w:sz="0" w:space="0" w:color="auto"/>
            <w:right w:val="none" w:sz="0" w:space="0" w:color="auto"/>
          </w:divBdr>
        </w:div>
        <w:div w:id="983118929">
          <w:marLeft w:val="0"/>
          <w:marRight w:val="0"/>
          <w:marTop w:val="0"/>
          <w:marBottom w:val="0"/>
          <w:divBdr>
            <w:top w:val="none" w:sz="0" w:space="0" w:color="auto"/>
            <w:left w:val="none" w:sz="0" w:space="0" w:color="auto"/>
            <w:bottom w:val="none" w:sz="0" w:space="0" w:color="auto"/>
            <w:right w:val="none" w:sz="0" w:space="0" w:color="auto"/>
          </w:divBdr>
        </w:div>
        <w:div w:id="997227011">
          <w:marLeft w:val="0"/>
          <w:marRight w:val="0"/>
          <w:marTop w:val="0"/>
          <w:marBottom w:val="0"/>
          <w:divBdr>
            <w:top w:val="none" w:sz="0" w:space="0" w:color="auto"/>
            <w:left w:val="none" w:sz="0" w:space="0" w:color="auto"/>
            <w:bottom w:val="none" w:sz="0" w:space="0" w:color="auto"/>
            <w:right w:val="none" w:sz="0" w:space="0" w:color="auto"/>
          </w:divBdr>
        </w:div>
        <w:div w:id="1007252488">
          <w:marLeft w:val="0"/>
          <w:marRight w:val="0"/>
          <w:marTop w:val="0"/>
          <w:marBottom w:val="0"/>
          <w:divBdr>
            <w:top w:val="none" w:sz="0" w:space="0" w:color="auto"/>
            <w:left w:val="none" w:sz="0" w:space="0" w:color="auto"/>
            <w:bottom w:val="none" w:sz="0" w:space="0" w:color="auto"/>
            <w:right w:val="none" w:sz="0" w:space="0" w:color="auto"/>
          </w:divBdr>
        </w:div>
        <w:div w:id="1007370610">
          <w:marLeft w:val="0"/>
          <w:marRight w:val="0"/>
          <w:marTop w:val="0"/>
          <w:marBottom w:val="0"/>
          <w:divBdr>
            <w:top w:val="none" w:sz="0" w:space="0" w:color="auto"/>
            <w:left w:val="none" w:sz="0" w:space="0" w:color="auto"/>
            <w:bottom w:val="none" w:sz="0" w:space="0" w:color="auto"/>
            <w:right w:val="none" w:sz="0" w:space="0" w:color="auto"/>
          </w:divBdr>
        </w:div>
        <w:div w:id="1011445423">
          <w:marLeft w:val="0"/>
          <w:marRight w:val="0"/>
          <w:marTop w:val="0"/>
          <w:marBottom w:val="0"/>
          <w:divBdr>
            <w:top w:val="none" w:sz="0" w:space="0" w:color="auto"/>
            <w:left w:val="none" w:sz="0" w:space="0" w:color="auto"/>
            <w:bottom w:val="none" w:sz="0" w:space="0" w:color="auto"/>
            <w:right w:val="none" w:sz="0" w:space="0" w:color="auto"/>
          </w:divBdr>
        </w:div>
        <w:div w:id="1016270746">
          <w:marLeft w:val="0"/>
          <w:marRight w:val="0"/>
          <w:marTop w:val="0"/>
          <w:marBottom w:val="0"/>
          <w:divBdr>
            <w:top w:val="none" w:sz="0" w:space="0" w:color="auto"/>
            <w:left w:val="none" w:sz="0" w:space="0" w:color="auto"/>
            <w:bottom w:val="none" w:sz="0" w:space="0" w:color="auto"/>
            <w:right w:val="none" w:sz="0" w:space="0" w:color="auto"/>
          </w:divBdr>
        </w:div>
        <w:div w:id="1020278535">
          <w:marLeft w:val="0"/>
          <w:marRight w:val="0"/>
          <w:marTop w:val="0"/>
          <w:marBottom w:val="0"/>
          <w:divBdr>
            <w:top w:val="none" w:sz="0" w:space="0" w:color="auto"/>
            <w:left w:val="none" w:sz="0" w:space="0" w:color="auto"/>
            <w:bottom w:val="none" w:sz="0" w:space="0" w:color="auto"/>
            <w:right w:val="none" w:sz="0" w:space="0" w:color="auto"/>
          </w:divBdr>
        </w:div>
        <w:div w:id="1024095609">
          <w:marLeft w:val="0"/>
          <w:marRight w:val="0"/>
          <w:marTop w:val="0"/>
          <w:marBottom w:val="0"/>
          <w:divBdr>
            <w:top w:val="none" w:sz="0" w:space="0" w:color="auto"/>
            <w:left w:val="none" w:sz="0" w:space="0" w:color="auto"/>
            <w:bottom w:val="none" w:sz="0" w:space="0" w:color="auto"/>
            <w:right w:val="none" w:sz="0" w:space="0" w:color="auto"/>
          </w:divBdr>
        </w:div>
        <w:div w:id="1027099486">
          <w:marLeft w:val="0"/>
          <w:marRight w:val="0"/>
          <w:marTop w:val="0"/>
          <w:marBottom w:val="0"/>
          <w:divBdr>
            <w:top w:val="none" w:sz="0" w:space="0" w:color="auto"/>
            <w:left w:val="none" w:sz="0" w:space="0" w:color="auto"/>
            <w:bottom w:val="none" w:sz="0" w:space="0" w:color="auto"/>
            <w:right w:val="none" w:sz="0" w:space="0" w:color="auto"/>
          </w:divBdr>
        </w:div>
        <w:div w:id="1031109469">
          <w:marLeft w:val="0"/>
          <w:marRight w:val="0"/>
          <w:marTop w:val="0"/>
          <w:marBottom w:val="0"/>
          <w:divBdr>
            <w:top w:val="none" w:sz="0" w:space="0" w:color="auto"/>
            <w:left w:val="none" w:sz="0" w:space="0" w:color="auto"/>
            <w:bottom w:val="none" w:sz="0" w:space="0" w:color="auto"/>
            <w:right w:val="none" w:sz="0" w:space="0" w:color="auto"/>
          </w:divBdr>
        </w:div>
        <w:div w:id="1035304521">
          <w:marLeft w:val="0"/>
          <w:marRight w:val="0"/>
          <w:marTop w:val="0"/>
          <w:marBottom w:val="0"/>
          <w:divBdr>
            <w:top w:val="none" w:sz="0" w:space="0" w:color="auto"/>
            <w:left w:val="none" w:sz="0" w:space="0" w:color="auto"/>
            <w:bottom w:val="none" w:sz="0" w:space="0" w:color="auto"/>
            <w:right w:val="none" w:sz="0" w:space="0" w:color="auto"/>
          </w:divBdr>
        </w:div>
        <w:div w:id="1040396102">
          <w:marLeft w:val="0"/>
          <w:marRight w:val="0"/>
          <w:marTop w:val="0"/>
          <w:marBottom w:val="0"/>
          <w:divBdr>
            <w:top w:val="none" w:sz="0" w:space="0" w:color="auto"/>
            <w:left w:val="none" w:sz="0" w:space="0" w:color="auto"/>
            <w:bottom w:val="none" w:sz="0" w:space="0" w:color="auto"/>
            <w:right w:val="none" w:sz="0" w:space="0" w:color="auto"/>
          </w:divBdr>
        </w:div>
        <w:div w:id="1070807537">
          <w:marLeft w:val="0"/>
          <w:marRight w:val="0"/>
          <w:marTop w:val="0"/>
          <w:marBottom w:val="0"/>
          <w:divBdr>
            <w:top w:val="none" w:sz="0" w:space="0" w:color="auto"/>
            <w:left w:val="none" w:sz="0" w:space="0" w:color="auto"/>
            <w:bottom w:val="none" w:sz="0" w:space="0" w:color="auto"/>
            <w:right w:val="none" w:sz="0" w:space="0" w:color="auto"/>
          </w:divBdr>
        </w:div>
        <w:div w:id="1072003267">
          <w:marLeft w:val="0"/>
          <w:marRight w:val="0"/>
          <w:marTop w:val="0"/>
          <w:marBottom w:val="0"/>
          <w:divBdr>
            <w:top w:val="none" w:sz="0" w:space="0" w:color="auto"/>
            <w:left w:val="none" w:sz="0" w:space="0" w:color="auto"/>
            <w:bottom w:val="none" w:sz="0" w:space="0" w:color="auto"/>
            <w:right w:val="none" w:sz="0" w:space="0" w:color="auto"/>
          </w:divBdr>
        </w:div>
        <w:div w:id="1072660290">
          <w:marLeft w:val="0"/>
          <w:marRight w:val="0"/>
          <w:marTop w:val="0"/>
          <w:marBottom w:val="0"/>
          <w:divBdr>
            <w:top w:val="none" w:sz="0" w:space="0" w:color="auto"/>
            <w:left w:val="none" w:sz="0" w:space="0" w:color="auto"/>
            <w:bottom w:val="none" w:sz="0" w:space="0" w:color="auto"/>
            <w:right w:val="none" w:sz="0" w:space="0" w:color="auto"/>
          </w:divBdr>
        </w:div>
        <w:div w:id="1086996969">
          <w:marLeft w:val="0"/>
          <w:marRight w:val="0"/>
          <w:marTop w:val="0"/>
          <w:marBottom w:val="0"/>
          <w:divBdr>
            <w:top w:val="none" w:sz="0" w:space="0" w:color="auto"/>
            <w:left w:val="none" w:sz="0" w:space="0" w:color="auto"/>
            <w:bottom w:val="none" w:sz="0" w:space="0" w:color="auto"/>
            <w:right w:val="none" w:sz="0" w:space="0" w:color="auto"/>
          </w:divBdr>
        </w:div>
        <w:div w:id="1088497496">
          <w:marLeft w:val="0"/>
          <w:marRight w:val="0"/>
          <w:marTop w:val="0"/>
          <w:marBottom w:val="0"/>
          <w:divBdr>
            <w:top w:val="none" w:sz="0" w:space="0" w:color="auto"/>
            <w:left w:val="none" w:sz="0" w:space="0" w:color="auto"/>
            <w:bottom w:val="none" w:sz="0" w:space="0" w:color="auto"/>
            <w:right w:val="none" w:sz="0" w:space="0" w:color="auto"/>
          </w:divBdr>
        </w:div>
        <w:div w:id="1099831421">
          <w:marLeft w:val="0"/>
          <w:marRight w:val="0"/>
          <w:marTop w:val="0"/>
          <w:marBottom w:val="0"/>
          <w:divBdr>
            <w:top w:val="none" w:sz="0" w:space="0" w:color="auto"/>
            <w:left w:val="none" w:sz="0" w:space="0" w:color="auto"/>
            <w:bottom w:val="none" w:sz="0" w:space="0" w:color="auto"/>
            <w:right w:val="none" w:sz="0" w:space="0" w:color="auto"/>
          </w:divBdr>
        </w:div>
        <w:div w:id="1101954946">
          <w:marLeft w:val="0"/>
          <w:marRight w:val="0"/>
          <w:marTop w:val="0"/>
          <w:marBottom w:val="0"/>
          <w:divBdr>
            <w:top w:val="none" w:sz="0" w:space="0" w:color="auto"/>
            <w:left w:val="none" w:sz="0" w:space="0" w:color="auto"/>
            <w:bottom w:val="none" w:sz="0" w:space="0" w:color="auto"/>
            <w:right w:val="none" w:sz="0" w:space="0" w:color="auto"/>
          </w:divBdr>
        </w:div>
        <w:div w:id="1115176213">
          <w:marLeft w:val="0"/>
          <w:marRight w:val="0"/>
          <w:marTop w:val="0"/>
          <w:marBottom w:val="0"/>
          <w:divBdr>
            <w:top w:val="none" w:sz="0" w:space="0" w:color="auto"/>
            <w:left w:val="none" w:sz="0" w:space="0" w:color="auto"/>
            <w:bottom w:val="none" w:sz="0" w:space="0" w:color="auto"/>
            <w:right w:val="none" w:sz="0" w:space="0" w:color="auto"/>
          </w:divBdr>
        </w:div>
        <w:div w:id="1135871046">
          <w:marLeft w:val="0"/>
          <w:marRight w:val="0"/>
          <w:marTop w:val="0"/>
          <w:marBottom w:val="0"/>
          <w:divBdr>
            <w:top w:val="none" w:sz="0" w:space="0" w:color="auto"/>
            <w:left w:val="none" w:sz="0" w:space="0" w:color="auto"/>
            <w:bottom w:val="none" w:sz="0" w:space="0" w:color="auto"/>
            <w:right w:val="none" w:sz="0" w:space="0" w:color="auto"/>
          </w:divBdr>
        </w:div>
        <w:div w:id="1136029098">
          <w:marLeft w:val="0"/>
          <w:marRight w:val="0"/>
          <w:marTop w:val="0"/>
          <w:marBottom w:val="0"/>
          <w:divBdr>
            <w:top w:val="none" w:sz="0" w:space="0" w:color="auto"/>
            <w:left w:val="none" w:sz="0" w:space="0" w:color="auto"/>
            <w:bottom w:val="none" w:sz="0" w:space="0" w:color="auto"/>
            <w:right w:val="none" w:sz="0" w:space="0" w:color="auto"/>
          </w:divBdr>
        </w:div>
        <w:div w:id="1137797397">
          <w:marLeft w:val="0"/>
          <w:marRight w:val="0"/>
          <w:marTop w:val="0"/>
          <w:marBottom w:val="0"/>
          <w:divBdr>
            <w:top w:val="none" w:sz="0" w:space="0" w:color="auto"/>
            <w:left w:val="none" w:sz="0" w:space="0" w:color="auto"/>
            <w:bottom w:val="none" w:sz="0" w:space="0" w:color="auto"/>
            <w:right w:val="none" w:sz="0" w:space="0" w:color="auto"/>
          </w:divBdr>
        </w:div>
        <w:div w:id="1151217703">
          <w:marLeft w:val="0"/>
          <w:marRight w:val="0"/>
          <w:marTop w:val="0"/>
          <w:marBottom w:val="0"/>
          <w:divBdr>
            <w:top w:val="none" w:sz="0" w:space="0" w:color="auto"/>
            <w:left w:val="none" w:sz="0" w:space="0" w:color="auto"/>
            <w:bottom w:val="none" w:sz="0" w:space="0" w:color="auto"/>
            <w:right w:val="none" w:sz="0" w:space="0" w:color="auto"/>
          </w:divBdr>
        </w:div>
        <w:div w:id="1166633873">
          <w:marLeft w:val="0"/>
          <w:marRight w:val="0"/>
          <w:marTop w:val="0"/>
          <w:marBottom w:val="0"/>
          <w:divBdr>
            <w:top w:val="none" w:sz="0" w:space="0" w:color="auto"/>
            <w:left w:val="none" w:sz="0" w:space="0" w:color="auto"/>
            <w:bottom w:val="none" w:sz="0" w:space="0" w:color="auto"/>
            <w:right w:val="none" w:sz="0" w:space="0" w:color="auto"/>
          </w:divBdr>
        </w:div>
        <w:div w:id="1176964131">
          <w:marLeft w:val="0"/>
          <w:marRight w:val="0"/>
          <w:marTop w:val="0"/>
          <w:marBottom w:val="0"/>
          <w:divBdr>
            <w:top w:val="none" w:sz="0" w:space="0" w:color="auto"/>
            <w:left w:val="none" w:sz="0" w:space="0" w:color="auto"/>
            <w:bottom w:val="none" w:sz="0" w:space="0" w:color="auto"/>
            <w:right w:val="none" w:sz="0" w:space="0" w:color="auto"/>
          </w:divBdr>
        </w:div>
        <w:div w:id="1201936591">
          <w:marLeft w:val="0"/>
          <w:marRight w:val="0"/>
          <w:marTop w:val="0"/>
          <w:marBottom w:val="0"/>
          <w:divBdr>
            <w:top w:val="none" w:sz="0" w:space="0" w:color="auto"/>
            <w:left w:val="none" w:sz="0" w:space="0" w:color="auto"/>
            <w:bottom w:val="none" w:sz="0" w:space="0" w:color="auto"/>
            <w:right w:val="none" w:sz="0" w:space="0" w:color="auto"/>
          </w:divBdr>
        </w:div>
        <w:div w:id="1212690942">
          <w:marLeft w:val="0"/>
          <w:marRight w:val="0"/>
          <w:marTop w:val="0"/>
          <w:marBottom w:val="0"/>
          <w:divBdr>
            <w:top w:val="none" w:sz="0" w:space="0" w:color="auto"/>
            <w:left w:val="none" w:sz="0" w:space="0" w:color="auto"/>
            <w:bottom w:val="none" w:sz="0" w:space="0" w:color="auto"/>
            <w:right w:val="none" w:sz="0" w:space="0" w:color="auto"/>
          </w:divBdr>
        </w:div>
        <w:div w:id="1219247219">
          <w:marLeft w:val="0"/>
          <w:marRight w:val="0"/>
          <w:marTop w:val="0"/>
          <w:marBottom w:val="0"/>
          <w:divBdr>
            <w:top w:val="none" w:sz="0" w:space="0" w:color="auto"/>
            <w:left w:val="none" w:sz="0" w:space="0" w:color="auto"/>
            <w:bottom w:val="none" w:sz="0" w:space="0" w:color="auto"/>
            <w:right w:val="none" w:sz="0" w:space="0" w:color="auto"/>
          </w:divBdr>
        </w:div>
        <w:div w:id="1232038724">
          <w:marLeft w:val="0"/>
          <w:marRight w:val="0"/>
          <w:marTop w:val="0"/>
          <w:marBottom w:val="0"/>
          <w:divBdr>
            <w:top w:val="none" w:sz="0" w:space="0" w:color="auto"/>
            <w:left w:val="none" w:sz="0" w:space="0" w:color="auto"/>
            <w:bottom w:val="none" w:sz="0" w:space="0" w:color="auto"/>
            <w:right w:val="none" w:sz="0" w:space="0" w:color="auto"/>
          </w:divBdr>
        </w:div>
        <w:div w:id="1233348552">
          <w:marLeft w:val="0"/>
          <w:marRight w:val="0"/>
          <w:marTop w:val="0"/>
          <w:marBottom w:val="0"/>
          <w:divBdr>
            <w:top w:val="none" w:sz="0" w:space="0" w:color="auto"/>
            <w:left w:val="none" w:sz="0" w:space="0" w:color="auto"/>
            <w:bottom w:val="none" w:sz="0" w:space="0" w:color="auto"/>
            <w:right w:val="none" w:sz="0" w:space="0" w:color="auto"/>
          </w:divBdr>
        </w:div>
        <w:div w:id="1239247417">
          <w:marLeft w:val="0"/>
          <w:marRight w:val="0"/>
          <w:marTop w:val="0"/>
          <w:marBottom w:val="0"/>
          <w:divBdr>
            <w:top w:val="none" w:sz="0" w:space="0" w:color="auto"/>
            <w:left w:val="none" w:sz="0" w:space="0" w:color="auto"/>
            <w:bottom w:val="none" w:sz="0" w:space="0" w:color="auto"/>
            <w:right w:val="none" w:sz="0" w:space="0" w:color="auto"/>
          </w:divBdr>
        </w:div>
        <w:div w:id="1240285440">
          <w:marLeft w:val="0"/>
          <w:marRight w:val="0"/>
          <w:marTop w:val="0"/>
          <w:marBottom w:val="0"/>
          <w:divBdr>
            <w:top w:val="none" w:sz="0" w:space="0" w:color="auto"/>
            <w:left w:val="none" w:sz="0" w:space="0" w:color="auto"/>
            <w:bottom w:val="none" w:sz="0" w:space="0" w:color="auto"/>
            <w:right w:val="none" w:sz="0" w:space="0" w:color="auto"/>
          </w:divBdr>
        </w:div>
        <w:div w:id="1241788275">
          <w:marLeft w:val="0"/>
          <w:marRight w:val="0"/>
          <w:marTop w:val="0"/>
          <w:marBottom w:val="0"/>
          <w:divBdr>
            <w:top w:val="none" w:sz="0" w:space="0" w:color="auto"/>
            <w:left w:val="none" w:sz="0" w:space="0" w:color="auto"/>
            <w:bottom w:val="none" w:sz="0" w:space="0" w:color="auto"/>
            <w:right w:val="none" w:sz="0" w:space="0" w:color="auto"/>
          </w:divBdr>
        </w:div>
        <w:div w:id="1246264849">
          <w:marLeft w:val="0"/>
          <w:marRight w:val="0"/>
          <w:marTop w:val="0"/>
          <w:marBottom w:val="0"/>
          <w:divBdr>
            <w:top w:val="none" w:sz="0" w:space="0" w:color="auto"/>
            <w:left w:val="none" w:sz="0" w:space="0" w:color="auto"/>
            <w:bottom w:val="none" w:sz="0" w:space="0" w:color="auto"/>
            <w:right w:val="none" w:sz="0" w:space="0" w:color="auto"/>
          </w:divBdr>
        </w:div>
        <w:div w:id="1266183431">
          <w:marLeft w:val="0"/>
          <w:marRight w:val="0"/>
          <w:marTop w:val="0"/>
          <w:marBottom w:val="0"/>
          <w:divBdr>
            <w:top w:val="none" w:sz="0" w:space="0" w:color="auto"/>
            <w:left w:val="none" w:sz="0" w:space="0" w:color="auto"/>
            <w:bottom w:val="none" w:sz="0" w:space="0" w:color="auto"/>
            <w:right w:val="none" w:sz="0" w:space="0" w:color="auto"/>
          </w:divBdr>
        </w:div>
        <w:div w:id="1267158530">
          <w:marLeft w:val="0"/>
          <w:marRight w:val="0"/>
          <w:marTop w:val="0"/>
          <w:marBottom w:val="0"/>
          <w:divBdr>
            <w:top w:val="none" w:sz="0" w:space="0" w:color="auto"/>
            <w:left w:val="none" w:sz="0" w:space="0" w:color="auto"/>
            <w:bottom w:val="none" w:sz="0" w:space="0" w:color="auto"/>
            <w:right w:val="none" w:sz="0" w:space="0" w:color="auto"/>
          </w:divBdr>
        </w:div>
        <w:div w:id="1268737338">
          <w:marLeft w:val="0"/>
          <w:marRight w:val="0"/>
          <w:marTop w:val="0"/>
          <w:marBottom w:val="0"/>
          <w:divBdr>
            <w:top w:val="none" w:sz="0" w:space="0" w:color="auto"/>
            <w:left w:val="none" w:sz="0" w:space="0" w:color="auto"/>
            <w:bottom w:val="none" w:sz="0" w:space="0" w:color="auto"/>
            <w:right w:val="none" w:sz="0" w:space="0" w:color="auto"/>
          </w:divBdr>
        </w:div>
        <w:div w:id="1270627690">
          <w:marLeft w:val="0"/>
          <w:marRight w:val="0"/>
          <w:marTop w:val="0"/>
          <w:marBottom w:val="0"/>
          <w:divBdr>
            <w:top w:val="none" w:sz="0" w:space="0" w:color="auto"/>
            <w:left w:val="none" w:sz="0" w:space="0" w:color="auto"/>
            <w:bottom w:val="none" w:sz="0" w:space="0" w:color="auto"/>
            <w:right w:val="none" w:sz="0" w:space="0" w:color="auto"/>
          </w:divBdr>
        </w:div>
        <w:div w:id="1279684419">
          <w:marLeft w:val="0"/>
          <w:marRight w:val="0"/>
          <w:marTop w:val="0"/>
          <w:marBottom w:val="0"/>
          <w:divBdr>
            <w:top w:val="none" w:sz="0" w:space="0" w:color="auto"/>
            <w:left w:val="none" w:sz="0" w:space="0" w:color="auto"/>
            <w:bottom w:val="none" w:sz="0" w:space="0" w:color="auto"/>
            <w:right w:val="none" w:sz="0" w:space="0" w:color="auto"/>
          </w:divBdr>
        </w:div>
        <w:div w:id="1280720783">
          <w:marLeft w:val="0"/>
          <w:marRight w:val="0"/>
          <w:marTop w:val="0"/>
          <w:marBottom w:val="0"/>
          <w:divBdr>
            <w:top w:val="none" w:sz="0" w:space="0" w:color="auto"/>
            <w:left w:val="none" w:sz="0" w:space="0" w:color="auto"/>
            <w:bottom w:val="none" w:sz="0" w:space="0" w:color="auto"/>
            <w:right w:val="none" w:sz="0" w:space="0" w:color="auto"/>
          </w:divBdr>
        </w:div>
        <w:div w:id="1287005895">
          <w:marLeft w:val="0"/>
          <w:marRight w:val="0"/>
          <w:marTop w:val="0"/>
          <w:marBottom w:val="0"/>
          <w:divBdr>
            <w:top w:val="none" w:sz="0" w:space="0" w:color="auto"/>
            <w:left w:val="none" w:sz="0" w:space="0" w:color="auto"/>
            <w:bottom w:val="none" w:sz="0" w:space="0" w:color="auto"/>
            <w:right w:val="none" w:sz="0" w:space="0" w:color="auto"/>
          </w:divBdr>
        </w:div>
        <w:div w:id="1292633436">
          <w:marLeft w:val="0"/>
          <w:marRight w:val="0"/>
          <w:marTop w:val="0"/>
          <w:marBottom w:val="0"/>
          <w:divBdr>
            <w:top w:val="none" w:sz="0" w:space="0" w:color="auto"/>
            <w:left w:val="none" w:sz="0" w:space="0" w:color="auto"/>
            <w:bottom w:val="none" w:sz="0" w:space="0" w:color="auto"/>
            <w:right w:val="none" w:sz="0" w:space="0" w:color="auto"/>
          </w:divBdr>
        </w:div>
        <w:div w:id="1293049751">
          <w:marLeft w:val="0"/>
          <w:marRight w:val="0"/>
          <w:marTop w:val="0"/>
          <w:marBottom w:val="0"/>
          <w:divBdr>
            <w:top w:val="none" w:sz="0" w:space="0" w:color="auto"/>
            <w:left w:val="none" w:sz="0" w:space="0" w:color="auto"/>
            <w:bottom w:val="none" w:sz="0" w:space="0" w:color="auto"/>
            <w:right w:val="none" w:sz="0" w:space="0" w:color="auto"/>
          </w:divBdr>
        </w:div>
        <w:div w:id="1298409718">
          <w:marLeft w:val="0"/>
          <w:marRight w:val="0"/>
          <w:marTop w:val="0"/>
          <w:marBottom w:val="0"/>
          <w:divBdr>
            <w:top w:val="none" w:sz="0" w:space="0" w:color="auto"/>
            <w:left w:val="none" w:sz="0" w:space="0" w:color="auto"/>
            <w:bottom w:val="none" w:sz="0" w:space="0" w:color="auto"/>
            <w:right w:val="none" w:sz="0" w:space="0" w:color="auto"/>
          </w:divBdr>
        </w:div>
        <w:div w:id="1309557591">
          <w:marLeft w:val="0"/>
          <w:marRight w:val="0"/>
          <w:marTop w:val="0"/>
          <w:marBottom w:val="0"/>
          <w:divBdr>
            <w:top w:val="none" w:sz="0" w:space="0" w:color="auto"/>
            <w:left w:val="none" w:sz="0" w:space="0" w:color="auto"/>
            <w:bottom w:val="none" w:sz="0" w:space="0" w:color="auto"/>
            <w:right w:val="none" w:sz="0" w:space="0" w:color="auto"/>
          </w:divBdr>
        </w:div>
        <w:div w:id="1310860041">
          <w:marLeft w:val="0"/>
          <w:marRight w:val="0"/>
          <w:marTop w:val="0"/>
          <w:marBottom w:val="0"/>
          <w:divBdr>
            <w:top w:val="none" w:sz="0" w:space="0" w:color="auto"/>
            <w:left w:val="none" w:sz="0" w:space="0" w:color="auto"/>
            <w:bottom w:val="none" w:sz="0" w:space="0" w:color="auto"/>
            <w:right w:val="none" w:sz="0" w:space="0" w:color="auto"/>
          </w:divBdr>
        </w:div>
        <w:div w:id="1312977338">
          <w:marLeft w:val="0"/>
          <w:marRight w:val="0"/>
          <w:marTop w:val="0"/>
          <w:marBottom w:val="0"/>
          <w:divBdr>
            <w:top w:val="none" w:sz="0" w:space="0" w:color="auto"/>
            <w:left w:val="none" w:sz="0" w:space="0" w:color="auto"/>
            <w:bottom w:val="none" w:sz="0" w:space="0" w:color="auto"/>
            <w:right w:val="none" w:sz="0" w:space="0" w:color="auto"/>
          </w:divBdr>
        </w:div>
        <w:div w:id="1313633409">
          <w:marLeft w:val="0"/>
          <w:marRight w:val="0"/>
          <w:marTop w:val="0"/>
          <w:marBottom w:val="0"/>
          <w:divBdr>
            <w:top w:val="none" w:sz="0" w:space="0" w:color="auto"/>
            <w:left w:val="none" w:sz="0" w:space="0" w:color="auto"/>
            <w:bottom w:val="none" w:sz="0" w:space="0" w:color="auto"/>
            <w:right w:val="none" w:sz="0" w:space="0" w:color="auto"/>
          </w:divBdr>
        </w:div>
        <w:div w:id="1318997773">
          <w:marLeft w:val="0"/>
          <w:marRight w:val="0"/>
          <w:marTop w:val="0"/>
          <w:marBottom w:val="0"/>
          <w:divBdr>
            <w:top w:val="none" w:sz="0" w:space="0" w:color="auto"/>
            <w:left w:val="none" w:sz="0" w:space="0" w:color="auto"/>
            <w:bottom w:val="none" w:sz="0" w:space="0" w:color="auto"/>
            <w:right w:val="none" w:sz="0" w:space="0" w:color="auto"/>
          </w:divBdr>
        </w:div>
        <w:div w:id="1326083412">
          <w:marLeft w:val="0"/>
          <w:marRight w:val="0"/>
          <w:marTop w:val="0"/>
          <w:marBottom w:val="0"/>
          <w:divBdr>
            <w:top w:val="none" w:sz="0" w:space="0" w:color="auto"/>
            <w:left w:val="none" w:sz="0" w:space="0" w:color="auto"/>
            <w:bottom w:val="none" w:sz="0" w:space="0" w:color="auto"/>
            <w:right w:val="none" w:sz="0" w:space="0" w:color="auto"/>
          </w:divBdr>
        </w:div>
        <w:div w:id="1346246203">
          <w:marLeft w:val="0"/>
          <w:marRight w:val="0"/>
          <w:marTop w:val="0"/>
          <w:marBottom w:val="0"/>
          <w:divBdr>
            <w:top w:val="none" w:sz="0" w:space="0" w:color="auto"/>
            <w:left w:val="none" w:sz="0" w:space="0" w:color="auto"/>
            <w:bottom w:val="none" w:sz="0" w:space="0" w:color="auto"/>
            <w:right w:val="none" w:sz="0" w:space="0" w:color="auto"/>
          </w:divBdr>
        </w:div>
        <w:div w:id="1366562558">
          <w:marLeft w:val="0"/>
          <w:marRight w:val="0"/>
          <w:marTop w:val="0"/>
          <w:marBottom w:val="0"/>
          <w:divBdr>
            <w:top w:val="none" w:sz="0" w:space="0" w:color="auto"/>
            <w:left w:val="none" w:sz="0" w:space="0" w:color="auto"/>
            <w:bottom w:val="none" w:sz="0" w:space="0" w:color="auto"/>
            <w:right w:val="none" w:sz="0" w:space="0" w:color="auto"/>
          </w:divBdr>
        </w:div>
        <w:div w:id="1383561546">
          <w:marLeft w:val="0"/>
          <w:marRight w:val="0"/>
          <w:marTop w:val="0"/>
          <w:marBottom w:val="0"/>
          <w:divBdr>
            <w:top w:val="none" w:sz="0" w:space="0" w:color="auto"/>
            <w:left w:val="none" w:sz="0" w:space="0" w:color="auto"/>
            <w:bottom w:val="none" w:sz="0" w:space="0" w:color="auto"/>
            <w:right w:val="none" w:sz="0" w:space="0" w:color="auto"/>
          </w:divBdr>
        </w:div>
        <w:div w:id="1385521418">
          <w:marLeft w:val="0"/>
          <w:marRight w:val="0"/>
          <w:marTop w:val="0"/>
          <w:marBottom w:val="0"/>
          <w:divBdr>
            <w:top w:val="none" w:sz="0" w:space="0" w:color="auto"/>
            <w:left w:val="none" w:sz="0" w:space="0" w:color="auto"/>
            <w:bottom w:val="none" w:sz="0" w:space="0" w:color="auto"/>
            <w:right w:val="none" w:sz="0" w:space="0" w:color="auto"/>
          </w:divBdr>
        </w:div>
        <w:div w:id="1394962923">
          <w:marLeft w:val="0"/>
          <w:marRight w:val="0"/>
          <w:marTop w:val="0"/>
          <w:marBottom w:val="0"/>
          <w:divBdr>
            <w:top w:val="none" w:sz="0" w:space="0" w:color="auto"/>
            <w:left w:val="none" w:sz="0" w:space="0" w:color="auto"/>
            <w:bottom w:val="none" w:sz="0" w:space="0" w:color="auto"/>
            <w:right w:val="none" w:sz="0" w:space="0" w:color="auto"/>
          </w:divBdr>
        </w:div>
        <w:div w:id="1398670078">
          <w:marLeft w:val="0"/>
          <w:marRight w:val="0"/>
          <w:marTop w:val="0"/>
          <w:marBottom w:val="0"/>
          <w:divBdr>
            <w:top w:val="none" w:sz="0" w:space="0" w:color="auto"/>
            <w:left w:val="none" w:sz="0" w:space="0" w:color="auto"/>
            <w:bottom w:val="none" w:sz="0" w:space="0" w:color="auto"/>
            <w:right w:val="none" w:sz="0" w:space="0" w:color="auto"/>
          </w:divBdr>
        </w:div>
        <w:div w:id="1401169015">
          <w:marLeft w:val="0"/>
          <w:marRight w:val="0"/>
          <w:marTop w:val="0"/>
          <w:marBottom w:val="0"/>
          <w:divBdr>
            <w:top w:val="none" w:sz="0" w:space="0" w:color="auto"/>
            <w:left w:val="none" w:sz="0" w:space="0" w:color="auto"/>
            <w:bottom w:val="none" w:sz="0" w:space="0" w:color="auto"/>
            <w:right w:val="none" w:sz="0" w:space="0" w:color="auto"/>
          </w:divBdr>
        </w:div>
        <w:div w:id="1422533533">
          <w:marLeft w:val="0"/>
          <w:marRight w:val="0"/>
          <w:marTop w:val="0"/>
          <w:marBottom w:val="0"/>
          <w:divBdr>
            <w:top w:val="none" w:sz="0" w:space="0" w:color="auto"/>
            <w:left w:val="none" w:sz="0" w:space="0" w:color="auto"/>
            <w:bottom w:val="none" w:sz="0" w:space="0" w:color="auto"/>
            <w:right w:val="none" w:sz="0" w:space="0" w:color="auto"/>
          </w:divBdr>
        </w:div>
        <w:div w:id="1423650055">
          <w:marLeft w:val="0"/>
          <w:marRight w:val="0"/>
          <w:marTop w:val="0"/>
          <w:marBottom w:val="0"/>
          <w:divBdr>
            <w:top w:val="none" w:sz="0" w:space="0" w:color="auto"/>
            <w:left w:val="none" w:sz="0" w:space="0" w:color="auto"/>
            <w:bottom w:val="none" w:sz="0" w:space="0" w:color="auto"/>
            <w:right w:val="none" w:sz="0" w:space="0" w:color="auto"/>
          </w:divBdr>
        </w:div>
        <w:div w:id="1425607257">
          <w:marLeft w:val="0"/>
          <w:marRight w:val="0"/>
          <w:marTop w:val="0"/>
          <w:marBottom w:val="0"/>
          <w:divBdr>
            <w:top w:val="none" w:sz="0" w:space="0" w:color="auto"/>
            <w:left w:val="none" w:sz="0" w:space="0" w:color="auto"/>
            <w:bottom w:val="none" w:sz="0" w:space="0" w:color="auto"/>
            <w:right w:val="none" w:sz="0" w:space="0" w:color="auto"/>
          </w:divBdr>
        </w:div>
        <w:div w:id="1431120757">
          <w:marLeft w:val="0"/>
          <w:marRight w:val="0"/>
          <w:marTop w:val="0"/>
          <w:marBottom w:val="0"/>
          <w:divBdr>
            <w:top w:val="none" w:sz="0" w:space="0" w:color="auto"/>
            <w:left w:val="none" w:sz="0" w:space="0" w:color="auto"/>
            <w:bottom w:val="none" w:sz="0" w:space="0" w:color="auto"/>
            <w:right w:val="none" w:sz="0" w:space="0" w:color="auto"/>
          </w:divBdr>
        </w:div>
        <w:div w:id="1442453563">
          <w:marLeft w:val="0"/>
          <w:marRight w:val="0"/>
          <w:marTop w:val="0"/>
          <w:marBottom w:val="0"/>
          <w:divBdr>
            <w:top w:val="none" w:sz="0" w:space="0" w:color="auto"/>
            <w:left w:val="none" w:sz="0" w:space="0" w:color="auto"/>
            <w:bottom w:val="none" w:sz="0" w:space="0" w:color="auto"/>
            <w:right w:val="none" w:sz="0" w:space="0" w:color="auto"/>
          </w:divBdr>
        </w:div>
        <w:div w:id="1445540621">
          <w:marLeft w:val="0"/>
          <w:marRight w:val="0"/>
          <w:marTop w:val="0"/>
          <w:marBottom w:val="0"/>
          <w:divBdr>
            <w:top w:val="none" w:sz="0" w:space="0" w:color="auto"/>
            <w:left w:val="none" w:sz="0" w:space="0" w:color="auto"/>
            <w:bottom w:val="none" w:sz="0" w:space="0" w:color="auto"/>
            <w:right w:val="none" w:sz="0" w:space="0" w:color="auto"/>
          </w:divBdr>
        </w:div>
        <w:div w:id="1447650849">
          <w:marLeft w:val="0"/>
          <w:marRight w:val="0"/>
          <w:marTop w:val="0"/>
          <w:marBottom w:val="0"/>
          <w:divBdr>
            <w:top w:val="none" w:sz="0" w:space="0" w:color="auto"/>
            <w:left w:val="none" w:sz="0" w:space="0" w:color="auto"/>
            <w:bottom w:val="none" w:sz="0" w:space="0" w:color="auto"/>
            <w:right w:val="none" w:sz="0" w:space="0" w:color="auto"/>
          </w:divBdr>
        </w:div>
        <w:div w:id="1451625632">
          <w:marLeft w:val="0"/>
          <w:marRight w:val="0"/>
          <w:marTop w:val="0"/>
          <w:marBottom w:val="0"/>
          <w:divBdr>
            <w:top w:val="none" w:sz="0" w:space="0" w:color="auto"/>
            <w:left w:val="none" w:sz="0" w:space="0" w:color="auto"/>
            <w:bottom w:val="none" w:sz="0" w:space="0" w:color="auto"/>
            <w:right w:val="none" w:sz="0" w:space="0" w:color="auto"/>
          </w:divBdr>
        </w:div>
        <w:div w:id="1452095583">
          <w:marLeft w:val="0"/>
          <w:marRight w:val="0"/>
          <w:marTop w:val="0"/>
          <w:marBottom w:val="0"/>
          <w:divBdr>
            <w:top w:val="none" w:sz="0" w:space="0" w:color="auto"/>
            <w:left w:val="none" w:sz="0" w:space="0" w:color="auto"/>
            <w:bottom w:val="none" w:sz="0" w:space="0" w:color="auto"/>
            <w:right w:val="none" w:sz="0" w:space="0" w:color="auto"/>
          </w:divBdr>
        </w:div>
        <w:div w:id="1471435565">
          <w:marLeft w:val="0"/>
          <w:marRight w:val="0"/>
          <w:marTop w:val="0"/>
          <w:marBottom w:val="0"/>
          <w:divBdr>
            <w:top w:val="none" w:sz="0" w:space="0" w:color="auto"/>
            <w:left w:val="none" w:sz="0" w:space="0" w:color="auto"/>
            <w:bottom w:val="none" w:sz="0" w:space="0" w:color="auto"/>
            <w:right w:val="none" w:sz="0" w:space="0" w:color="auto"/>
          </w:divBdr>
        </w:div>
        <w:div w:id="1477263143">
          <w:marLeft w:val="0"/>
          <w:marRight w:val="0"/>
          <w:marTop w:val="0"/>
          <w:marBottom w:val="0"/>
          <w:divBdr>
            <w:top w:val="none" w:sz="0" w:space="0" w:color="auto"/>
            <w:left w:val="none" w:sz="0" w:space="0" w:color="auto"/>
            <w:bottom w:val="none" w:sz="0" w:space="0" w:color="auto"/>
            <w:right w:val="none" w:sz="0" w:space="0" w:color="auto"/>
          </w:divBdr>
        </w:div>
        <w:div w:id="1477836895">
          <w:marLeft w:val="0"/>
          <w:marRight w:val="0"/>
          <w:marTop w:val="0"/>
          <w:marBottom w:val="0"/>
          <w:divBdr>
            <w:top w:val="none" w:sz="0" w:space="0" w:color="auto"/>
            <w:left w:val="none" w:sz="0" w:space="0" w:color="auto"/>
            <w:bottom w:val="none" w:sz="0" w:space="0" w:color="auto"/>
            <w:right w:val="none" w:sz="0" w:space="0" w:color="auto"/>
          </w:divBdr>
        </w:div>
        <w:div w:id="1495144608">
          <w:marLeft w:val="0"/>
          <w:marRight w:val="0"/>
          <w:marTop w:val="0"/>
          <w:marBottom w:val="0"/>
          <w:divBdr>
            <w:top w:val="none" w:sz="0" w:space="0" w:color="auto"/>
            <w:left w:val="none" w:sz="0" w:space="0" w:color="auto"/>
            <w:bottom w:val="none" w:sz="0" w:space="0" w:color="auto"/>
            <w:right w:val="none" w:sz="0" w:space="0" w:color="auto"/>
          </w:divBdr>
        </w:div>
        <w:div w:id="1508129250">
          <w:marLeft w:val="0"/>
          <w:marRight w:val="0"/>
          <w:marTop w:val="0"/>
          <w:marBottom w:val="0"/>
          <w:divBdr>
            <w:top w:val="none" w:sz="0" w:space="0" w:color="auto"/>
            <w:left w:val="none" w:sz="0" w:space="0" w:color="auto"/>
            <w:bottom w:val="none" w:sz="0" w:space="0" w:color="auto"/>
            <w:right w:val="none" w:sz="0" w:space="0" w:color="auto"/>
          </w:divBdr>
        </w:div>
        <w:div w:id="1508249251">
          <w:marLeft w:val="0"/>
          <w:marRight w:val="0"/>
          <w:marTop w:val="0"/>
          <w:marBottom w:val="0"/>
          <w:divBdr>
            <w:top w:val="none" w:sz="0" w:space="0" w:color="auto"/>
            <w:left w:val="none" w:sz="0" w:space="0" w:color="auto"/>
            <w:bottom w:val="none" w:sz="0" w:space="0" w:color="auto"/>
            <w:right w:val="none" w:sz="0" w:space="0" w:color="auto"/>
          </w:divBdr>
        </w:div>
        <w:div w:id="1508715039">
          <w:marLeft w:val="0"/>
          <w:marRight w:val="0"/>
          <w:marTop w:val="0"/>
          <w:marBottom w:val="0"/>
          <w:divBdr>
            <w:top w:val="none" w:sz="0" w:space="0" w:color="auto"/>
            <w:left w:val="none" w:sz="0" w:space="0" w:color="auto"/>
            <w:bottom w:val="none" w:sz="0" w:space="0" w:color="auto"/>
            <w:right w:val="none" w:sz="0" w:space="0" w:color="auto"/>
          </w:divBdr>
        </w:div>
        <w:div w:id="1510950172">
          <w:marLeft w:val="0"/>
          <w:marRight w:val="0"/>
          <w:marTop w:val="0"/>
          <w:marBottom w:val="0"/>
          <w:divBdr>
            <w:top w:val="none" w:sz="0" w:space="0" w:color="auto"/>
            <w:left w:val="none" w:sz="0" w:space="0" w:color="auto"/>
            <w:bottom w:val="none" w:sz="0" w:space="0" w:color="auto"/>
            <w:right w:val="none" w:sz="0" w:space="0" w:color="auto"/>
          </w:divBdr>
        </w:div>
        <w:div w:id="1513687211">
          <w:marLeft w:val="0"/>
          <w:marRight w:val="0"/>
          <w:marTop w:val="0"/>
          <w:marBottom w:val="0"/>
          <w:divBdr>
            <w:top w:val="none" w:sz="0" w:space="0" w:color="auto"/>
            <w:left w:val="none" w:sz="0" w:space="0" w:color="auto"/>
            <w:bottom w:val="none" w:sz="0" w:space="0" w:color="auto"/>
            <w:right w:val="none" w:sz="0" w:space="0" w:color="auto"/>
          </w:divBdr>
        </w:div>
        <w:div w:id="1529756712">
          <w:marLeft w:val="0"/>
          <w:marRight w:val="0"/>
          <w:marTop w:val="0"/>
          <w:marBottom w:val="0"/>
          <w:divBdr>
            <w:top w:val="none" w:sz="0" w:space="0" w:color="auto"/>
            <w:left w:val="none" w:sz="0" w:space="0" w:color="auto"/>
            <w:bottom w:val="none" w:sz="0" w:space="0" w:color="auto"/>
            <w:right w:val="none" w:sz="0" w:space="0" w:color="auto"/>
          </w:divBdr>
        </w:div>
        <w:div w:id="1534147634">
          <w:marLeft w:val="0"/>
          <w:marRight w:val="0"/>
          <w:marTop w:val="0"/>
          <w:marBottom w:val="0"/>
          <w:divBdr>
            <w:top w:val="none" w:sz="0" w:space="0" w:color="auto"/>
            <w:left w:val="none" w:sz="0" w:space="0" w:color="auto"/>
            <w:bottom w:val="none" w:sz="0" w:space="0" w:color="auto"/>
            <w:right w:val="none" w:sz="0" w:space="0" w:color="auto"/>
          </w:divBdr>
        </w:div>
        <w:div w:id="1535803076">
          <w:marLeft w:val="0"/>
          <w:marRight w:val="0"/>
          <w:marTop w:val="0"/>
          <w:marBottom w:val="0"/>
          <w:divBdr>
            <w:top w:val="none" w:sz="0" w:space="0" w:color="auto"/>
            <w:left w:val="none" w:sz="0" w:space="0" w:color="auto"/>
            <w:bottom w:val="none" w:sz="0" w:space="0" w:color="auto"/>
            <w:right w:val="none" w:sz="0" w:space="0" w:color="auto"/>
          </w:divBdr>
        </w:div>
        <w:div w:id="1538851616">
          <w:marLeft w:val="0"/>
          <w:marRight w:val="0"/>
          <w:marTop w:val="0"/>
          <w:marBottom w:val="0"/>
          <w:divBdr>
            <w:top w:val="none" w:sz="0" w:space="0" w:color="auto"/>
            <w:left w:val="none" w:sz="0" w:space="0" w:color="auto"/>
            <w:bottom w:val="none" w:sz="0" w:space="0" w:color="auto"/>
            <w:right w:val="none" w:sz="0" w:space="0" w:color="auto"/>
          </w:divBdr>
        </w:div>
        <w:div w:id="1543899922">
          <w:marLeft w:val="0"/>
          <w:marRight w:val="0"/>
          <w:marTop w:val="0"/>
          <w:marBottom w:val="0"/>
          <w:divBdr>
            <w:top w:val="none" w:sz="0" w:space="0" w:color="auto"/>
            <w:left w:val="none" w:sz="0" w:space="0" w:color="auto"/>
            <w:bottom w:val="none" w:sz="0" w:space="0" w:color="auto"/>
            <w:right w:val="none" w:sz="0" w:space="0" w:color="auto"/>
          </w:divBdr>
        </w:div>
        <w:div w:id="1546678456">
          <w:marLeft w:val="0"/>
          <w:marRight w:val="0"/>
          <w:marTop w:val="0"/>
          <w:marBottom w:val="0"/>
          <w:divBdr>
            <w:top w:val="none" w:sz="0" w:space="0" w:color="auto"/>
            <w:left w:val="none" w:sz="0" w:space="0" w:color="auto"/>
            <w:bottom w:val="none" w:sz="0" w:space="0" w:color="auto"/>
            <w:right w:val="none" w:sz="0" w:space="0" w:color="auto"/>
          </w:divBdr>
        </w:div>
        <w:div w:id="1547329959">
          <w:marLeft w:val="0"/>
          <w:marRight w:val="0"/>
          <w:marTop w:val="0"/>
          <w:marBottom w:val="0"/>
          <w:divBdr>
            <w:top w:val="none" w:sz="0" w:space="0" w:color="auto"/>
            <w:left w:val="none" w:sz="0" w:space="0" w:color="auto"/>
            <w:bottom w:val="none" w:sz="0" w:space="0" w:color="auto"/>
            <w:right w:val="none" w:sz="0" w:space="0" w:color="auto"/>
          </w:divBdr>
        </w:div>
        <w:div w:id="1563054612">
          <w:marLeft w:val="0"/>
          <w:marRight w:val="0"/>
          <w:marTop w:val="0"/>
          <w:marBottom w:val="0"/>
          <w:divBdr>
            <w:top w:val="none" w:sz="0" w:space="0" w:color="auto"/>
            <w:left w:val="none" w:sz="0" w:space="0" w:color="auto"/>
            <w:bottom w:val="none" w:sz="0" w:space="0" w:color="auto"/>
            <w:right w:val="none" w:sz="0" w:space="0" w:color="auto"/>
          </w:divBdr>
        </w:div>
        <w:div w:id="1565068369">
          <w:marLeft w:val="0"/>
          <w:marRight w:val="0"/>
          <w:marTop w:val="0"/>
          <w:marBottom w:val="0"/>
          <w:divBdr>
            <w:top w:val="none" w:sz="0" w:space="0" w:color="auto"/>
            <w:left w:val="none" w:sz="0" w:space="0" w:color="auto"/>
            <w:bottom w:val="none" w:sz="0" w:space="0" w:color="auto"/>
            <w:right w:val="none" w:sz="0" w:space="0" w:color="auto"/>
          </w:divBdr>
        </w:div>
        <w:div w:id="1565334914">
          <w:marLeft w:val="0"/>
          <w:marRight w:val="0"/>
          <w:marTop w:val="0"/>
          <w:marBottom w:val="0"/>
          <w:divBdr>
            <w:top w:val="none" w:sz="0" w:space="0" w:color="auto"/>
            <w:left w:val="none" w:sz="0" w:space="0" w:color="auto"/>
            <w:bottom w:val="none" w:sz="0" w:space="0" w:color="auto"/>
            <w:right w:val="none" w:sz="0" w:space="0" w:color="auto"/>
          </w:divBdr>
        </w:div>
        <w:div w:id="1575041836">
          <w:marLeft w:val="0"/>
          <w:marRight w:val="0"/>
          <w:marTop w:val="0"/>
          <w:marBottom w:val="0"/>
          <w:divBdr>
            <w:top w:val="none" w:sz="0" w:space="0" w:color="auto"/>
            <w:left w:val="none" w:sz="0" w:space="0" w:color="auto"/>
            <w:bottom w:val="none" w:sz="0" w:space="0" w:color="auto"/>
            <w:right w:val="none" w:sz="0" w:space="0" w:color="auto"/>
          </w:divBdr>
        </w:div>
        <w:div w:id="1578394346">
          <w:marLeft w:val="0"/>
          <w:marRight w:val="0"/>
          <w:marTop w:val="0"/>
          <w:marBottom w:val="0"/>
          <w:divBdr>
            <w:top w:val="none" w:sz="0" w:space="0" w:color="auto"/>
            <w:left w:val="none" w:sz="0" w:space="0" w:color="auto"/>
            <w:bottom w:val="none" w:sz="0" w:space="0" w:color="auto"/>
            <w:right w:val="none" w:sz="0" w:space="0" w:color="auto"/>
          </w:divBdr>
        </w:div>
        <w:div w:id="1582059433">
          <w:marLeft w:val="0"/>
          <w:marRight w:val="0"/>
          <w:marTop w:val="0"/>
          <w:marBottom w:val="0"/>
          <w:divBdr>
            <w:top w:val="none" w:sz="0" w:space="0" w:color="auto"/>
            <w:left w:val="none" w:sz="0" w:space="0" w:color="auto"/>
            <w:bottom w:val="none" w:sz="0" w:space="0" w:color="auto"/>
            <w:right w:val="none" w:sz="0" w:space="0" w:color="auto"/>
          </w:divBdr>
        </w:div>
        <w:div w:id="1582908007">
          <w:marLeft w:val="0"/>
          <w:marRight w:val="0"/>
          <w:marTop w:val="0"/>
          <w:marBottom w:val="0"/>
          <w:divBdr>
            <w:top w:val="none" w:sz="0" w:space="0" w:color="auto"/>
            <w:left w:val="none" w:sz="0" w:space="0" w:color="auto"/>
            <w:bottom w:val="none" w:sz="0" w:space="0" w:color="auto"/>
            <w:right w:val="none" w:sz="0" w:space="0" w:color="auto"/>
          </w:divBdr>
        </w:div>
        <w:div w:id="1588149804">
          <w:marLeft w:val="0"/>
          <w:marRight w:val="0"/>
          <w:marTop w:val="0"/>
          <w:marBottom w:val="0"/>
          <w:divBdr>
            <w:top w:val="none" w:sz="0" w:space="0" w:color="auto"/>
            <w:left w:val="none" w:sz="0" w:space="0" w:color="auto"/>
            <w:bottom w:val="none" w:sz="0" w:space="0" w:color="auto"/>
            <w:right w:val="none" w:sz="0" w:space="0" w:color="auto"/>
          </w:divBdr>
        </w:div>
        <w:div w:id="1588807688">
          <w:marLeft w:val="0"/>
          <w:marRight w:val="0"/>
          <w:marTop w:val="0"/>
          <w:marBottom w:val="0"/>
          <w:divBdr>
            <w:top w:val="none" w:sz="0" w:space="0" w:color="auto"/>
            <w:left w:val="none" w:sz="0" w:space="0" w:color="auto"/>
            <w:bottom w:val="none" w:sz="0" w:space="0" w:color="auto"/>
            <w:right w:val="none" w:sz="0" w:space="0" w:color="auto"/>
          </w:divBdr>
        </w:div>
        <w:div w:id="1609433888">
          <w:marLeft w:val="0"/>
          <w:marRight w:val="0"/>
          <w:marTop w:val="0"/>
          <w:marBottom w:val="0"/>
          <w:divBdr>
            <w:top w:val="none" w:sz="0" w:space="0" w:color="auto"/>
            <w:left w:val="none" w:sz="0" w:space="0" w:color="auto"/>
            <w:bottom w:val="none" w:sz="0" w:space="0" w:color="auto"/>
            <w:right w:val="none" w:sz="0" w:space="0" w:color="auto"/>
          </w:divBdr>
        </w:div>
        <w:div w:id="1628269869">
          <w:marLeft w:val="0"/>
          <w:marRight w:val="0"/>
          <w:marTop w:val="0"/>
          <w:marBottom w:val="0"/>
          <w:divBdr>
            <w:top w:val="none" w:sz="0" w:space="0" w:color="auto"/>
            <w:left w:val="none" w:sz="0" w:space="0" w:color="auto"/>
            <w:bottom w:val="none" w:sz="0" w:space="0" w:color="auto"/>
            <w:right w:val="none" w:sz="0" w:space="0" w:color="auto"/>
          </w:divBdr>
        </w:div>
        <w:div w:id="1629509646">
          <w:marLeft w:val="0"/>
          <w:marRight w:val="0"/>
          <w:marTop w:val="0"/>
          <w:marBottom w:val="0"/>
          <w:divBdr>
            <w:top w:val="none" w:sz="0" w:space="0" w:color="auto"/>
            <w:left w:val="none" w:sz="0" w:space="0" w:color="auto"/>
            <w:bottom w:val="none" w:sz="0" w:space="0" w:color="auto"/>
            <w:right w:val="none" w:sz="0" w:space="0" w:color="auto"/>
          </w:divBdr>
        </w:div>
        <w:div w:id="1631476055">
          <w:marLeft w:val="0"/>
          <w:marRight w:val="0"/>
          <w:marTop w:val="0"/>
          <w:marBottom w:val="0"/>
          <w:divBdr>
            <w:top w:val="none" w:sz="0" w:space="0" w:color="auto"/>
            <w:left w:val="none" w:sz="0" w:space="0" w:color="auto"/>
            <w:bottom w:val="none" w:sz="0" w:space="0" w:color="auto"/>
            <w:right w:val="none" w:sz="0" w:space="0" w:color="auto"/>
          </w:divBdr>
        </w:div>
        <w:div w:id="1634091243">
          <w:marLeft w:val="0"/>
          <w:marRight w:val="0"/>
          <w:marTop w:val="0"/>
          <w:marBottom w:val="0"/>
          <w:divBdr>
            <w:top w:val="none" w:sz="0" w:space="0" w:color="auto"/>
            <w:left w:val="none" w:sz="0" w:space="0" w:color="auto"/>
            <w:bottom w:val="none" w:sz="0" w:space="0" w:color="auto"/>
            <w:right w:val="none" w:sz="0" w:space="0" w:color="auto"/>
          </w:divBdr>
        </w:div>
        <w:div w:id="1671442713">
          <w:marLeft w:val="0"/>
          <w:marRight w:val="0"/>
          <w:marTop w:val="0"/>
          <w:marBottom w:val="0"/>
          <w:divBdr>
            <w:top w:val="none" w:sz="0" w:space="0" w:color="auto"/>
            <w:left w:val="none" w:sz="0" w:space="0" w:color="auto"/>
            <w:bottom w:val="none" w:sz="0" w:space="0" w:color="auto"/>
            <w:right w:val="none" w:sz="0" w:space="0" w:color="auto"/>
          </w:divBdr>
        </w:div>
        <w:div w:id="1676761018">
          <w:marLeft w:val="0"/>
          <w:marRight w:val="0"/>
          <w:marTop w:val="0"/>
          <w:marBottom w:val="0"/>
          <w:divBdr>
            <w:top w:val="none" w:sz="0" w:space="0" w:color="auto"/>
            <w:left w:val="none" w:sz="0" w:space="0" w:color="auto"/>
            <w:bottom w:val="none" w:sz="0" w:space="0" w:color="auto"/>
            <w:right w:val="none" w:sz="0" w:space="0" w:color="auto"/>
          </w:divBdr>
        </w:div>
        <w:div w:id="1687945767">
          <w:marLeft w:val="0"/>
          <w:marRight w:val="0"/>
          <w:marTop w:val="0"/>
          <w:marBottom w:val="0"/>
          <w:divBdr>
            <w:top w:val="none" w:sz="0" w:space="0" w:color="auto"/>
            <w:left w:val="none" w:sz="0" w:space="0" w:color="auto"/>
            <w:bottom w:val="none" w:sz="0" w:space="0" w:color="auto"/>
            <w:right w:val="none" w:sz="0" w:space="0" w:color="auto"/>
          </w:divBdr>
        </w:div>
        <w:div w:id="1699354274">
          <w:marLeft w:val="0"/>
          <w:marRight w:val="0"/>
          <w:marTop w:val="0"/>
          <w:marBottom w:val="0"/>
          <w:divBdr>
            <w:top w:val="none" w:sz="0" w:space="0" w:color="auto"/>
            <w:left w:val="none" w:sz="0" w:space="0" w:color="auto"/>
            <w:bottom w:val="none" w:sz="0" w:space="0" w:color="auto"/>
            <w:right w:val="none" w:sz="0" w:space="0" w:color="auto"/>
          </w:divBdr>
        </w:div>
        <w:div w:id="1705715456">
          <w:marLeft w:val="0"/>
          <w:marRight w:val="0"/>
          <w:marTop w:val="0"/>
          <w:marBottom w:val="0"/>
          <w:divBdr>
            <w:top w:val="none" w:sz="0" w:space="0" w:color="auto"/>
            <w:left w:val="none" w:sz="0" w:space="0" w:color="auto"/>
            <w:bottom w:val="none" w:sz="0" w:space="0" w:color="auto"/>
            <w:right w:val="none" w:sz="0" w:space="0" w:color="auto"/>
          </w:divBdr>
        </w:div>
        <w:div w:id="1710642716">
          <w:marLeft w:val="0"/>
          <w:marRight w:val="0"/>
          <w:marTop w:val="0"/>
          <w:marBottom w:val="0"/>
          <w:divBdr>
            <w:top w:val="none" w:sz="0" w:space="0" w:color="auto"/>
            <w:left w:val="none" w:sz="0" w:space="0" w:color="auto"/>
            <w:bottom w:val="none" w:sz="0" w:space="0" w:color="auto"/>
            <w:right w:val="none" w:sz="0" w:space="0" w:color="auto"/>
          </w:divBdr>
        </w:div>
        <w:div w:id="1719477810">
          <w:marLeft w:val="0"/>
          <w:marRight w:val="0"/>
          <w:marTop w:val="0"/>
          <w:marBottom w:val="0"/>
          <w:divBdr>
            <w:top w:val="none" w:sz="0" w:space="0" w:color="auto"/>
            <w:left w:val="none" w:sz="0" w:space="0" w:color="auto"/>
            <w:bottom w:val="none" w:sz="0" w:space="0" w:color="auto"/>
            <w:right w:val="none" w:sz="0" w:space="0" w:color="auto"/>
          </w:divBdr>
        </w:div>
        <w:div w:id="1725830739">
          <w:marLeft w:val="0"/>
          <w:marRight w:val="0"/>
          <w:marTop w:val="0"/>
          <w:marBottom w:val="0"/>
          <w:divBdr>
            <w:top w:val="none" w:sz="0" w:space="0" w:color="auto"/>
            <w:left w:val="none" w:sz="0" w:space="0" w:color="auto"/>
            <w:bottom w:val="none" w:sz="0" w:space="0" w:color="auto"/>
            <w:right w:val="none" w:sz="0" w:space="0" w:color="auto"/>
          </w:divBdr>
        </w:div>
        <w:div w:id="1738433123">
          <w:marLeft w:val="0"/>
          <w:marRight w:val="0"/>
          <w:marTop w:val="0"/>
          <w:marBottom w:val="0"/>
          <w:divBdr>
            <w:top w:val="none" w:sz="0" w:space="0" w:color="auto"/>
            <w:left w:val="none" w:sz="0" w:space="0" w:color="auto"/>
            <w:bottom w:val="none" w:sz="0" w:space="0" w:color="auto"/>
            <w:right w:val="none" w:sz="0" w:space="0" w:color="auto"/>
          </w:divBdr>
        </w:div>
        <w:div w:id="1739740814">
          <w:marLeft w:val="0"/>
          <w:marRight w:val="0"/>
          <w:marTop w:val="0"/>
          <w:marBottom w:val="0"/>
          <w:divBdr>
            <w:top w:val="none" w:sz="0" w:space="0" w:color="auto"/>
            <w:left w:val="none" w:sz="0" w:space="0" w:color="auto"/>
            <w:bottom w:val="none" w:sz="0" w:space="0" w:color="auto"/>
            <w:right w:val="none" w:sz="0" w:space="0" w:color="auto"/>
          </w:divBdr>
        </w:div>
        <w:div w:id="1759909854">
          <w:marLeft w:val="0"/>
          <w:marRight w:val="0"/>
          <w:marTop w:val="0"/>
          <w:marBottom w:val="0"/>
          <w:divBdr>
            <w:top w:val="none" w:sz="0" w:space="0" w:color="auto"/>
            <w:left w:val="none" w:sz="0" w:space="0" w:color="auto"/>
            <w:bottom w:val="none" w:sz="0" w:space="0" w:color="auto"/>
            <w:right w:val="none" w:sz="0" w:space="0" w:color="auto"/>
          </w:divBdr>
        </w:div>
        <w:div w:id="1766724635">
          <w:marLeft w:val="0"/>
          <w:marRight w:val="0"/>
          <w:marTop w:val="0"/>
          <w:marBottom w:val="0"/>
          <w:divBdr>
            <w:top w:val="none" w:sz="0" w:space="0" w:color="auto"/>
            <w:left w:val="none" w:sz="0" w:space="0" w:color="auto"/>
            <w:bottom w:val="none" w:sz="0" w:space="0" w:color="auto"/>
            <w:right w:val="none" w:sz="0" w:space="0" w:color="auto"/>
          </w:divBdr>
        </w:div>
        <w:div w:id="1774789213">
          <w:marLeft w:val="0"/>
          <w:marRight w:val="0"/>
          <w:marTop w:val="0"/>
          <w:marBottom w:val="0"/>
          <w:divBdr>
            <w:top w:val="none" w:sz="0" w:space="0" w:color="auto"/>
            <w:left w:val="none" w:sz="0" w:space="0" w:color="auto"/>
            <w:bottom w:val="none" w:sz="0" w:space="0" w:color="auto"/>
            <w:right w:val="none" w:sz="0" w:space="0" w:color="auto"/>
          </w:divBdr>
        </w:div>
        <w:div w:id="1776825404">
          <w:marLeft w:val="0"/>
          <w:marRight w:val="0"/>
          <w:marTop w:val="0"/>
          <w:marBottom w:val="0"/>
          <w:divBdr>
            <w:top w:val="none" w:sz="0" w:space="0" w:color="auto"/>
            <w:left w:val="none" w:sz="0" w:space="0" w:color="auto"/>
            <w:bottom w:val="none" w:sz="0" w:space="0" w:color="auto"/>
            <w:right w:val="none" w:sz="0" w:space="0" w:color="auto"/>
          </w:divBdr>
        </w:div>
        <w:div w:id="1790781028">
          <w:marLeft w:val="0"/>
          <w:marRight w:val="0"/>
          <w:marTop w:val="0"/>
          <w:marBottom w:val="0"/>
          <w:divBdr>
            <w:top w:val="none" w:sz="0" w:space="0" w:color="auto"/>
            <w:left w:val="none" w:sz="0" w:space="0" w:color="auto"/>
            <w:bottom w:val="none" w:sz="0" w:space="0" w:color="auto"/>
            <w:right w:val="none" w:sz="0" w:space="0" w:color="auto"/>
          </w:divBdr>
        </w:div>
        <w:div w:id="1792939372">
          <w:marLeft w:val="0"/>
          <w:marRight w:val="0"/>
          <w:marTop w:val="0"/>
          <w:marBottom w:val="0"/>
          <w:divBdr>
            <w:top w:val="none" w:sz="0" w:space="0" w:color="auto"/>
            <w:left w:val="none" w:sz="0" w:space="0" w:color="auto"/>
            <w:bottom w:val="none" w:sz="0" w:space="0" w:color="auto"/>
            <w:right w:val="none" w:sz="0" w:space="0" w:color="auto"/>
          </w:divBdr>
        </w:div>
        <w:div w:id="1816796461">
          <w:marLeft w:val="0"/>
          <w:marRight w:val="0"/>
          <w:marTop w:val="0"/>
          <w:marBottom w:val="0"/>
          <w:divBdr>
            <w:top w:val="none" w:sz="0" w:space="0" w:color="auto"/>
            <w:left w:val="none" w:sz="0" w:space="0" w:color="auto"/>
            <w:bottom w:val="none" w:sz="0" w:space="0" w:color="auto"/>
            <w:right w:val="none" w:sz="0" w:space="0" w:color="auto"/>
          </w:divBdr>
        </w:div>
        <w:div w:id="1825316655">
          <w:marLeft w:val="0"/>
          <w:marRight w:val="0"/>
          <w:marTop w:val="0"/>
          <w:marBottom w:val="0"/>
          <w:divBdr>
            <w:top w:val="none" w:sz="0" w:space="0" w:color="auto"/>
            <w:left w:val="none" w:sz="0" w:space="0" w:color="auto"/>
            <w:bottom w:val="none" w:sz="0" w:space="0" w:color="auto"/>
            <w:right w:val="none" w:sz="0" w:space="0" w:color="auto"/>
          </w:divBdr>
        </w:div>
        <w:div w:id="1827284886">
          <w:marLeft w:val="0"/>
          <w:marRight w:val="0"/>
          <w:marTop w:val="0"/>
          <w:marBottom w:val="0"/>
          <w:divBdr>
            <w:top w:val="none" w:sz="0" w:space="0" w:color="auto"/>
            <w:left w:val="none" w:sz="0" w:space="0" w:color="auto"/>
            <w:bottom w:val="none" w:sz="0" w:space="0" w:color="auto"/>
            <w:right w:val="none" w:sz="0" w:space="0" w:color="auto"/>
          </w:divBdr>
        </w:div>
        <w:div w:id="1833252628">
          <w:marLeft w:val="0"/>
          <w:marRight w:val="0"/>
          <w:marTop w:val="0"/>
          <w:marBottom w:val="0"/>
          <w:divBdr>
            <w:top w:val="none" w:sz="0" w:space="0" w:color="auto"/>
            <w:left w:val="none" w:sz="0" w:space="0" w:color="auto"/>
            <w:bottom w:val="none" w:sz="0" w:space="0" w:color="auto"/>
            <w:right w:val="none" w:sz="0" w:space="0" w:color="auto"/>
          </w:divBdr>
        </w:div>
        <w:div w:id="1834948046">
          <w:marLeft w:val="0"/>
          <w:marRight w:val="0"/>
          <w:marTop w:val="0"/>
          <w:marBottom w:val="0"/>
          <w:divBdr>
            <w:top w:val="none" w:sz="0" w:space="0" w:color="auto"/>
            <w:left w:val="none" w:sz="0" w:space="0" w:color="auto"/>
            <w:bottom w:val="none" w:sz="0" w:space="0" w:color="auto"/>
            <w:right w:val="none" w:sz="0" w:space="0" w:color="auto"/>
          </w:divBdr>
        </w:div>
        <w:div w:id="1840343794">
          <w:marLeft w:val="0"/>
          <w:marRight w:val="0"/>
          <w:marTop w:val="0"/>
          <w:marBottom w:val="0"/>
          <w:divBdr>
            <w:top w:val="none" w:sz="0" w:space="0" w:color="auto"/>
            <w:left w:val="none" w:sz="0" w:space="0" w:color="auto"/>
            <w:bottom w:val="none" w:sz="0" w:space="0" w:color="auto"/>
            <w:right w:val="none" w:sz="0" w:space="0" w:color="auto"/>
          </w:divBdr>
        </w:div>
        <w:div w:id="1855924544">
          <w:marLeft w:val="0"/>
          <w:marRight w:val="0"/>
          <w:marTop w:val="0"/>
          <w:marBottom w:val="0"/>
          <w:divBdr>
            <w:top w:val="none" w:sz="0" w:space="0" w:color="auto"/>
            <w:left w:val="none" w:sz="0" w:space="0" w:color="auto"/>
            <w:bottom w:val="none" w:sz="0" w:space="0" w:color="auto"/>
            <w:right w:val="none" w:sz="0" w:space="0" w:color="auto"/>
          </w:divBdr>
        </w:div>
        <w:div w:id="1857183489">
          <w:marLeft w:val="0"/>
          <w:marRight w:val="0"/>
          <w:marTop w:val="0"/>
          <w:marBottom w:val="0"/>
          <w:divBdr>
            <w:top w:val="none" w:sz="0" w:space="0" w:color="auto"/>
            <w:left w:val="none" w:sz="0" w:space="0" w:color="auto"/>
            <w:bottom w:val="none" w:sz="0" w:space="0" w:color="auto"/>
            <w:right w:val="none" w:sz="0" w:space="0" w:color="auto"/>
          </w:divBdr>
        </w:div>
        <w:div w:id="1875458253">
          <w:marLeft w:val="0"/>
          <w:marRight w:val="0"/>
          <w:marTop w:val="0"/>
          <w:marBottom w:val="0"/>
          <w:divBdr>
            <w:top w:val="none" w:sz="0" w:space="0" w:color="auto"/>
            <w:left w:val="none" w:sz="0" w:space="0" w:color="auto"/>
            <w:bottom w:val="none" w:sz="0" w:space="0" w:color="auto"/>
            <w:right w:val="none" w:sz="0" w:space="0" w:color="auto"/>
          </w:divBdr>
        </w:div>
        <w:div w:id="1885290461">
          <w:marLeft w:val="0"/>
          <w:marRight w:val="0"/>
          <w:marTop w:val="0"/>
          <w:marBottom w:val="0"/>
          <w:divBdr>
            <w:top w:val="none" w:sz="0" w:space="0" w:color="auto"/>
            <w:left w:val="none" w:sz="0" w:space="0" w:color="auto"/>
            <w:bottom w:val="none" w:sz="0" w:space="0" w:color="auto"/>
            <w:right w:val="none" w:sz="0" w:space="0" w:color="auto"/>
          </w:divBdr>
        </w:div>
        <w:div w:id="1887835640">
          <w:marLeft w:val="0"/>
          <w:marRight w:val="0"/>
          <w:marTop w:val="0"/>
          <w:marBottom w:val="0"/>
          <w:divBdr>
            <w:top w:val="none" w:sz="0" w:space="0" w:color="auto"/>
            <w:left w:val="none" w:sz="0" w:space="0" w:color="auto"/>
            <w:bottom w:val="none" w:sz="0" w:space="0" w:color="auto"/>
            <w:right w:val="none" w:sz="0" w:space="0" w:color="auto"/>
          </w:divBdr>
        </w:div>
        <w:div w:id="1899895751">
          <w:marLeft w:val="0"/>
          <w:marRight w:val="0"/>
          <w:marTop w:val="0"/>
          <w:marBottom w:val="0"/>
          <w:divBdr>
            <w:top w:val="none" w:sz="0" w:space="0" w:color="auto"/>
            <w:left w:val="none" w:sz="0" w:space="0" w:color="auto"/>
            <w:bottom w:val="none" w:sz="0" w:space="0" w:color="auto"/>
            <w:right w:val="none" w:sz="0" w:space="0" w:color="auto"/>
          </w:divBdr>
        </w:div>
        <w:div w:id="1899972144">
          <w:marLeft w:val="0"/>
          <w:marRight w:val="0"/>
          <w:marTop w:val="0"/>
          <w:marBottom w:val="0"/>
          <w:divBdr>
            <w:top w:val="none" w:sz="0" w:space="0" w:color="auto"/>
            <w:left w:val="none" w:sz="0" w:space="0" w:color="auto"/>
            <w:bottom w:val="none" w:sz="0" w:space="0" w:color="auto"/>
            <w:right w:val="none" w:sz="0" w:space="0" w:color="auto"/>
          </w:divBdr>
        </w:div>
        <w:div w:id="1910457628">
          <w:marLeft w:val="0"/>
          <w:marRight w:val="0"/>
          <w:marTop w:val="0"/>
          <w:marBottom w:val="0"/>
          <w:divBdr>
            <w:top w:val="none" w:sz="0" w:space="0" w:color="auto"/>
            <w:left w:val="none" w:sz="0" w:space="0" w:color="auto"/>
            <w:bottom w:val="none" w:sz="0" w:space="0" w:color="auto"/>
            <w:right w:val="none" w:sz="0" w:space="0" w:color="auto"/>
          </w:divBdr>
        </w:div>
        <w:div w:id="1911115438">
          <w:marLeft w:val="0"/>
          <w:marRight w:val="0"/>
          <w:marTop w:val="0"/>
          <w:marBottom w:val="0"/>
          <w:divBdr>
            <w:top w:val="none" w:sz="0" w:space="0" w:color="auto"/>
            <w:left w:val="none" w:sz="0" w:space="0" w:color="auto"/>
            <w:bottom w:val="none" w:sz="0" w:space="0" w:color="auto"/>
            <w:right w:val="none" w:sz="0" w:space="0" w:color="auto"/>
          </w:divBdr>
        </w:div>
        <w:div w:id="1912504249">
          <w:marLeft w:val="0"/>
          <w:marRight w:val="0"/>
          <w:marTop w:val="0"/>
          <w:marBottom w:val="0"/>
          <w:divBdr>
            <w:top w:val="none" w:sz="0" w:space="0" w:color="auto"/>
            <w:left w:val="none" w:sz="0" w:space="0" w:color="auto"/>
            <w:bottom w:val="none" w:sz="0" w:space="0" w:color="auto"/>
            <w:right w:val="none" w:sz="0" w:space="0" w:color="auto"/>
          </w:divBdr>
        </w:div>
        <w:div w:id="1924753446">
          <w:marLeft w:val="0"/>
          <w:marRight w:val="0"/>
          <w:marTop w:val="0"/>
          <w:marBottom w:val="0"/>
          <w:divBdr>
            <w:top w:val="none" w:sz="0" w:space="0" w:color="auto"/>
            <w:left w:val="none" w:sz="0" w:space="0" w:color="auto"/>
            <w:bottom w:val="none" w:sz="0" w:space="0" w:color="auto"/>
            <w:right w:val="none" w:sz="0" w:space="0" w:color="auto"/>
          </w:divBdr>
        </w:div>
        <w:div w:id="1926918979">
          <w:marLeft w:val="0"/>
          <w:marRight w:val="0"/>
          <w:marTop w:val="0"/>
          <w:marBottom w:val="0"/>
          <w:divBdr>
            <w:top w:val="none" w:sz="0" w:space="0" w:color="auto"/>
            <w:left w:val="none" w:sz="0" w:space="0" w:color="auto"/>
            <w:bottom w:val="none" w:sz="0" w:space="0" w:color="auto"/>
            <w:right w:val="none" w:sz="0" w:space="0" w:color="auto"/>
          </w:divBdr>
        </w:div>
        <w:div w:id="1926986088">
          <w:marLeft w:val="0"/>
          <w:marRight w:val="0"/>
          <w:marTop w:val="0"/>
          <w:marBottom w:val="0"/>
          <w:divBdr>
            <w:top w:val="none" w:sz="0" w:space="0" w:color="auto"/>
            <w:left w:val="none" w:sz="0" w:space="0" w:color="auto"/>
            <w:bottom w:val="none" w:sz="0" w:space="0" w:color="auto"/>
            <w:right w:val="none" w:sz="0" w:space="0" w:color="auto"/>
          </w:divBdr>
        </w:div>
        <w:div w:id="1930236110">
          <w:marLeft w:val="0"/>
          <w:marRight w:val="0"/>
          <w:marTop w:val="0"/>
          <w:marBottom w:val="0"/>
          <w:divBdr>
            <w:top w:val="none" w:sz="0" w:space="0" w:color="auto"/>
            <w:left w:val="none" w:sz="0" w:space="0" w:color="auto"/>
            <w:bottom w:val="none" w:sz="0" w:space="0" w:color="auto"/>
            <w:right w:val="none" w:sz="0" w:space="0" w:color="auto"/>
          </w:divBdr>
        </w:div>
        <w:div w:id="1937244574">
          <w:marLeft w:val="0"/>
          <w:marRight w:val="0"/>
          <w:marTop w:val="0"/>
          <w:marBottom w:val="0"/>
          <w:divBdr>
            <w:top w:val="none" w:sz="0" w:space="0" w:color="auto"/>
            <w:left w:val="none" w:sz="0" w:space="0" w:color="auto"/>
            <w:bottom w:val="none" w:sz="0" w:space="0" w:color="auto"/>
            <w:right w:val="none" w:sz="0" w:space="0" w:color="auto"/>
          </w:divBdr>
        </w:div>
        <w:div w:id="1938630911">
          <w:marLeft w:val="0"/>
          <w:marRight w:val="0"/>
          <w:marTop w:val="0"/>
          <w:marBottom w:val="0"/>
          <w:divBdr>
            <w:top w:val="none" w:sz="0" w:space="0" w:color="auto"/>
            <w:left w:val="none" w:sz="0" w:space="0" w:color="auto"/>
            <w:bottom w:val="none" w:sz="0" w:space="0" w:color="auto"/>
            <w:right w:val="none" w:sz="0" w:space="0" w:color="auto"/>
          </w:divBdr>
        </w:div>
        <w:div w:id="1941260886">
          <w:marLeft w:val="0"/>
          <w:marRight w:val="0"/>
          <w:marTop w:val="0"/>
          <w:marBottom w:val="0"/>
          <w:divBdr>
            <w:top w:val="none" w:sz="0" w:space="0" w:color="auto"/>
            <w:left w:val="none" w:sz="0" w:space="0" w:color="auto"/>
            <w:bottom w:val="none" w:sz="0" w:space="0" w:color="auto"/>
            <w:right w:val="none" w:sz="0" w:space="0" w:color="auto"/>
          </w:divBdr>
        </w:div>
        <w:div w:id="1952785758">
          <w:marLeft w:val="0"/>
          <w:marRight w:val="0"/>
          <w:marTop w:val="0"/>
          <w:marBottom w:val="0"/>
          <w:divBdr>
            <w:top w:val="none" w:sz="0" w:space="0" w:color="auto"/>
            <w:left w:val="none" w:sz="0" w:space="0" w:color="auto"/>
            <w:bottom w:val="none" w:sz="0" w:space="0" w:color="auto"/>
            <w:right w:val="none" w:sz="0" w:space="0" w:color="auto"/>
          </w:divBdr>
        </w:div>
        <w:div w:id="1955558192">
          <w:marLeft w:val="0"/>
          <w:marRight w:val="0"/>
          <w:marTop w:val="0"/>
          <w:marBottom w:val="0"/>
          <w:divBdr>
            <w:top w:val="none" w:sz="0" w:space="0" w:color="auto"/>
            <w:left w:val="none" w:sz="0" w:space="0" w:color="auto"/>
            <w:bottom w:val="none" w:sz="0" w:space="0" w:color="auto"/>
            <w:right w:val="none" w:sz="0" w:space="0" w:color="auto"/>
          </w:divBdr>
        </w:div>
        <w:div w:id="1960990566">
          <w:marLeft w:val="0"/>
          <w:marRight w:val="0"/>
          <w:marTop w:val="0"/>
          <w:marBottom w:val="0"/>
          <w:divBdr>
            <w:top w:val="none" w:sz="0" w:space="0" w:color="auto"/>
            <w:left w:val="none" w:sz="0" w:space="0" w:color="auto"/>
            <w:bottom w:val="none" w:sz="0" w:space="0" w:color="auto"/>
            <w:right w:val="none" w:sz="0" w:space="0" w:color="auto"/>
          </w:divBdr>
        </w:div>
        <w:div w:id="1985113235">
          <w:marLeft w:val="0"/>
          <w:marRight w:val="0"/>
          <w:marTop w:val="0"/>
          <w:marBottom w:val="0"/>
          <w:divBdr>
            <w:top w:val="none" w:sz="0" w:space="0" w:color="auto"/>
            <w:left w:val="none" w:sz="0" w:space="0" w:color="auto"/>
            <w:bottom w:val="none" w:sz="0" w:space="0" w:color="auto"/>
            <w:right w:val="none" w:sz="0" w:space="0" w:color="auto"/>
          </w:divBdr>
        </w:div>
        <w:div w:id="2007511540">
          <w:marLeft w:val="0"/>
          <w:marRight w:val="0"/>
          <w:marTop w:val="0"/>
          <w:marBottom w:val="0"/>
          <w:divBdr>
            <w:top w:val="none" w:sz="0" w:space="0" w:color="auto"/>
            <w:left w:val="none" w:sz="0" w:space="0" w:color="auto"/>
            <w:bottom w:val="none" w:sz="0" w:space="0" w:color="auto"/>
            <w:right w:val="none" w:sz="0" w:space="0" w:color="auto"/>
          </w:divBdr>
        </w:div>
        <w:div w:id="2008752750">
          <w:marLeft w:val="0"/>
          <w:marRight w:val="0"/>
          <w:marTop w:val="0"/>
          <w:marBottom w:val="0"/>
          <w:divBdr>
            <w:top w:val="none" w:sz="0" w:space="0" w:color="auto"/>
            <w:left w:val="none" w:sz="0" w:space="0" w:color="auto"/>
            <w:bottom w:val="none" w:sz="0" w:space="0" w:color="auto"/>
            <w:right w:val="none" w:sz="0" w:space="0" w:color="auto"/>
          </w:divBdr>
        </w:div>
        <w:div w:id="2022583751">
          <w:marLeft w:val="0"/>
          <w:marRight w:val="0"/>
          <w:marTop w:val="0"/>
          <w:marBottom w:val="0"/>
          <w:divBdr>
            <w:top w:val="none" w:sz="0" w:space="0" w:color="auto"/>
            <w:left w:val="none" w:sz="0" w:space="0" w:color="auto"/>
            <w:bottom w:val="none" w:sz="0" w:space="0" w:color="auto"/>
            <w:right w:val="none" w:sz="0" w:space="0" w:color="auto"/>
          </w:divBdr>
        </w:div>
        <w:div w:id="2026204251">
          <w:marLeft w:val="0"/>
          <w:marRight w:val="0"/>
          <w:marTop w:val="0"/>
          <w:marBottom w:val="0"/>
          <w:divBdr>
            <w:top w:val="none" w:sz="0" w:space="0" w:color="auto"/>
            <w:left w:val="none" w:sz="0" w:space="0" w:color="auto"/>
            <w:bottom w:val="none" w:sz="0" w:space="0" w:color="auto"/>
            <w:right w:val="none" w:sz="0" w:space="0" w:color="auto"/>
          </w:divBdr>
        </w:div>
        <w:div w:id="2038922496">
          <w:marLeft w:val="0"/>
          <w:marRight w:val="0"/>
          <w:marTop w:val="0"/>
          <w:marBottom w:val="0"/>
          <w:divBdr>
            <w:top w:val="none" w:sz="0" w:space="0" w:color="auto"/>
            <w:left w:val="none" w:sz="0" w:space="0" w:color="auto"/>
            <w:bottom w:val="none" w:sz="0" w:space="0" w:color="auto"/>
            <w:right w:val="none" w:sz="0" w:space="0" w:color="auto"/>
          </w:divBdr>
        </w:div>
        <w:div w:id="2039770164">
          <w:marLeft w:val="0"/>
          <w:marRight w:val="0"/>
          <w:marTop w:val="0"/>
          <w:marBottom w:val="0"/>
          <w:divBdr>
            <w:top w:val="none" w:sz="0" w:space="0" w:color="auto"/>
            <w:left w:val="none" w:sz="0" w:space="0" w:color="auto"/>
            <w:bottom w:val="none" w:sz="0" w:space="0" w:color="auto"/>
            <w:right w:val="none" w:sz="0" w:space="0" w:color="auto"/>
          </w:divBdr>
        </w:div>
        <w:div w:id="2053269125">
          <w:marLeft w:val="0"/>
          <w:marRight w:val="0"/>
          <w:marTop w:val="0"/>
          <w:marBottom w:val="0"/>
          <w:divBdr>
            <w:top w:val="none" w:sz="0" w:space="0" w:color="auto"/>
            <w:left w:val="none" w:sz="0" w:space="0" w:color="auto"/>
            <w:bottom w:val="none" w:sz="0" w:space="0" w:color="auto"/>
            <w:right w:val="none" w:sz="0" w:space="0" w:color="auto"/>
          </w:divBdr>
        </w:div>
        <w:div w:id="2058776450">
          <w:marLeft w:val="0"/>
          <w:marRight w:val="0"/>
          <w:marTop w:val="0"/>
          <w:marBottom w:val="0"/>
          <w:divBdr>
            <w:top w:val="none" w:sz="0" w:space="0" w:color="auto"/>
            <w:left w:val="none" w:sz="0" w:space="0" w:color="auto"/>
            <w:bottom w:val="none" w:sz="0" w:space="0" w:color="auto"/>
            <w:right w:val="none" w:sz="0" w:space="0" w:color="auto"/>
          </w:divBdr>
        </w:div>
        <w:div w:id="2060279333">
          <w:marLeft w:val="0"/>
          <w:marRight w:val="0"/>
          <w:marTop w:val="0"/>
          <w:marBottom w:val="0"/>
          <w:divBdr>
            <w:top w:val="none" w:sz="0" w:space="0" w:color="auto"/>
            <w:left w:val="none" w:sz="0" w:space="0" w:color="auto"/>
            <w:bottom w:val="none" w:sz="0" w:space="0" w:color="auto"/>
            <w:right w:val="none" w:sz="0" w:space="0" w:color="auto"/>
          </w:divBdr>
        </w:div>
        <w:div w:id="2075354833">
          <w:marLeft w:val="0"/>
          <w:marRight w:val="0"/>
          <w:marTop w:val="0"/>
          <w:marBottom w:val="0"/>
          <w:divBdr>
            <w:top w:val="none" w:sz="0" w:space="0" w:color="auto"/>
            <w:left w:val="none" w:sz="0" w:space="0" w:color="auto"/>
            <w:bottom w:val="none" w:sz="0" w:space="0" w:color="auto"/>
            <w:right w:val="none" w:sz="0" w:space="0" w:color="auto"/>
          </w:divBdr>
        </w:div>
        <w:div w:id="2078671739">
          <w:marLeft w:val="0"/>
          <w:marRight w:val="0"/>
          <w:marTop w:val="0"/>
          <w:marBottom w:val="0"/>
          <w:divBdr>
            <w:top w:val="none" w:sz="0" w:space="0" w:color="auto"/>
            <w:left w:val="none" w:sz="0" w:space="0" w:color="auto"/>
            <w:bottom w:val="none" w:sz="0" w:space="0" w:color="auto"/>
            <w:right w:val="none" w:sz="0" w:space="0" w:color="auto"/>
          </w:divBdr>
        </w:div>
        <w:div w:id="2096977867">
          <w:marLeft w:val="0"/>
          <w:marRight w:val="0"/>
          <w:marTop w:val="0"/>
          <w:marBottom w:val="0"/>
          <w:divBdr>
            <w:top w:val="none" w:sz="0" w:space="0" w:color="auto"/>
            <w:left w:val="none" w:sz="0" w:space="0" w:color="auto"/>
            <w:bottom w:val="none" w:sz="0" w:space="0" w:color="auto"/>
            <w:right w:val="none" w:sz="0" w:space="0" w:color="auto"/>
          </w:divBdr>
        </w:div>
        <w:div w:id="2099331405">
          <w:marLeft w:val="0"/>
          <w:marRight w:val="0"/>
          <w:marTop w:val="0"/>
          <w:marBottom w:val="0"/>
          <w:divBdr>
            <w:top w:val="none" w:sz="0" w:space="0" w:color="auto"/>
            <w:left w:val="none" w:sz="0" w:space="0" w:color="auto"/>
            <w:bottom w:val="none" w:sz="0" w:space="0" w:color="auto"/>
            <w:right w:val="none" w:sz="0" w:space="0" w:color="auto"/>
          </w:divBdr>
        </w:div>
        <w:div w:id="2099674178">
          <w:marLeft w:val="0"/>
          <w:marRight w:val="0"/>
          <w:marTop w:val="0"/>
          <w:marBottom w:val="0"/>
          <w:divBdr>
            <w:top w:val="none" w:sz="0" w:space="0" w:color="auto"/>
            <w:left w:val="none" w:sz="0" w:space="0" w:color="auto"/>
            <w:bottom w:val="none" w:sz="0" w:space="0" w:color="auto"/>
            <w:right w:val="none" w:sz="0" w:space="0" w:color="auto"/>
          </w:divBdr>
        </w:div>
        <w:div w:id="2104065088">
          <w:marLeft w:val="0"/>
          <w:marRight w:val="0"/>
          <w:marTop w:val="0"/>
          <w:marBottom w:val="0"/>
          <w:divBdr>
            <w:top w:val="none" w:sz="0" w:space="0" w:color="auto"/>
            <w:left w:val="none" w:sz="0" w:space="0" w:color="auto"/>
            <w:bottom w:val="none" w:sz="0" w:space="0" w:color="auto"/>
            <w:right w:val="none" w:sz="0" w:space="0" w:color="auto"/>
          </w:divBdr>
        </w:div>
        <w:div w:id="2109035272">
          <w:marLeft w:val="0"/>
          <w:marRight w:val="0"/>
          <w:marTop w:val="0"/>
          <w:marBottom w:val="0"/>
          <w:divBdr>
            <w:top w:val="none" w:sz="0" w:space="0" w:color="auto"/>
            <w:left w:val="none" w:sz="0" w:space="0" w:color="auto"/>
            <w:bottom w:val="none" w:sz="0" w:space="0" w:color="auto"/>
            <w:right w:val="none" w:sz="0" w:space="0" w:color="auto"/>
          </w:divBdr>
        </w:div>
        <w:div w:id="2114938835">
          <w:marLeft w:val="0"/>
          <w:marRight w:val="0"/>
          <w:marTop w:val="0"/>
          <w:marBottom w:val="0"/>
          <w:divBdr>
            <w:top w:val="none" w:sz="0" w:space="0" w:color="auto"/>
            <w:left w:val="none" w:sz="0" w:space="0" w:color="auto"/>
            <w:bottom w:val="none" w:sz="0" w:space="0" w:color="auto"/>
            <w:right w:val="none" w:sz="0" w:space="0" w:color="auto"/>
          </w:divBdr>
        </w:div>
        <w:div w:id="2123069009">
          <w:marLeft w:val="0"/>
          <w:marRight w:val="0"/>
          <w:marTop w:val="0"/>
          <w:marBottom w:val="0"/>
          <w:divBdr>
            <w:top w:val="none" w:sz="0" w:space="0" w:color="auto"/>
            <w:left w:val="none" w:sz="0" w:space="0" w:color="auto"/>
            <w:bottom w:val="none" w:sz="0" w:space="0" w:color="auto"/>
            <w:right w:val="none" w:sz="0" w:space="0" w:color="auto"/>
          </w:divBdr>
        </w:div>
        <w:div w:id="2131312619">
          <w:marLeft w:val="0"/>
          <w:marRight w:val="0"/>
          <w:marTop w:val="0"/>
          <w:marBottom w:val="0"/>
          <w:divBdr>
            <w:top w:val="none" w:sz="0" w:space="0" w:color="auto"/>
            <w:left w:val="none" w:sz="0" w:space="0" w:color="auto"/>
            <w:bottom w:val="none" w:sz="0" w:space="0" w:color="auto"/>
            <w:right w:val="none" w:sz="0" w:space="0" w:color="auto"/>
          </w:divBdr>
        </w:div>
        <w:div w:id="2132628018">
          <w:marLeft w:val="0"/>
          <w:marRight w:val="0"/>
          <w:marTop w:val="0"/>
          <w:marBottom w:val="0"/>
          <w:divBdr>
            <w:top w:val="none" w:sz="0" w:space="0" w:color="auto"/>
            <w:left w:val="none" w:sz="0" w:space="0" w:color="auto"/>
            <w:bottom w:val="none" w:sz="0" w:space="0" w:color="auto"/>
            <w:right w:val="none" w:sz="0" w:space="0" w:color="auto"/>
          </w:divBdr>
        </w:div>
      </w:divsChild>
    </w:div>
    <w:div w:id="1767506316">
      <w:bodyDiv w:val="1"/>
      <w:marLeft w:val="0"/>
      <w:marRight w:val="0"/>
      <w:marTop w:val="0"/>
      <w:marBottom w:val="0"/>
      <w:divBdr>
        <w:top w:val="none" w:sz="0" w:space="0" w:color="auto"/>
        <w:left w:val="none" w:sz="0" w:space="0" w:color="auto"/>
        <w:bottom w:val="none" w:sz="0" w:space="0" w:color="auto"/>
        <w:right w:val="none" w:sz="0" w:space="0" w:color="auto"/>
      </w:divBdr>
      <w:divsChild>
        <w:div w:id="28267415">
          <w:marLeft w:val="0"/>
          <w:marRight w:val="0"/>
          <w:marTop w:val="0"/>
          <w:marBottom w:val="0"/>
          <w:divBdr>
            <w:top w:val="none" w:sz="0" w:space="0" w:color="auto"/>
            <w:left w:val="none" w:sz="0" w:space="0" w:color="auto"/>
            <w:bottom w:val="none" w:sz="0" w:space="0" w:color="auto"/>
            <w:right w:val="none" w:sz="0" w:space="0" w:color="auto"/>
          </w:divBdr>
          <w:divsChild>
            <w:div w:id="1429807737">
              <w:marLeft w:val="0"/>
              <w:marRight w:val="0"/>
              <w:marTop w:val="0"/>
              <w:marBottom w:val="0"/>
              <w:divBdr>
                <w:top w:val="none" w:sz="0" w:space="0" w:color="auto"/>
                <w:left w:val="none" w:sz="0" w:space="0" w:color="auto"/>
                <w:bottom w:val="none" w:sz="0" w:space="0" w:color="auto"/>
                <w:right w:val="none" w:sz="0" w:space="0" w:color="auto"/>
              </w:divBdr>
              <w:divsChild>
                <w:div w:id="1515729782">
                  <w:marLeft w:val="0"/>
                  <w:marRight w:val="0"/>
                  <w:marTop w:val="0"/>
                  <w:marBottom w:val="0"/>
                  <w:divBdr>
                    <w:top w:val="none" w:sz="0" w:space="0" w:color="auto"/>
                    <w:left w:val="none" w:sz="0" w:space="0" w:color="auto"/>
                    <w:bottom w:val="none" w:sz="0" w:space="0" w:color="auto"/>
                    <w:right w:val="none" w:sz="0" w:space="0" w:color="auto"/>
                  </w:divBdr>
                  <w:divsChild>
                    <w:div w:id="1352956465">
                      <w:marLeft w:val="0"/>
                      <w:marRight w:val="0"/>
                      <w:marTop w:val="0"/>
                      <w:marBottom w:val="0"/>
                      <w:divBdr>
                        <w:top w:val="none" w:sz="0" w:space="0" w:color="auto"/>
                        <w:left w:val="none" w:sz="0" w:space="0" w:color="auto"/>
                        <w:bottom w:val="none" w:sz="0" w:space="0" w:color="auto"/>
                        <w:right w:val="none" w:sz="0" w:space="0" w:color="auto"/>
                      </w:divBdr>
                      <w:divsChild>
                        <w:div w:id="1118909105">
                          <w:marLeft w:val="0"/>
                          <w:marRight w:val="0"/>
                          <w:marTop w:val="0"/>
                          <w:marBottom w:val="0"/>
                          <w:divBdr>
                            <w:top w:val="none" w:sz="0" w:space="0" w:color="auto"/>
                            <w:left w:val="none" w:sz="0" w:space="0" w:color="auto"/>
                            <w:bottom w:val="none" w:sz="0" w:space="0" w:color="auto"/>
                            <w:right w:val="none" w:sz="0" w:space="0" w:color="auto"/>
                          </w:divBdr>
                          <w:divsChild>
                            <w:div w:id="922571023">
                              <w:marLeft w:val="0"/>
                              <w:marRight w:val="0"/>
                              <w:marTop w:val="0"/>
                              <w:marBottom w:val="0"/>
                              <w:divBdr>
                                <w:top w:val="none" w:sz="0" w:space="0" w:color="auto"/>
                                <w:left w:val="none" w:sz="0" w:space="0" w:color="auto"/>
                                <w:bottom w:val="none" w:sz="0" w:space="0" w:color="auto"/>
                                <w:right w:val="none" w:sz="0" w:space="0" w:color="auto"/>
                              </w:divBdr>
                              <w:divsChild>
                                <w:div w:id="1061320660">
                                  <w:marLeft w:val="0"/>
                                  <w:marRight w:val="0"/>
                                  <w:marTop w:val="0"/>
                                  <w:marBottom w:val="0"/>
                                  <w:divBdr>
                                    <w:top w:val="none" w:sz="0" w:space="0" w:color="auto"/>
                                    <w:left w:val="none" w:sz="0" w:space="0" w:color="auto"/>
                                    <w:bottom w:val="none" w:sz="0" w:space="0" w:color="auto"/>
                                    <w:right w:val="none" w:sz="0" w:space="0" w:color="auto"/>
                                  </w:divBdr>
                                  <w:divsChild>
                                    <w:div w:id="1071082068">
                                      <w:marLeft w:val="0"/>
                                      <w:marRight w:val="0"/>
                                      <w:marTop w:val="0"/>
                                      <w:marBottom w:val="0"/>
                                      <w:divBdr>
                                        <w:top w:val="none" w:sz="0" w:space="0" w:color="auto"/>
                                        <w:left w:val="none" w:sz="0" w:space="0" w:color="auto"/>
                                        <w:bottom w:val="none" w:sz="0" w:space="0" w:color="auto"/>
                                        <w:right w:val="none" w:sz="0" w:space="0" w:color="auto"/>
                                      </w:divBdr>
                                      <w:divsChild>
                                        <w:div w:id="849568626">
                                          <w:marLeft w:val="0"/>
                                          <w:marRight w:val="0"/>
                                          <w:marTop w:val="0"/>
                                          <w:marBottom w:val="0"/>
                                          <w:divBdr>
                                            <w:top w:val="none" w:sz="0" w:space="0" w:color="auto"/>
                                            <w:left w:val="none" w:sz="0" w:space="0" w:color="auto"/>
                                            <w:bottom w:val="none" w:sz="0" w:space="0" w:color="auto"/>
                                            <w:right w:val="none" w:sz="0" w:space="0" w:color="auto"/>
                                          </w:divBdr>
                                          <w:divsChild>
                                            <w:div w:id="59137762">
                                              <w:marLeft w:val="0"/>
                                              <w:marRight w:val="0"/>
                                              <w:marTop w:val="0"/>
                                              <w:marBottom w:val="0"/>
                                              <w:divBdr>
                                                <w:top w:val="none" w:sz="0" w:space="0" w:color="auto"/>
                                                <w:left w:val="none" w:sz="0" w:space="0" w:color="auto"/>
                                                <w:bottom w:val="none" w:sz="0" w:space="0" w:color="auto"/>
                                                <w:right w:val="none" w:sz="0" w:space="0" w:color="auto"/>
                                              </w:divBdr>
                                              <w:divsChild>
                                                <w:div w:id="1610891295">
                                                  <w:marLeft w:val="0"/>
                                                  <w:marRight w:val="0"/>
                                                  <w:marTop w:val="0"/>
                                                  <w:marBottom w:val="0"/>
                                                  <w:divBdr>
                                                    <w:top w:val="none" w:sz="0" w:space="0" w:color="auto"/>
                                                    <w:left w:val="none" w:sz="0" w:space="0" w:color="auto"/>
                                                    <w:bottom w:val="none" w:sz="0" w:space="0" w:color="auto"/>
                                                    <w:right w:val="none" w:sz="0" w:space="0" w:color="auto"/>
                                                  </w:divBdr>
                                                  <w:divsChild>
                                                    <w:div w:id="409279519">
                                                      <w:marLeft w:val="0"/>
                                                      <w:marRight w:val="0"/>
                                                      <w:marTop w:val="0"/>
                                                      <w:marBottom w:val="0"/>
                                                      <w:divBdr>
                                                        <w:top w:val="none" w:sz="0" w:space="0" w:color="auto"/>
                                                        <w:left w:val="none" w:sz="0" w:space="0" w:color="auto"/>
                                                        <w:bottom w:val="none" w:sz="0" w:space="0" w:color="auto"/>
                                                        <w:right w:val="none" w:sz="0" w:space="0" w:color="auto"/>
                                                      </w:divBdr>
                                                      <w:divsChild>
                                                        <w:div w:id="424543296">
                                                          <w:marLeft w:val="0"/>
                                                          <w:marRight w:val="0"/>
                                                          <w:marTop w:val="0"/>
                                                          <w:marBottom w:val="0"/>
                                                          <w:divBdr>
                                                            <w:top w:val="none" w:sz="0" w:space="0" w:color="auto"/>
                                                            <w:left w:val="none" w:sz="0" w:space="0" w:color="auto"/>
                                                            <w:bottom w:val="none" w:sz="0" w:space="0" w:color="auto"/>
                                                            <w:right w:val="none" w:sz="0" w:space="0" w:color="auto"/>
                                                          </w:divBdr>
                                                          <w:divsChild>
                                                            <w:div w:id="279067496">
                                                              <w:marLeft w:val="0"/>
                                                              <w:marRight w:val="0"/>
                                                              <w:marTop w:val="0"/>
                                                              <w:marBottom w:val="0"/>
                                                              <w:divBdr>
                                                                <w:top w:val="none" w:sz="0" w:space="0" w:color="auto"/>
                                                                <w:left w:val="none" w:sz="0" w:space="0" w:color="auto"/>
                                                                <w:bottom w:val="none" w:sz="0" w:space="0" w:color="auto"/>
                                                                <w:right w:val="none" w:sz="0" w:space="0" w:color="auto"/>
                                                              </w:divBdr>
                                                            </w:div>
                                                            <w:div w:id="600919009">
                                                              <w:marLeft w:val="0"/>
                                                              <w:marRight w:val="0"/>
                                                              <w:marTop w:val="0"/>
                                                              <w:marBottom w:val="0"/>
                                                              <w:divBdr>
                                                                <w:top w:val="none" w:sz="0" w:space="0" w:color="auto"/>
                                                                <w:left w:val="none" w:sz="0" w:space="0" w:color="auto"/>
                                                                <w:bottom w:val="none" w:sz="0" w:space="0" w:color="auto"/>
                                                                <w:right w:val="none" w:sz="0" w:space="0" w:color="auto"/>
                                                              </w:divBdr>
                                                            </w:div>
                                                            <w:div w:id="19935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074476">
      <w:bodyDiv w:val="1"/>
      <w:marLeft w:val="0"/>
      <w:marRight w:val="0"/>
      <w:marTop w:val="0"/>
      <w:marBottom w:val="0"/>
      <w:divBdr>
        <w:top w:val="none" w:sz="0" w:space="0" w:color="auto"/>
        <w:left w:val="none" w:sz="0" w:space="0" w:color="auto"/>
        <w:bottom w:val="none" w:sz="0" w:space="0" w:color="auto"/>
        <w:right w:val="none" w:sz="0" w:space="0" w:color="auto"/>
      </w:divBdr>
    </w:div>
    <w:div w:id="1905095116">
      <w:bodyDiv w:val="1"/>
      <w:marLeft w:val="0"/>
      <w:marRight w:val="0"/>
      <w:marTop w:val="0"/>
      <w:marBottom w:val="0"/>
      <w:divBdr>
        <w:top w:val="none" w:sz="0" w:space="0" w:color="auto"/>
        <w:left w:val="none" w:sz="0" w:space="0" w:color="auto"/>
        <w:bottom w:val="none" w:sz="0" w:space="0" w:color="auto"/>
        <w:right w:val="none" w:sz="0" w:space="0" w:color="auto"/>
      </w:divBdr>
      <w:divsChild>
        <w:div w:id="2129273561">
          <w:marLeft w:val="0"/>
          <w:marRight w:val="0"/>
          <w:marTop w:val="0"/>
          <w:marBottom w:val="0"/>
          <w:divBdr>
            <w:top w:val="none" w:sz="0" w:space="0" w:color="auto"/>
            <w:left w:val="none" w:sz="0" w:space="0" w:color="auto"/>
            <w:bottom w:val="none" w:sz="0" w:space="0" w:color="auto"/>
            <w:right w:val="none" w:sz="0" w:space="0" w:color="auto"/>
          </w:divBdr>
          <w:divsChild>
            <w:div w:id="1618415243">
              <w:marLeft w:val="0"/>
              <w:marRight w:val="0"/>
              <w:marTop w:val="0"/>
              <w:marBottom w:val="0"/>
              <w:divBdr>
                <w:top w:val="none" w:sz="0" w:space="0" w:color="auto"/>
                <w:left w:val="none" w:sz="0" w:space="0" w:color="auto"/>
                <w:bottom w:val="none" w:sz="0" w:space="0" w:color="auto"/>
                <w:right w:val="none" w:sz="0" w:space="0" w:color="auto"/>
              </w:divBdr>
              <w:divsChild>
                <w:div w:id="207954398">
                  <w:marLeft w:val="0"/>
                  <w:marRight w:val="0"/>
                  <w:marTop w:val="0"/>
                  <w:marBottom w:val="0"/>
                  <w:divBdr>
                    <w:top w:val="none" w:sz="0" w:space="0" w:color="auto"/>
                    <w:left w:val="none" w:sz="0" w:space="0" w:color="auto"/>
                    <w:bottom w:val="none" w:sz="0" w:space="0" w:color="auto"/>
                    <w:right w:val="none" w:sz="0" w:space="0" w:color="auto"/>
                  </w:divBdr>
                  <w:divsChild>
                    <w:div w:id="1941180992">
                      <w:marLeft w:val="0"/>
                      <w:marRight w:val="0"/>
                      <w:marTop w:val="0"/>
                      <w:marBottom w:val="0"/>
                      <w:divBdr>
                        <w:top w:val="none" w:sz="0" w:space="0" w:color="auto"/>
                        <w:left w:val="none" w:sz="0" w:space="0" w:color="auto"/>
                        <w:bottom w:val="none" w:sz="0" w:space="0" w:color="auto"/>
                        <w:right w:val="none" w:sz="0" w:space="0" w:color="auto"/>
                      </w:divBdr>
                      <w:divsChild>
                        <w:div w:id="1959752184">
                          <w:marLeft w:val="0"/>
                          <w:marRight w:val="0"/>
                          <w:marTop w:val="0"/>
                          <w:marBottom w:val="0"/>
                          <w:divBdr>
                            <w:top w:val="none" w:sz="0" w:space="0" w:color="auto"/>
                            <w:left w:val="none" w:sz="0" w:space="0" w:color="auto"/>
                            <w:bottom w:val="none" w:sz="0" w:space="0" w:color="auto"/>
                            <w:right w:val="none" w:sz="0" w:space="0" w:color="auto"/>
                          </w:divBdr>
                          <w:divsChild>
                            <w:div w:id="20769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309398">
      <w:bodyDiv w:val="1"/>
      <w:marLeft w:val="0"/>
      <w:marRight w:val="0"/>
      <w:marTop w:val="0"/>
      <w:marBottom w:val="0"/>
      <w:divBdr>
        <w:top w:val="none" w:sz="0" w:space="0" w:color="auto"/>
        <w:left w:val="none" w:sz="0" w:space="0" w:color="auto"/>
        <w:bottom w:val="none" w:sz="0" w:space="0" w:color="auto"/>
        <w:right w:val="none" w:sz="0" w:space="0" w:color="auto"/>
      </w:divBdr>
      <w:divsChild>
        <w:div w:id="22026024">
          <w:marLeft w:val="0"/>
          <w:marRight w:val="0"/>
          <w:marTop w:val="0"/>
          <w:marBottom w:val="0"/>
          <w:divBdr>
            <w:top w:val="none" w:sz="0" w:space="0" w:color="auto"/>
            <w:left w:val="none" w:sz="0" w:space="0" w:color="auto"/>
            <w:bottom w:val="none" w:sz="0" w:space="0" w:color="auto"/>
            <w:right w:val="none" w:sz="0" w:space="0" w:color="auto"/>
          </w:divBdr>
          <w:divsChild>
            <w:div w:id="1037975586">
              <w:marLeft w:val="0"/>
              <w:marRight w:val="0"/>
              <w:marTop w:val="0"/>
              <w:marBottom w:val="0"/>
              <w:divBdr>
                <w:top w:val="none" w:sz="0" w:space="0" w:color="auto"/>
                <w:left w:val="none" w:sz="0" w:space="0" w:color="auto"/>
                <w:bottom w:val="none" w:sz="0" w:space="0" w:color="auto"/>
                <w:right w:val="none" w:sz="0" w:space="0" w:color="auto"/>
              </w:divBdr>
              <w:divsChild>
                <w:div w:id="1499885841">
                  <w:marLeft w:val="0"/>
                  <w:marRight w:val="0"/>
                  <w:marTop w:val="0"/>
                  <w:marBottom w:val="0"/>
                  <w:divBdr>
                    <w:top w:val="none" w:sz="0" w:space="0" w:color="auto"/>
                    <w:left w:val="none" w:sz="0" w:space="0" w:color="auto"/>
                    <w:bottom w:val="none" w:sz="0" w:space="0" w:color="auto"/>
                    <w:right w:val="none" w:sz="0" w:space="0" w:color="auto"/>
                  </w:divBdr>
                  <w:divsChild>
                    <w:div w:id="114981961">
                      <w:marLeft w:val="0"/>
                      <w:marRight w:val="0"/>
                      <w:marTop w:val="0"/>
                      <w:marBottom w:val="0"/>
                      <w:divBdr>
                        <w:top w:val="none" w:sz="0" w:space="0" w:color="auto"/>
                        <w:left w:val="none" w:sz="0" w:space="0" w:color="auto"/>
                        <w:bottom w:val="none" w:sz="0" w:space="0" w:color="auto"/>
                        <w:right w:val="none" w:sz="0" w:space="0" w:color="auto"/>
                      </w:divBdr>
                      <w:divsChild>
                        <w:div w:id="1068647766">
                          <w:marLeft w:val="0"/>
                          <w:marRight w:val="0"/>
                          <w:marTop w:val="0"/>
                          <w:marBottom w:val="0"/>
                          <w:divBdr>
                            <w:top w:val="none" w:sz="0" w:space="0" w:color="auto"/>
                            <w:left w:val="none" w:sz="0" w:space="0" w:color="auto"/>
                            <w:bottom w:val="none" w:sz="0" w:space="0" w:color="auto"/>
                            <w:right w:val="none" w:sz="0" w:space="0" w:color="auto"/>
                          </w:divBdr>
                          <w:divsChild>
                            <w:div w:id="17097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11605">
      <w:bodyDiv w:val="1"/>
      <w:marLeft w:val="0"/>
      <w:marRight w:val="0"/>
      <w:marTop w:val="0"/>
      <w:marBottom w:val="0"/>
      <w:divBdr>
        <w:top w:val="none" w:sz="0" w:space="0" w:color="auto"/>
        <w:left w:val="none" w:sz="0" w:space="0" w:color="auto"/>
        <w:bottom w:val="none" w:sz="0" w:space="0" w:color="auto"/>
        <w:right w:val="none" w:sz="0" w:space="0" w:color="auto"/>
      </w:divBdr>
      <w:divsChild>
        <w:div w:id="59444338">
          <w:marLeft w:val="0"/>
          <w:marRight w:val="0"/>
          <w:marTop w:val="0"/>
          <w:marBottom w:val="0"/>
          <w:divBdr>
            <w:top w:val="none" w:sz="0" w:space="0" w:color="auto"/>
            <w:left w:val="none" w:sz="0" w:space="0" w:color="auto"/>
            <w:bottom w:val="none" w:sz="0" w:space="0" w:color="auto"/>
            <w:right w:val="none" w:sz="0" w:space="0" w:color="auto"/>
          </w:divBdr>
          <w:divsChild>
            <w:div w:id="1828741037">
              <w:marLeft w:val="0"/>
              <w:marRight w:val="0"/>
              <w:marTop w:val="0"/>
              <w:marBottom w:val="0"/>
              <w:divBdr>
                <w:top w:val="none" w:sz="0" w:space="0" w:color="auto"/>
                <w:left w:val="none" w:sz="0" w:space="0" w:color="auto"/>
                <w:bottom w:val="none" w:sz="0" w:space="0" w:color="auto"/>
                <w:right w:val="none" w:sz="0" w:space="0" w:color="auto"/>
              </w:divBdr>
              <w:divsChild>
                <w:div w:id="15899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c-csc.lexum.com/scc-csc/scc-csc/en/item/13290/index.do" TargetMode="External"/><Relationship Id="rId18" Type="http://schemas.openxmlformats.org/officeDocument/2006/relationships/hyperlink" Target="https://impactethics.ca/2017/07/28/in-a-nutshell-ii-ontario-court-decision-MAID/" TargetMode="External"/><Relationship Id="rId26" Type="http://schemas.openxmlformats.org/officeDocument/2006/relationships/hyperlink" Target="https://www.amazon.com/s/ref=dp_byline_sr_book_1?ie=UTF8&amp;text=Osagie+K.+Obasogie&amp;search-alias=books&amp;field-author=Osagie+K.+Obasogie&amp;sort=relevanceran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na-aiic.ca/en/canadian-nurse-home/articles/issues/2009/march-2009/real-help-for-those-who-have-been-morally-wounded" TargetMode="External"/><Relationship Id="rId34" Type="http://schemas.openxmlformats.org/officeDocument/2006/relationships/hyperlink" Target="https://sallysatelmd.com/articles/2001/who-needs-medical-ethics/" TargetMode="External"/><Relationship Id="rId7" Type="http://schemas.openxmlformats.org/officeDocument/2006/relationships/endnotes" Target="endnotes.xml"/><Relationship Id="rId12" Type="http://schemas.openxmlformats.org/officeDocument/2006/relationships/hyperlink" Target="https://scc-csc.lexum.com/scc-csc/scc-csc/en/item/14637/index.do" TargetMode="External"/><Relationship Id="rId17" Type="http://schemas.openxmlformats.org/officeDocument/2006/relationships/hyperlink" Target="http://eol.law.dal.ca/wp-content/uploads/2018/07/Foreseeably-Unclear_SSRN.pdf" TargetMode="External"/><Relationship Id="rId25" Type="http://schemas.openxmlformats.org/officeDocument/2006/relationships/hyperlink" Target="http://www.health.gov.on.ca/en/pro/programs/ecfa/docs/ecfa_funding_pres.pdf" TargetMode="External"/><Relationship Id="rId33" Type="http://schemas.openxmlformats.org/officeDocument/2006/relationships/hyperlink" Target="https://sallysatelmd.com/articles/2001/who-needs-medical-ethic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ture.com/news/human-subjects-research-the-ethics-squad-1.16186" TargetMode="External"/><Relationship Id="rId20" Type="http://schemas.openxmlformats.org/officeDocument/2006/relationships/hyperlink" Target="http://www.cmaj.ca/content/cmaj/187/6/E177.full.pdf" TargetMode="External"/><Relationship Id="rId29" Type="http://schemas.openxmlformats.org/officeDocument/2006/relationships/hyperlink" Target="http://scc-csc.lexum.com/scc-csc/scc-csc/en/item/288/index.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eticsandsociety.org/article/conversation-writer-and-%09troublemaker-carl-elliott-parts-i-ii" TargetMode="External"/><Relationship Id="rId24" Type="http://schemas.openxmlformats.org/officeDocument/2006/relationships/hyperlink" Target="https://www.hhs.gov/ohrp/sites/default/files/the-belmont-report-508c_FINAL.pdf" TargetMode="External"/><Relationship Id="rId32" Type="http://schemas.openxmlformats.org/officeDocument/2006/relationships/hyperlink" Target="https://onlinelibrary.wiley.com/doi/epdf/10.1111/soc4.12456" TargetMode="External"/><Relationship Id="rId37" Type="http://schemas.openxmlformats.org/officeDocument/2006/relationships/hyperlink" Target="http://www.vps-npv.ca/read-the-standard-20" TargetMode="External"/><Relationship Id="rId5" Type="http://schemas.openxmlformats.org/officeDocument/2006/relationships/webSettings" Target="webSettings.xml"/><Relationship Id="rId15" Type="http://schemas.openxmlformats.org/officeDocument/2006/relationships/hyperlink" Target="https://obgyn.onlinelibrary.wiley.com/doi/abs/10.1016/j.ijgo.2011.02.002" TargetMode="External"/><Relationship Id="rId23" Type="http://schemas.openxmlformats.org/officeDocument/2006/relationships/hyperlink" Target="https://www.ncbi.nlm.nih.gov/books/NBK22942/pdf/Bookshelf_NBK22942.pdf" TargetMode="External"/><Relationship Id="rId28" Type="http://schemas.openxmlformats.org/officeDocument/2006/relationships/hyperlink" Target="http://www.denverpost.com/2008/06/05/origin-of-the-laundry-list/" TargetMode="External"/><Relationship Id="rId36" Type="http://schemas.openxmlformats.org/officeDocument/2006/relationships/hyperlink" Target="http://www.ethics.va.gov/integratedethics/" TargetMode="External"/><Relationship Id="rId10" Type="http://schemas.openxmlformats.org/officeDocument/2006/relationships/hyperlink" Target="http://eol.law.dal.ca/wp-" TargetMode="External"/><Relationship Id="rId19" Type="http://schemas.openxmlformats.org/officeDocument/2006/relationships/hyperlink" Target="https://impactethics.ca/2013/10/21/the-supreme-court-decision-in-rasouli/" TargetMode="External"/><Relationship Id="rId31" Type="http://schemas.openxmlformats.org/officeDocument/2006/relationships/hyperlink" Target="http://www.bmj.com/content/345/bmj.e5802/rr/60380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onlinelibrary.wiley.com/doi/abs/10.1111/bioe.12418" TargetMode="External"/><Relationship Id="rId22" Type="http://schemas.openxmlformats.org/officeDocument/2006/relationships/hyperlink" Target="http://bostonreview.net/archives/BR22.3/Kamm.html" TargetMode="External"/><Relationship Id="rId27" Type="http://schemas.openxmlformats.org/officeDocument/2006/relationships/hyperlink" Target="https://www.amazon.com/s/ref=dp_byline_sr_book_2?ie=UTF8&amp;text=Marcy+Darnovsky&amp;search-alias=books&amp;field-author=Marcy+Darnovsky&amp;sort=relevancerank" TargetMode="External"/><Relationship Id="rId30" Type="http://schemas.openxmlformats.org/officeDocument/2006/relationships/hyperlink" Target="https://www.nature.com/articles/d41586-019-01164-z?utm_source=Nature+Briefing&amp;utm_campaign=7a83897cb0-briefing-dy-20190416&amp;utm_medium=email&amp;utm_term=0_c9dfd39373-7a83897cb0-43265497" TargetMode="External"/><Relationship Id="rId35" Type="http://schemas.openxmlformats.org/officeDocument/2006/relationships/hyperlink" Target="https://www.bmj.com/content/345/bmj.e580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enverpost.com/2008/06/05/origin-of-the-laundry-list/" TargetMode="External"/><Relationship Id="rId13" Type="http://schemas.openxmlformats.org/officeDocument/2006/relationships/hyperlink" Target="https://scc-csc.lexum.com/scc-csc/scc-csc/en/item/14637/index.do" TargetMode="External"/><Relationship Id="rId3" Type="http://schemas.openxmlformats.org/officeDocument/2006/relationships/hyperlink" Target="http://www.pre.ethics.gc.ca/eng/policy-politique/initiatives/tcps2-eptc2/chapter2-chapitre2/eng/policy-politique/initiatives/tcps2-eptc2/chapter6-chapitre6/" TargetMode="External"/><Relationship Id="rId7" Type="http://schemas.openxmlformats.org/officeDocument/2006/relationships/hyperlink" Target="http://ori.hhs.gov/education/products/ucla/chapter4/default.htm" TargetMode="External"/><Relationship Id="rId12" Type="http://schemas.openxmlformats.org/officeDocument/2006/relationships/hyperlink" Target="https://www.geneticsandsociety.org/article/conversation-writer-and-troublemaker-carl-elliott-parts-i-ii" TargetMode="External"/><Relationship Id="rId17" Type="http://schemas.openxmlformats.org/officeDocument/2006/relationships/hyperlink" Target="http://www.vps-npv.ca/readthestandard" TargetMode="External"/><Relationship Id="rId2" Type="http://schemas.openxmlformats.org/officeDocument/2006/relationships/hyperlink" Target="https://www.hhs.gov/ohrp/sites/default/files/the-belmont-report-508c_FINAL.pdf" TargetMode="External"/><Relationship Id="rId16" Type="http://schemas.openxmlformats.org/officeDocument/2006/relationships/hyperlink" Target="https://www.theglobeandmail.com/canada/article-medically-assisted-death-allows-couple-married-almost-73-years-to-die/" TargetMode="External"/><Relationship Id="rId1" Type="http://schemas.openxmlformats.org/officeDocument/2006/relationships/hyperlink" Target="http://www.nature.com/news/human-subjects-research-the-ethics-squad-1.16186" TargetMode="External"/><Relationship Id="rId6" Type="http://schemas.openxmlformats.org/officeDocument/2006/relationships/hyperlink" Target="http://www.sickkids.ca/aboutsickkids/newsroom/sickkids-towers-over-bay/index.html" TargetMode="External"/><Relationship Id="rId11" Type="http://schemas.openxmlformats.org/officeDocument/2006/relationships/hyperlink" Target="http://www.health.gov.on.ca/en/pro/programs/ecfa/docs/ecfa_funding_pres.pdf" TargetMode="External"/><Relationship Id="rId5" Type="http://schemas.openxmlformats.org/officeDocument/2006/relationships/hyperlink" Target="http://www.apotex.com/ca/en/about/default.asp" TargetMode="External"/><Relationship Id="rId15" Type="http://schemas.openxmlformats.org/officeDocument/2006/relationships/hyperlink" Target="https://www.bmj.com/content/364/bmj.l412/rr-18" TargetMode="External"/><Relationship Id="rId10" Type="http://schemas.openxmlformats.org/officeDocument/2006/relationships/hyperlink" Target="https://pdfs.semanticscholar.org/8b05/8d01e582e4bb06ac333b4bc740d6f29a104d.pdf" TargetMode="External"/><Relationship Id="rId4" Type="http://schemas.openxmlformats.org/officeDocument/2006/relationships/hyperlink" Target="https://www.uhn.ca/corporate/AboutUHN/Governance_Leadership/Board_Trustees/Documents/Board_of_Directors_Board_Terms_of_Reference.pdf" TargetMode="External"/><Relationship Id="rId9" Type="http://schemas.openxmlformats.org/officeDocument/2006/relationships/hyperlink" Target="https://pdfs.semanticscholar.org/3cad/c70f93ea0f6e9f46bd2fc79c13e88cca45ad.pd" TargetMode="External"/><Relationship Id="rId14" Type="http://schemas.openxmlformats.org/officeDocument/2006/relationships/hyperlink" Target="http://eol.law.dal.ca/wp-content/uploads/2017/06/20170619152447518.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2D8CFE6-C3A5-417B-977F-1A135B5C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216</Pages>
  <Words>48210</Words>
  <Characters>274803</Characters>
  <Application>Microsoft Office Word</Application>
  <DocSecurity>0</DocSecurity>
  <Lines>2290</Lines>
  <Paragraphs>644</Paragraphs>
  <ScaleCrop>false</ScaleCrop>
  <HeadingPairs>
    <vt:vector size="2" baseType="variant">
      <vt:variant>
        <vt:lpstr>Title</vt:lpstr>
      </vt:variant>
      <vt:variant>
        <vt:i4>1</vt:i4>
      </vt:variant>
    </vt:vector>
  </HeadingPairs>
  <TitlesOfParts>
    <vt:vector size="1" baseType="lpstr">
      <vt:lpstr/>
    </vt:vector>
  </TitlesOfParts>
  <Manager/>
  <Company>UHN</Company>
  <LinksUpToDate>false</LinksUpToDate>
  <CharactersWithSpaces>322369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Heesters, Ann</dc:creator>
  <cp:keywords/>
  <dc:description/>
  <cp:lastModifiedBy>Heesters, Ann</cp:lastModifiedBy>
  <cp:revision>5</cp:revision>
  <cp:lastPrinted>2019-06-07T20:38:00Z</cp:lastPrinted>
  <dcterms:created xsi:type="dcterms:W3CDTF">2019-12-04T02:59:00Z</dcterms:created>
  <dcterms:modified xsi:type="dcterms:W3CDTF">2019-12-04T03:02:00Z</dcterms:modified>
  <cp:category/>
</cp:coreProperties>
</file>